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A86" w:rsidRPr="00F50307" w:rsidRDefault="00F52A86" w:rsidP="00282E26">
      <w:pPr>
        <w:spacing w:line="360" w:lineRule="auto"/>
        <w:jc w:val="center"/>
        <w:rPr>
          <w:rFonts w:asciiTheme="minorEastAsia" w:hAnsiTheme="minorEastAsia" w:cs="Times New Roman"/>
          <w:b/>
          <w:szCs w:val="21"/>
        </w:rPr>
      </w:pPr>
    </w:p>
    <w:p w:rsidR="00F52A86" w:rsidRPr="00F50307" w:rsidRDefault="00F52A86" w:rsidP="00282E26">
      <w:pPr>
        <w:spacing w:line="360" w:lineRule="auto"/>
        <w:jc w:val="center"/>
        <w:rPr>
          <w:rFonts w:asciiTheme="minorEastAsia" w:hAnsiTheme="minorEastAsia" w:cs="Times New Roman"/>
          <w:b/>
          <w:szCs w:val="21"/>
        </w:rPr>
      </w:pPr>
    </w:p>
    <w:p w:rsidR="00F52A86" w:rsidRPr="00F50307" w:rsidRDefault="00F52A86" w:rsidP="00282E26">
      <w:pPr>
        <w:spacing w:line="360" w:lineRule="auto"/>
        <w:jc w:val="center"/>
        <w:rPr>
          <w:rFonts w:asciiTheme="minorEastAsia" w:hAnsiTheme="minorEastAsia" w:cs="Times New Roman"/>
          <w:b/>
          <w:szCs w:val="21"/>
        </w:rPr>
      </w:pPr>
    </w:p>
    <w:p w:rsidR="00F52A86" w:rsidRPr="00F50307" w:rsidRDefault="00F52A86" w:rsidP="00282E26">
      <w:pPr>
        <w:spacing w:line="360" w:lineRule="auto"/>
        <w:jc w:val="center"/>
        <w:rPr>
          <w:rFonts w:asciiTheme="minorEastAsia" w:hAnsiTheme="minorEastAsia" w:cs="Times New Roman"/>
          <w:b/>
          <w:szCs w:val="21"/>
        </w:rPr>
      </w:pPr>
    </w:p>
    <w:p w:rsidR="00F52A86" w:rsidRPr="00F50307" w:rsidRDefault="00F52A86" w:rsidP="00282E26">
      <w:pPr>
        <w:spacing w:line="360" w:lineRule="auto"/>
        <w:jc w:val="center"/>
        <w:rPr>
          <w:rFonts w:asciiTheme="minorEastAsia" w:hAnsiTheme="minorEastAsia" w:cs="Times New Roman"/>
          <w:b/>
          <w:szCs w:val="21"/>
        </w:rPr>
      </w:pPr>
    </w:p>
    <w:p w:rsidR="00F52A86" w:rsidRPr="00F50307" w:rsidRDefault="00F52A86" w:rsidP="00282E26">
      <w:pPr>
        <w:spacing w:line="360" w:lineRule="auto"/>
        <w:jc w:val="center"/>
        <w:rPr>
          <w:rFonts w:asciiTheme="minorEastAsia" w:hAnsiTheme="minorEastAsia" w:cs="Times New Roman"/>
          <w:b/>
          <w:szCs w:val="21"/>
        </w:rPr>
      </w:pPr>
    </w:p>
    <w:p w:rsidR="00F52A86" w:rsidRDefault="00F52A86" w:rsidP="00282E26">
      <w:pPr>
        <w:spacing w:line="360" w:lineRule="auto"/>
        <w:jc w:val="center"/>
        <w:rPr>
          <w:rFonts w:asciiTheme="minorEastAsia" w:hAnsiTheme="minorEastAsia" w:cs="Times New Roman"/>
          <w:b/>
          <w:szCs w:val="21"/>
        </w:rPr>
      </w:pPr>
    </w:p>
    <w:p w:rsidR="00282E26" w:rsidRDefault="00282E26" w:rsidP="00282E26">
      <w:pPr>
        <w:spacing w:line="360" w:lineRule="auto"/>
        <w:jc w:val="center"/>
        <w:rPr>
          <w:rFonts w:asciiTheme="minorEastAsia" w:hAnsiTheme="minorEastAsia" w:cs="Times New Roman"/>
          <w:b/>
          <w:szCs w:val="21"/>
        </w:rPr>
      </w:pPr>
    </w:p>
    <w:p w:rsidR="00282E26" w:rsidRDefault="00282E26" w:rsidP="00282E26">
      <w:pPr>
        <w:spacing w:line="360" w:lineRule="auto"/>
        <w:jc w:val="center"/>
        <w:rPr>
          <w:rFonts w:asciiTheme="minorEastAsia" w:hAnsiTheme="minorEastAsia" w:cs="Times New Roman"/>
          <w:b/>
          <w:szCs w:val="21"/>
        </w:rPr>
      </w:pPr>
    </w:p>
    <w:p w:rsidR="00841A33" w:rsidRPr="00F50307" w:rsidRDefault="00841A33" w:rsidP="00282E26">
      <w:pPr>
        <w:spacing w:line="360" w:lineRule="auto"/>
        <w:jc w:val="center"/>
        <w:rPr>
          <w:rFonts w:asciiTheme="minorEastAsia" w:hAnsiTheme="minorEastAsia" w:cs="Times New Roman"/>
          <w:b/>
          <w:szCs w:val="21"/>
        </w:rPr>
      </w:pPr>
    </w:p>
    <w:p w:rsidR="00F52A86" w:rsidRPr="00F50307" w:rsidRDefault="00F52A86" w:rsidP="00282E26">
      <w:pPr>
        <w:spacing w:line="360" w:lineRule="auto"/>
        <w:jc w:val="center"/>
        <w:rPr>
          <w:rFonts w:asciiTheme="minorEastAsia" w:hAnsiTheme="minorEastAsia" w:cs="Times New Roman"/>
          <w:b/>
          <w:szCs w:val="21"/>
        </w:rPr>
      </w:pPr>
    </w:p>
    <w:p w:rsidR="00F52A86" w:rsidRPr="00F50307" w:rsidRDefault="00F52A86" w:rsidP="00282E26">
      <w:pPr>
        <w:spacing w:line="360" w:lineRule="auto"/>
        <w:jc w:val="center"/>
        <w:rPr>
          <w:rFonts w:asciiTheme="minorEastAsia" w:hAnsiTheme="minorEastAsia" w:cs="Times New Roman"/>
          <w:b/>
          <w:szCs w:val="21"/>
        </w:rPr>
      </w:pPr>
    </w:p>
    <w:p w:rsidR="005E452C" w:rsidRPr="00F50307" w:rsidRDefault="005E452C" w:rsidP="00282E26">
      <w:pPr>
        <w:spacing w:line="360" w:lineRule="auto"/>
        <w:jc w:val="center"/>
        <w:rPr>
          <w:rFonts w:ascii="黑体" w:eastAsia="黑体" w:hAnsi="黑体"/>
          <w:b/>
          <w:bCs/>
          <w:sz w:val="44"/>
          <w:szCs w:val="44"/>
        </w:rPr>
      </w:pPr>
      <w:r w:rsidRPr="00F50307">
        <w:rPr>
          <w:rFonts w:ascii="黑体" w:eastAsia="黑体" w:hAnsi="黑体" w:hint="eastAsia"/>
          <w:b/>
          <w:bCs/>
          <w:sz w:val="44"/>
          <w:szCs w:val="44"/>
        </w:rPr>
        <w:t>江苏紫金农村商业银行股份有限公司</w:t>
      </w:r>
    </w:p>
    <w:p w:rsidR="005E452C" w:rsidRPr="00F50307" w:rsidRDefault="004B29F1" w:rsidP="00282E26">
      <w:pPr>
        <w:spacing w:line="360" w:lineRule="auto"/>
        <w:jc w:val="center"/>
        <w:rPr>
          <w:rFonts w:ascii="黑体" w:eastAsia="黑体" w:hAnsi="黑体"/>
          <w:b/>
          <w:bCs/>
          <w:sz w:val="44"/>
          <w:szCs w:val="44"/>
        </w:rPr>
      </w:pPr>
      <w:r w:rsidRPr="004B29F1">
        <w:rPr>
          <w:rFonts w:ascii="黑体" w:eastAsia="黑体" w:hAnsi="黑体" w:hint="eastAsia"/>
          <w:b/>
          <w:bCs/>
          <w:sz w:val="44"/>
          <w:szCs w:val="44"/>
        </w:rPr>
        <w:t>202</w:t>
      </w:r>
      <w:r w:rsidR="00BA52FC">
        <w:rPr>
          <w:rFonts w:ascii="黑体" w:eastAsia="黑体" w:hAnsi="黑体"/>
          <w:b/>
          <w:bCs/>
          <w:sz w:val="44"/>
          <w:szCs w:val="44"/>
        </w:rPr>
        <w:t>6</w:t>
      </w:r>
      <w:r w:rsidRPr="004B29F1">
        <w:rPr>
          <w:rFonts w:ascii="黑体" w:eastAsia="黑体" w:hAnsi="黑体" w:hint="eastAsia"/>
          <w:b/>
          <w:bCs/>
          <w:sz w:val="44"/>
          <w:szCs w:val="44"/>
        </w:rPr>
        <w:t>年第</w:t>
      </w:r>
      <w:r w:rsidR="006C7D7A">
        <w:rPr>
          <w:rFonts w:ascii="黑体" w:eastAsia="黑体" w:hAnsi="黑体" w:hint="eastAsia"/>
          <w:b/>
          <w:bCs/>
          <w:sz w:val="44"/>
          <w:szCs w:val="44"/>
        </w:rPr>
        <w:t>三</w:t>
      </w:r>
      <w:r w:rsidRPr="004B29F1">
        <w:rPr>
          <w:rFonts w:ascii="黑体" w:eastAsia="黑体" w:hAnsi="黑体" w:hint="eastAsia"/>
          <w:b/>
          <w:bCs/>
          <w:sz w:val="44"/>
          <w:szCs w:val="44"/>
        </w:rPr>
        <w:t>季度第三支柱信息披露</w:t>
      </w:r>
      <w:r w:rsidR="005E452C" w:rsidRPr="00F50307">
        <w:rPr>
          <w:rFonts w:ascii="黑体" w:eastAsia="黑体" w:hAnsi="黑体" w:hint="eastAsia"/>
          <w:b/>
          <w:bCs/>
          <w:sz w:val="44"/>
          <w:szCs w:val="44"/>
        </w:rPr>
        <w:t>报告</w:t>
      </w:r>
    </w:p>
    <w:p w:rsidR="005E452C" w:rsidRPr="006C7D7A"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sdt>
      <w:sdtPr>
        <w:rPr>
          <w:rFonts w:asciiTheme="minorHAnsi" w:eastAsiaTheme="minorEastAsia" w:hAnsiTheme="minorHAnsi" w:cstheme="minorBidi"/>
          <w:b w:val="0"/>
          <w:bCs w:val="0"/>
          <w:color w:val="auto"/>
          <w:kern w:val="2"/>
          <w:sz w:val="21"/>
          <w:szCs w:val="22"/>
          <w:lang w:val="zh-CN"/>
        </w:rPr>
        <w:id w:val="591283940"/>
        <w:docPartObj>
          <w:docPartGallery w:val="Table of Contents"/>
          <w:docPartUnique/>
        </w:docPartObj>
      </w:sdtPr>
      <w:sdtEndPr/>
      <w:sdtContent>
        <w:p w:rsidR="00F50307" w:rsidRPr="00462950" w:rsidRDefault="00F50307" w:rsidP="00282E26">
          <w:pPr>
            <w:pStyle w:val="TOC"/>
            <w:spacing w:line="360" w:lineRule="auto"/>
            <w:jc w:val="center"/>
            <w:rPr>
              <w:color w:val="auto"/>
              <w:sz w:val="36"/>
              <w:szCs w:val="32"/>
            </w:rPr>
          </w:pPr>
          <w:r w:rsidRPr="00462950">
            <w:rPr>
              <w:color w:val="auto"/>
              <w:sz w:val="36"/>
              <w:szCs w:val="32"/>
              <w:lang w:val="zh-CN"/>
            </w:rPr>
            <w:t>目录</w:t>
          </w:r>
        </w:p>
        <w:p w:rsidR="00C704AB" w:rsidRDefault="00F50307">
          <w:pPr>
            <w:pStyle w:val="10"/>
            <w:rPr>
              <w:rFonts w:asciiTheme="minorHAnsi" w:hAnsiTheme="minorHAnsi"/>
              <w:b w:val="0"/>
              <w:kern w:val="2"/>
              <w:sz w:val="21"/>
              <w:szCs w:val="22"/>
            </w:rPr>
          </w:pPr>
          <w:r w:rsidRPr="00F72CD6">
            <w:fldChar w:fldCharType="begin"/>
          </w:r>
          <w:r w:rsidRPr="00F72CD6">
            <w:instrText xml:space="preserve"> TOC \o "1-3" \h \z \u </w:instrText>
          </w:r>
          <w:r w:rsidRPr="00F72CD6">
            <w:fldChar w:fldCharType="separate"/>
          </w:r>
          <w:hyperlink w:anchor="_Toc226824210" w:history="1">
            <w:r w:rsidR="00C704AB" w:rsidRPr="003E7CAC">
              <w:rPr>
                <w:rStyle w:val="a6"/>
              </w:rPr>
              <w:t xml:space="preserve">1  </w:t>
            </w:r>
            <w:r w:rsidR="00C704AB" w:rsidRPr="003E7CAC">
              <w:rPr>
                <w:rStyle w:val="a6"/>
                <w:rFonts w:hint="eastAsia"/>
              </w:rPr>
              <w:t>引言</w:t>
            </w:r>
            <w:r w:rsidR="00C704AB">
              <w:rPr>
                <w:webHidden/>
              </w:rPr>
              <w:tab/>
            </w:r>
            <w:r w:rsidR="00C704AB">
              <w:rPr>
                <w:webHidden/>
              </w:rPr>
              <w:fldChar w:fldCharType="begin"/>
            </w:r>
            <w:r w:rsidR="00C704AB">
              <w:rPr>
                <w:webHidden/>
              </w:rPr>
              <w:instrText xml:space="preserve"> PAGEREF _Toc226824210 \h </w:instrText>
            </w:r>
            <w:r w:rsidR="00C704AB">
              <w:rPr>
                <w:webHidden/>
              </w:rPr>
            </w:r>
            <w:r w:rsidR="00C704AB">
              <w:rPr>
                <w:webHidden/>
              </w:rPr>
              <w:fldChar w:fldCharType="separate"/>
            </w:r>
            <w:r w:rsidR="00C704AB">
              <w:rPr>
                <w:webHidden/>
              </w:rPr>
              <w:t>1</w:t>
            </w:r>
            <w:r w:rsidR="00C704AB">
              <w:rPr>
                <w:webHidden/>
              </w:rPr>
              <w:fldChar w:fldCharType="end"/>
            </w:r>
          </w:hyperlink>
        </w:p>
        <w:p w:rsidR="00C704AB" w:rsidRDefault="00C53475">
          <w:pPr>
            <w:pStyle w:val="20"/>
            <w:tabs>
              <w:tab w:val="right" w:leader="dot" w:pos="8302"/>
            </w:tabs>
            <w:rPr>
              <w:noProof/>
              <w:kern w:val="2"/>
              <w:sz w:val="21"/>
            </w:rPr>
          </w:pPr>
          <w:hyperlink w:anchor="_Toc226824211" w:history="1">
            <w:r w:rsidR="00C704AB" w:rsidRPr="003E7CAC">
              <w:rPr>
                <w:rStyle w:val="a6"/>
                <w:rFonts w:asciiTheme="minorEastAsia" w:hAnsiTheme="minorEastAsia"/>
                <w:noProof/>
              </w:rPr>
              <w:t xml:space="preserve">1.1  </w:t>
            </w:r>
            <w:r w:rsidR="00C704AB" w:rsidRPr="003E7CAC">
              <w:rPr>
                <w:rStyle w:val="a6"/>
                <w:rFonts w:asciiTheme="minorEastAsia" w:hAnsiTheme="minorEastAsia" w:hint="eastAsia"/>
                <w:noProof/>
              </w:rPr>
              <w:t>披露依据</w:t>
            </w:r>
            <w:r w:rsidR="00C704AB">
              <w:rPr>
                <w:noProof/>
                <w:webHidden/>
              </w:rPr>
              <w:tab/>
            </w:r>
            <w:r w:rsidR="00C704AB">
              <w:rPr>
                <w:noProof/>
                <w:webHidden/>
              </w:rPr>
              <w:fldChar w:fldCharType="begin"/>
            </w:r>
            <w:r w:rsidR="00C704AB">
              <w:rPr>
                <w:noProof/>
                <w:webHidden/>
              </w:rPr>
              <w:instrText xml:space="preserve"> PAGEREF _Toc226824211 \h </w:instrText>
            </w:r>
            <w:r w:rsidR="00C704AB">
              <w:rPr>
                <w:noProof/>
                <w:webHidden/>
              </w:rPr>
            </w:r>
            <w:r w:rsidR="00C704AB">
              <w:rPr>
                <w:noProof/>
                <w:webHidden/>
              </w:rPr>
              <w:fldChar w:fldCharType="separate"/>
            </w:r>
            <w:r w:rsidR="00C704AB">
              <w:rPr>
                <w:noProof/>
                <w:webHidden/>
              </w:rPr>
              <w:t>1</w:t>
            </w:r>
            <w:r w:rsidR="00C704AB">
              <w:rPr>
                <w:noProof/>
                <w:webHidden/>
              </w:rPr>
              <w:fldChar w:fldCharType="end"/>
            </w:r>
          </w:hyperlink>
        </w:p>
        <w:p w:rsidR="00C704AB" w:rsidRDefault="00C53475">
          <w:pPr>
            <w:pStyle w:val="20"/>
            <w:tabs>
              <w:tab w:val="right" w:leader="dot" w:pos="8302"/>
            </w:tabs>
            <w:rPr>
              <w:noProof/>
              <w:kern w:val="2"/>
              <w:sz w:val="21"/>
            </w:rPr>
          </w:pPr>
          <w:hyperlink w:anchor="_Toc226824212" w:history="1">
            <w:r w:rsidR="00C704AB" w:rsidRPr="003E7CAC">
              <w:rPr>
                <w:rStyle w:val="a6"/>
                <w:rFonts w:asciiTheme="minorEastAsia" w:hAnsiTheme="minorEastAsia"/>
                <w:noProof/>
              </w:rPr>
              <w:t xml:space="preserve">1.2  </w:t>
            </w:r>
            <w:r w:rsidR="00C704AB" w:rsidRPr="003E7CAC">
              <w:rPr>
                <w:rStyle w:val="a6"/>
                <w:rFonts w:asciiTheme="minorEastAsia" w:hAnsiTheme="minorEastAsia" w:hint="eastAsia"/>
                <w:noProof/>
              </w:rPr>
              <w:t>披露声明</w:t>
            </w:r>
            <w:r w:rsidR="00C704AB">
              <w:rPr>
                <w:noProof/>
                <w:webHidden/>
              </w:rPr>
              <w:tab/>
            </w:r>
            <w:r w:rsidR="00C704AB">
              <w:rPr>
                <w:noProof/>
                <w:webHidden/>
              </w:rPr>
              <w:fldChar w:fldCharType="begin"/>
            </w:r>
            <w:r w:rsidR="00C704AB">
              <w:rPr>
                <w:noProof/>
                <w:webHidden/>
              </w:rPr>
              <w:instrText xml:space="preserve"> PAGEREF _Toc226824212 \h </w:instrText>
            </w:r>
            <w:r w:rsidR="00C704AB">
              <w:rPr>
                <w:noProof/>
                <w:webHidden/>
              </w:rPr>
            </w:r>
            <w:r w:rsidR="00C704AB">
              <w:rPr>
                <w:noProof/>
                <w:webHidden/>
              </w:rPr>
              <w:fldChar w:fldCharType="separate"/>
            </w:r>
            <w:r w:rsidR="00C704AB">
              <w:rPr>
                <w:noProof/>
                <w:webHidden/>
              </w:rPr>
              <w:t>1</w:t>
            </w:r>
            <w:r w:rsidR="00C704AB">
              <w:rPr>
                <w:noProof/>
                <w:webHidden/>
              </w:rPr>
              <w:fldChar w:fldCharType="end"/>
            </w:r>
          </w:hyperlink>
        </w:p>
        <w:p w:rsidR="00C704AB" w:rsidRDefault="00C53475">
          <w:pPr>
            <w:pStyle w:val="10"/>
            <w:rPr>
              <w:rFonts w:asciiTheme="minorHAnsi" w:hAnsiTheme="minorHAnsi"/>
              <w:b w:val="0"/>
              <w:kern w:val="2"/>
              <w:sz w:val="21"/>
              <w:szCs w:val="22"/>
            </w:rPr>
          </w:pPr>
          <w:hyperlink w:anchor="_Toc226824213" w:history="1">
            <w:r w:rsidR="00C704AB" w:rsidRPr="003E7CAC">
              <w:rPr>
                <w:rStyle w:val="a6"/>
              </w:rPr>
              <w:t xml:space="preserve">2  </w:t>
            </w:r>
            <w:r w:rsidR="00C704AB" w:rsidRPr="003E7CAC">
              <w:rPr>
                <w:rStyle w:val="a6"/>
                <w:rFonts w:hint="eastAsia"/>
              </w:rPr>
              <w:t>风险管理、关键审慎监管指标和风险加权资产概览</w:t>
            </w:r>
            <w:r w:rsidR="00C704AB">
              <w:rPr>
                <w:webHidden/>
              </w:rPr>
              <w:tab/>
            </w:r>
            <w:r w:rsidR="00C704AB">
              <w:rPr>
                <w:webHidden/>
              </w:rPr>
              <w:fldChar w:fldCharType="begin"/>
            </w:r>
            <w:r w:rsidR="00C704AB">
              <w:rPr>
                <w:webHidden/>
              </w:rPr>
              <w:instrText xml:space="preserve"> PAGEREF _Toc226824213 \h </w:instrText>
            </w:r>
            <w:r w:rsidR="00C704AB">
              <w:rPr>
                <w:webHidden/>
              </w:rPr>
            </w:r>
            <w:r w:rsidR="00C704AB">
              <w:rPr>
                <w:webHidden/>
              </w:rPr>
              <w:fldChar w:fldCharType="separate"/>
            </w:r>
            <w:r w:rsidR="00C704AB">
              <w:rPr>
                <w:webHidden/>
              </w:rPr>
              <w:t>2</w:t>
            </w:r>
            <w:r w:rsidR="00C704AB">
              <w:rPr>
                <w:webHidden/>
              </w:rPr>
              <w:fldChar w:fldCharType="end"/>
            </w:r>
          </w:hyperlink>
        </w:p>
        <w:p w:rsidR="00C704AB" w:rsidRDefault="00C53475">
          <w:pPr>
            <w:pStyle w:val="20"/>
            <w:tabs>
              <w:tab w:val="right" w:leader="dot" w:pos="8302"/>
            </w:tabs>
            <w:rPr>
              <w:noProof/>
              <w:kern w:val="2"/>
              <w:sz w:val="21"/>
            </w:rPr>
          </w:pPr>
          <w:hyperlink w:anchor="_Toc226824214" w:history="1">
            <w:r w:rsidR="00C704AB" w:rsidRPr="003E7CAC">
              <w:rPr>
                <w:rStyle w:val="a6"/>
                <w:rFonts w:asciiTheme="minorEastAsia" w:hAnsiTheme="minorEastAsia"/>
                <w:noProof/>
              </w:rPr>
              <w:t xml:space="preserve">2.1  KM1 </w:t>
            </w:r>
            <w:r w:rsidR="00C704AB" w:rsidRPr="003E7CAC">
              <w:rPr>
                <w:rStyle w:val="a6"/>
                <w:rFonts w:asciiTheme="minorEastAsia" w:hAnsiTheme="minorEastAsia" w:hint="eastAsia"/>
                <w:noProof/>
              </w:rPr>
              <w:t>关键审慎监管指标</w:t>
            </w:r>
            <w:r w:rsidR="00C704AB">
              <w:rPr>
                <w:noProof/>
                <w:webHidden/>
              </w:rPr>
              <w:tab/>
            </w:r>
            <w:r w:rsidR="00C704AB">
              <w:rPr>
                <w:noProof/>
                <w:webHidden/>
              </w:rPr>
              <w:fldChar w:fldCharType="begin"/>
            </w:r>
            <w:r w:rsidR="00C704AB">
              <w:rPr>
                <w:noProof/>
                <w:webHidden/>
              </w:rPr>
              <w:instrText xml:space="preserve"> PAGEREF _Toc226824214 \h </w:instrText>
            </w:r>
            <w:r w:rsidR="00C704AB">
              <w:rPr>
                <w:noProof/>
                <w:webHidden/>
              </w:rPr>
            </w:r>
            <w:r w:rsidR="00C704AB">
              <w:rPr>
                <w:noProof/>
                <w:webHidden/>
              </w:rPr>
              <w:fldChar w:fldCharType="separate"/>
            </w:r>
            <w:r w:rsidR="00C704AB">
              <w:rPr>
                <w:noProof/>
                <w:webHidden/>
              </w:rPr>
              <w:t>2</w:t>
            </w:r>
            <w:r w:rsidR="00C704AB">
              <w:rPr>
                <w:noProof/>
                <w:webHidden/>
              </w:rPr>
              <w:fldChar w:fldCharType="end"/>
            </w:r>
          </w:hyperlink>
        </w:p>
        <w:p w:rsidR="00C704AB" w:rsidRDefault="00C53475">
          <w:pPr>
            <w:pStyle w:val="20"/>
            <w:tabs>
              <w:tab w:val="right" w:leader="dot" w:pos="8302"/>
            </w:tabs>
            <w:rPr>
              <w:noProof/>
              <w:kern w:val="2"/>
              <w:sz w:val="21"/>
            </w:rPr>
          </w:pPr>
          <w:hyperlink w:anchor="_Toc226824215" w:history="1">
            <w:r w:rsidR="00C704AB" w:rsidRPr="003E7CAC">
              <w:rPr>
                <w:rStyle w:val="a6"/>
                <w:rFonts w:asciiTheme="minorEastAsia" w:hAnsiTheme="minorEastAsia"/>
                <w:noProof/>
              </w:rPr>
              <w:t xml:space="preserve">2.2  </w:t>
            </w:r>
            <w:r w:rsidR="00C704AB" w:rsidRPr="003E7CAC">
              <w:rPr>
                <w:rStyle w:val="a6"/>
                <w:rFonts w:asciiTheme="minorEastAsia" w:hAnsiTheme="minorEastAsia" w:cs="Times New Roman"/>
                <w:noProof/>
              </w:rPr>
              <w:t xml:space="preserve">OV1 </w:t>
            </w:r>
            <w:r w:rsidR="00C704AB" w:rsidRPr="003E7CAC">
              <w:rPr>
                <w:rStyle w:val="a6"/>
                <w:rFonts w:asciiTheme="minorEastAsia" w:hAnsiTheme="minorEastAsia" w:hint="eastAsia"/>
                <w:noProof/>
              </w:rPr>
              <w:t>风险加权资产概况</w:t>
            </w:r>
            <w:r w:rsidR="00C704AB">
              <w:rPr>
                <w:noProof/>
                <w:webHidden/>
              </w:rPr>
              <w:tab/>
            </w:r>
            <w:r w:rsidR="00C704AB">
              <w:rPr>
                <w:noProof/>
                <w:webHidden/>
              </w:rPr>
              <w:fldChar w:fldCharType="begin"/>
            </w:r>
            <w:r w:rsidR="00C704AB">
              <w:rPr>
                <w:noProof/>
                <w:webHidden/>
              </w:rPr>
              <w:instrText xml:space="preserve"> PAGEREF _Toc226824215 \h </w:instrText>
            </w:r>
            <w:r w:rsidR="00C704AB">
              <w:rPr>
                <w:noProof/>
                <w:webHidden/>
              </w:rPr>
            </w:r>
            <w:r w:rsidR="00C704AB">
              <w:rPr>
                <w:noProof/>
                <w:webHidden/>
              </w:rPr>
              <w:fldChar w:fldCharType="separate"/>
            </w:r>
            <w:r w:rsidR="00C704AB">
              <w:rPr>
                <w:noProof/>
                <w:webHidden/>
              </w:rPr>
              <w:t>3</w:t>
            </w:r>
            <w:r w:rsidR="00C704AB">
              <w:rPr>
                <w:noProof/>
                <w:webHidden/>
              </w:rPr>
              <w:fldChar w:fldCharType="end"/>
            </w:r>
          </w:hyperlink>
        </w:p>
        <w:p w:rsidR="00C704AB" w:rsidRDefault="00C53475">
          <w:pPr>
            <w:pStyle w:val="10"/>
            <w:rPr>
              <w:rFonts w:asciiTheme="minorHAnsi" w:hAnsiTheme="minorHAnsi"/>
              <w:b w:val="0"/>
              <w:kern w:val="2"/>
              <w:sz w:val="21"/>
              <w:szCs w:val="22"/>
            </w:rPr>
          </w:pPr>
          <w:hyperlink w:anchor="_Toc226824216" w:history="1">
            <w:r w:rsidR="00C704AB" w:rsidRPr="003E7CAC">
              <w:rPr>
                <w:rStyle w:val="a6"/>
              </w:rPr>
              <w:t xml:space="preserve">3  </w:t>
            </w:r>
            <w:r w:rsidR="00C704AB" w:rsidRPr="003E7CAC">
              <w:rPr>
                <w:rStyle w:val="a6"/>
                <w:rFonts w:hint="eastAsia"/>
              </w:rPr>
              <w:t>杠杆率</w:t>
            </w:r>
            <w:r w:rsidR="00C704AB">
              <w:rPr>
                <w:webHidden/>
              </w:rPr>
              <w:tab/>
            </w:r>
            <w:r w:rsidR="00C704AB">
              <w:rPr>
                <w:webHidden/>
              </w:rPr>
              <w:fldChar w:fldCharType="begin"/>
            </w:r>
            <w:r w:rsidR="00C704AB">
              <w:rPr>
                <w:webHidden/>
              </w:rPr>
              <w:instrText xml:space="preserve"> PAGEREF _Toc226824216 \h </w:instrText>
            </w:r>
            <w:r w:rsidR="00C704AB">
              <w:rPr>
                <w:webHidden/>
              </w:rPr>
            </w:r>
            <w:r w:rsidR="00C704AB">
              <w:rPr>
                <w:webHidden/>
              </w:rPr>
              <w:fldChar w:fldCharType="separate"/>
            </w:r>
            <w:r w:rsidR="00C704AB">
              <w:rPr>
                <w:webHidden/>
              </w:rPr>
              <w:t>4</w:t>
            </w:r>
            <w:r w:rsidR="00C704AB">
              <w:rPr>
                <w:webHidden/>
              </w:rPr>
              <w:fldChar w:fldCharType="end"/>
            </w:r>
          </w:hyperlink>
        </w:p>
        <w:p w:rsidR="00C704AB" w:rsidRDefault="00C53475">
          <w:pPr>
            <w:pStyle w:val="20"/>
            <w:tabs>
              <w:tab w:val="right" w:leader="dot" w:pos="8302"/>
            </w:tabs>
            <w:rPr>
              <w:noProof/>
              <w:kern w:val="2"/>
              <w:sz w:val="21"/>
            </w:rPr>
          </w:pPr>
          <w:hyperlink w:anchor="_Toc226824217" w:history="1">
            <w:r w:rsidR="00C704AB" w:rsidRPr="003E7CAC">
              <w:rPr>
                <w:rStyle w:val="a6"/>
                <w:rFonts w:asciiTheme="minorEastAsia" w:hAnsiTheme="minorEastAsia"/>
                <w:noProof/>
              </w:rPr>
              <w:t xml:space="preserve">3.1  </w:t>
            </w:r>
            <w:r w:rsidR="00C704AB" w:rsidRPr="003E7CAC">
              <w:rPr>
                <w:rStyle w:val="a6"/>
                <w:rFonts w:asciiTheme="minorEastAsia" w:hAnsiTheme="minorEastAsia" w:cs="Times New Roman"/>
                <w:noProof/>
              </w:rPr>
              <w:t xml:space="preserve">LR1 </w:t>
            </w:r>
            <w:r w:rsidR="00C704AB" w:rsidRPr="003E7CAC">
              <w:rPr>
                <w:rStyle w:val="a6"/>
                <w:rFonts w:asciiTheme="minorEastAsia" w:hAnsiTheme="minorEastAsia" w:hint="eastAsia"/>
                <w:noProof/>
              </w:rPr>
              <w:t>杠杆率监管项目与相关会计项目的差异</w:t>
            </w:r>
            <w:r w:rsidR="00C704AB">
              <w:rPr>
                <w:noProof/>
                <w:webHidden/>
              </w:rPr>
              <w:tab/>
            </w:r>
            <w:r w:rsidR="00C704AB">
              <w:rPr>
                <w:noProof/>
                <w:webHidden/>
              </w:rPr>
              <w:fldChar w:fldCharType="begin"/>
            </w:r>
            <w:r w:rsidR="00C704AB">
              <w:rPr>
                <w:noProof/>
                <w:webHidden/>
              </w:rPr>
              <w:instrText xml:space="preserve"> PAGEREF _Toc226824217 \h </w:instrText>
            </w:r>
            <w:r w:rsidR="00C704AB">
              <w:rPr>
                <w:noProof/>
                <w:webHidden/>
              </w:rPr>
            </w:r>
            <w:r w:rsidR="00C704AB">
              <w:rPr>
                <w:noProof/>
                <w:webHidden/>
              </w:rPr>
              <w:fldChar w:fldCharType="separate"/>
            </w:r>
            <w:r w:rsidR="00C704AB">
              <w:rPr>
                <w:noProof/>
                <w:webHidden/>
              </w:rPr>
              <w:t>4</w:t>
            </w:r>
            <w:r w:rsidR="00C704AB">
              <w:rPr>
                <w:noProof/>
                <w:webHidden/>
              </w:rPr>
              <w:fldChar w:fldCharType="end"/>
            </w:r>
          </w:hyperlink>
        </w:p>
        <w:p w:rsidR="00C704AB" w:rsidRDefault="00C53475">
          <w:pPr>
            <w:pStyle w:val="20"/>
            <w:tabs>
              <w:tab w:val="right" w:leader="dot" w:pos="8302"/>
            </w:tabs>
            <w:rPr>
              <w:noProof/>
              <w:kern w:val="2"/>
              <w:sz w:val="21"/>
            </w:rPr>
          </w:pPr>
          <w:hyperlink w:anchor="_Toc226824218" w:history="1">
            <w:r w:rsidR="00C704AB" w:rsidRPr="003E7CAC">
              <w:rPr>
                <w:rStyle w:val="a6"/>
                <w:rFonts w:asciiTheme="minorEastAsia" w:hAnsiTheme="minorEastAsia"/>
                <w:noProof/>
              </w:rPr>
              <w:t xml:space="preserve">3.2  </w:t>
            </w:r>
            <w:r w:rsidR="00C704AB" w:rsidRPr="003E7CAC">
              <w:rPr>
                <w:rStyle w:val="a6"/>
                <w:rFonts w:asciiTheme="minorEastAsia" w:hAnsiTheme="minorEastAsia" w:cs="Times New Roman"/>
                <w:noProof/>
              </w:rPr>
              <w:t xml:space="preserve">LR2 </w:t>
            </w:r>
            <w:r w:rsidR="00C704AB" w:rsidRPr="003E7CAC">
              <w:rPr>
                <w:rStyle w:val="a6"/>
                <w:rFonts w:asciiTheme="minorEastAsia" w:hAnsiTheme="minorEastAsia" w:hint="eastAsia"/>
                <w:noProof/>
              </w:rPr>
              <w:t>杠杆率</w:t>
            </w:r>
            <w:r w:rsidR="00C704AB">
              <w:rPr>
                <w:noProof/>
                <w:webHidden/>
              </w:rPr>
              <w:tab/>
            </w:r>
            <w:r w:rsidR="00C704AB">
              <w:rPr>
                <w:noProof/>
                <w:webHidden/>
              </w:rPr>
              <w:fldChar w:fldCharType="begin"/>
            </w:r>
            <w:r w:rsidR="00C704AB">
              <w:rPr>
                <w:noProof/>
                <w:webHidden/>
              </w:rPr>
              <w:instrText xml:space="preserve"> PAGEREF _Toc226824218 \h </w:instrText>
            </w:r>
            <w:r w:rsidR="00C704AB">
              <w:rPr>
                <w:noProof/>
                <w:webHidden/>
              </w:rPr>
            </w:r>
            <w:r w:rsidR="00C704AB">
              <w:rPr>
                <w:noProof/>
                <w:webHidden/>
              </w:rPr>
              <w:fldChar w:fldCharType="separate"/>
            </w:r>
            <w:r w:rsidR="00C704AB">
              <w:rPr>
                <w:noProof/>
                <w:webHidden/>
              </w:rPr>
              <w:t>5</w:t>
            </w:r>
            <w:r w:rsidR="00C704AB">
              <w:rPr>
                <w:noProof/>
                <w:webHidden/>
              </w:rPr>
              <w:fldChar w:fldCharType="end"/>
            </w:r>
          </w:hyperlink>
        </w:p>
        <w:p w:rsidR="00F50307" w:rsidRDefault="00F50307" w:rsidP="00282E26">
          <w:pPr>
            <w:spacing w:line="360" w:lineRule="auto"/>
          </w:pPr>
          <w:r w:rsidRPr="00F72CD6">
            <w:rPr>
              <w:rFonts w:asciiTheme="minorEastAsia" w:hAnsiTheme="minorEastAsia"/>
              <w:b/>
              <w:bCs/>
              <w:sz w:val="24"/>
              <w:szCs w:val="24"/>
              <w:lang w:val="zh-CN"/>
            </w:rPr>
            <w:fldChar w:fldCharType="end"/>
          </w:r>
        </w:p>
      </w:sdtContent>
    </w:sdt>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5E452C" w:rsidRPr="00F50307" w:rsidRDefault="005E452C" w:rsidP="00282E26">
      <w:pPr>
        <w:spacing w:line="360" w:lineRule="auto"/>
        <w:rPr>
          <w:rFonts w:asciiTheme="minorEastAsia" w:hAnsiTheme="minorEastAsia" w:cs="Times New Roman"/>
          <w:color w:val="000000"/>
          <w:szCs w:val="21"/>
        </w:rPr>
      </w:pPr>
    </w:p>
    <w:p w:rsidR="00676F66" w:rsidRDefault="00676F66" w:rsidP="00282E26">
      <w:pPr>
        <w:pStyle w:val="1"/>
        <w:spacing w:before="0" w:after="0" w:line="360" w:lineRule="auto"/>
        <w:rPr>
          <w:rFonts w:asciiTheme="minorEastAsia" w:hAnsiTheme="minorEastAsia"/>
          <w:sz w:val="28"/>
          <w:szCs w:val="24"/>
        </w:rPr>
        <w:sectPr w:rsidR="00676F66" w:rsidSect="00676F66">
          <w:pgSz w:w="11906" w:h="16838"/>
          <w:pgMar w:top="1304" w:right="1797" w:bottom="1304" w:left="1797" w:header="851" w:footer="992" w:gutter="0"/>
          <w:cols w:space="425"/>
          <w:docGrid w:type="lines" w:linePitch="312"/>
        </w:sectPr>
      </w:pPr>
    </w:p>
    <w:p w:rsidR="005E452C" w:rsidRPr="002E660F" w:rsidRDefault="005E452C" w:rsidP="00282E26">
      <w:pPr>
        <w:pStyle w:val="1"/>
        <w:spacing w:before="0" w:after="0" w:line="360" w:lineRule="auto"/>
        <w:rPr>
          <w:rFonts w:asciiTheme="minorEastAsia" w:hAnsiTheme="minorEastAsia"/>
          <w:sz w:val="28"/>
          <w:szCs w:val="24"/>
        </w:rPr>
      </w:pPr>
      <w:bookmarkStart w:id="0" w:name="_Toc226824210"/>
      <w:r w:rsidRPr="002E660F">
        <w:rPr>
          <w:rFonts w:asciiTheme="minorEastAsia" w:hAnsiTheme="minorEastAsia" w:hint="eastAsia"/>
          <w:sz w:val="28"/>
          <w:szCs w:val="24"/>
        </w:rPr>
        <w:lastRenderedPageBreak/>
        <w:t>1</w:t>
      </w:r>
      <w:r w:rsidR="00137392" w:rsidRPr="002E660F">
        <w:rPr>
          <w:rFonts w:asciiTheme="minorEastAsia" w:hAnsiTheme="minorEastAsia"/>
          <w:sz w:val="28"/>
          <w:szCs w:val="24"/>
        </w:rPr>
        <w:t xml:space="preserve">  </w:t>
      </w:r>
      <w:r w:rsidRPr="002E660F">
        <w:rPr>
          <w:rFonts w:asciiTheme="minorEastAsia" w:hAnsiTheme="minorEastAsia" w:hint="eastAsia"/>
          <w:sz w:val="28"/>
          <w:szCs w:val="24"/>
        </w:rPr>
        <w:t>引言</w:t>
      </w:r>
      <w:bookmarkEnd w:id="0"/>
    </w:p>
    <w:p w:rsidR="005E452C" w:rsidRPr="002E660F" w:rsidRDefault="005E452C" w:rsidP="00282E26">
      <w:pPr>
        <w:pStyle w:val="2"/>
        <w:spacing w:before="0" w:after="0" w:line="360" w:lineRule="auto"/>
        <w:rPr>
          <w:rFonts w:asciiTheme="minorEastAsia" w:eastAsiaTheme="minorEastAsia" w:hAnsiTheme="minorEastAsia"/>
          <w:sz w:val="24"/>
          <w:szCs w:val="24"/>
        </w:rPr>
      </w:pPr>
      <w:bookmarkStart w:id="1" w:name="_Toc226824211"/>
      <w:r w:rsidRPr="002E660F">
        <w:rPr>
          <w:rFonts w:asciiTheme="minorEastAsia" w:eastAsiaTheme="minorEastAsia" w:hAnsiTheme="minorEastAsia" w:hint="eastAsia"/>
          <w:sz w:val="24"/>
          <w:szCs w:val="24"/>
        </w:rPr>
        <w:t>1.1</w:t>
      </w:r>
      <w:r w:rsidR="00137392" w:rsidRPr="002E660F">
        <w:rPr>
          <w:rFonts w:asciiTheme="minorEastAsia" w:eastAsiaTheme="minorEastAsia" w:hAnsiTheme="minorEastAsia"/>
          <w:sz w:val="24"/>
          <w:szCs w:val="24"/>
        </w:rPr>
        <w:t xml:space="preserve">  </w:t>
      </w:r>
      <w:r w:rsidRPr="002E660F">
        <w:rPr>
          <w:rFonts w:asciiTheme="minorEastAsia" w:eastAsiaTheme="minorEastAsia" w:hAnsiTheme="minorEastAsia" w:hint="eastAsia"/>
          <w:sz w:val="24"/>
          <w:szCs w:val="24"/>
        </w:rPr>
        <w:t>披露依据</w:t>
      </w:r>
      <w:bookmarkEnd w:id="1"/>
    </w:p>
    <w:p w:rsidR="005E452C" w:rsidRPr="002E660F" w:rsidRDefault="005E452C" w:rsidP="00282E26">
      <w:pPr>
        <w:spacing w:line="360" w:lineRule="auto"/>
        <w:ind w:firstLineChars="200" w:firstLine="480"/>
        <w:rPr>
          <w:rFonts w:asciiTheme="minorEastAsia" w:hAnsiTheme="minorEastAsia" w:cs="Times New Roman"/>
          <w:color w:val="000000"/>
          <w:sz w:val="24"/>
          <w:szCs w:val="24"/>
        </w:rPr>
      </w:pPr>
      <w:r w:rsidRPr="002E660F">
        <w:rPr>
          <w:rFonts w:asciiTheme="minorEastAsia" w:hAnsiTheme="minorEastAsia" w:cs="Times New Roman" w:hint="eastAsia"/>
          <w:color w:val="000000"/>
          <w:sz w:val="24"/>
          <w:szCs w:val="24"/>
        </w:rPr>
        <w:t>本报告根据国家金融监督管理总局令第4号《商业银行资本管理办法》编制并披露。</w:t>
      </w:r>
    </w:p>
    <w:p w:rsidR="005E452C" w:rsidRPr="002E660F" w:rsidRDefault="005E452C" w:rsidP="00282E26">
      <w:pPr>
        <w:pStyle w:val="2"/>
        <w:spacing w:before="0" w:after="0" w:line="360" w:lineRule="auto"/>
        <w:rPr>
          <w:rFonts w:asciiTheme="minorEastAsia" w:eastAsiaTheme="minorEastAsia" w:hAnsiTheme="minorEastAsia"/>
          <w:sz w:val="24"/>
          <w:szCs w:val="24"/>
        </w:rPr>
      </w:pPr>
      <w:bookmarkStart w:id="2" w:name="_Toc226824212"/>
      <w:r w:rsidRPr="002E660F">
        <w:rPr>
          <w:rFonts w:asciiTheme="minorEastAsia" w:eastAsiaTheme="minorEastAsia" w:hAnsiTheme="minorEastAsia" w:hint="eastAsia"/>
          <w:sz w:val="24"/>
          <w:szCs w:val="24"/>
        </w:rPr>
        <w:t>1.2</w:t>
      </w:r>
      <w:r w:rsidR="00137392" w:rsidRPr="002E660F">
        <w:rPr>
          <w:rFonts w:asciiTheme="minorEastAsia" w:eastAsiaTheme="minorEastAsia" w:hAnsiTheme="minorEastAsia"/>
          <w:sz w:val="24"/>
          <w:szCs w:val="24"/>
        </w:rPr>
        <w:t xml:space="preserve">  </w:t>
      </w:r>
      <w:r w:rsidRPr="002E660F">
        <w:rPr>
          <w:rFonts w:asciiTheme="minorEastAsia" w:eastAsiaTheme="minorEastAsia" w:hAnsiTheme="minorEastAsia" w:hint="eastAsia"/>
          <w:sz w:val="24"/>
          <w:szCs w:val="24"/>
        </w:rPr>
        <w:t>披露声明</w:t>
      </w:r>
      <w:bookmarkEnd w:id="2"/>
    </w:p>
    <w:p w:rsidR="005E452C" w:rsidRPr="002E660F" w:rsidRDefault="005E452C" w:rsidP="00282E26">
      <w:pPr>
        <w:spacing w:line="360" w:lineRule="auto"/>
        <w:ind w:firstLineChars="200" w:firstLine="480"/>
        <w:rPr>
          <w:rFonts w:asciiTheme="minorEastAsia" w:hAnsiTheme="minorEastAsia" w:cs="Times New Roman"/>
          <w:color w:val="000000"/>
          <w:sz w:val="24"/>
          <w:szCs w:val="24"/>
        </w:rPr>
      </w:pPr>
      <w:r w:rsidRPr="002E660F">
        <w:rPr>
          <w:rFonts w:asciiTheme="minorEastAsia" w:hAnsiTheme="minorEastAsia" w:cs="Times New Roman" w:hint="eastAsia"/>
          <w:color w:val="000000"/>
          <w:sz w:val="24"/>
          <w:szCs w:val="24"/>
        </w:rPr>
        <w:t>本公司已建立第三支柱信息披露管理治理架构</w:t>
      </w:r>
      <w:r w:rsidR="00F52A86" w:rsidRPr="002E660F">
        <w:rPr>
          <w:rFonts w:asciiTheme="minorEastAsia" w:hAnsiTheme="minorEastAsia" w:cs="Times New Roman" w:hint="eastAsia"/>
          <w:color w:val="000000"/>
          <w:sz w:val="24"/>
          <w:szCs w:val="24"/>
        </w:rPr>
        <w:t>，</w:t>
      </w:r>
      <w:r w:rsidRPr="002E660F">
        <w:rPr>
          <w:rFonts w:asciiTheme="minorEastAsia" w:hAnsiTheme="minorEastAsia" w:cs="Times New Roman" w:hint="eastAsia"/>
          <w:color w:val="000000"/>
          <w:sz w:val="24"/>
          <w:szCs w:val="24"/>
        </w:rPr>
        <w:t>由本公司董事会批准并由高级管理层实施有效的内部控制流程，对信息披露内容进行合理审查，确保第三支柱披露信息真实、可靠。</w:t>
      </w:r>
    </w:p>
    <w:p w:rsidR="00F50307" w:rsidRPr="002E660F" w:rsidRDefault="005E452C" w:rsidP="00282E26">
      <w:pPr>
        <w:spacing w:line="360" w:lineRule="auto"/>
        <w:ind w:firstLineChars="200" w:firstLine="480"/>
        <w:rPr>
          <w:rFonts w:asciiTheme="minorEastAsia" w:hAnsiTheme="minorEastAsia" w:cs="Times New Roman"/>
          <w:color w:val="000000"/>
          <w:sz w:val="24"/>
          <w:szCs w:val="24"/>
        </w:rPr>
      </w:pPr>
      <w:r w:rsidRPr="002E660F">
        <w:rPr>
          <w:rFonts w:asciiTheme="minorEastAsia" w:hAnsiTheme="minorEastAsia" w:cs="Times New Roman" w:hint="eastAsia"/>
          <w:color w:val="000000"/>
          <w:sz w:val="24"/>
          <w:szCs w:val="24"/>
        </w:rPr>
        <w:t>本报告是按照国家金融监督管理总局《商业银行资本管理办法》正文第九章信息披露及附件22商业银行信息披露内容和要求</w:t>
      </w:r>
      <w:r w:rsidR="00625B55" w:rsidRPr="002E660F">
        <w:rPr>
          <w:rFonts w:asciiTheme="minorEastAsia" w:hAnsiTheme="minorEastAsia" w:cs="Times New Roman" w:hint="eastAsia"/>
          <w:color w:val="000000"/>
          <w:sz w:val="24"/>
          <w:szCs w:val="24"/>
        </w:rPr>
        <w:t>编制</w:t>
      </w:r>
      <w:r w:rsidR="00625B55">
        <w:rPr>
          <w:rFonts w:asciiTheme="minorEastAsia" w:hAnsiTheme="minorEastAsia" w:cs="Times New Roman" w:hint="eastAsia"/>
          <w:color w:val="000000"/>
          <w:sz w:val="24"/>
          <w:szCs w:val="24"/>
        </w:rPr>
        <w:t>，</w:t>
      </w:r>
      <w:r w:rsidRPr="002E660F">
        <w:rPr>
          <w:rFonts w:asciiTheme="minorEastAsia" w:hAnsiTheme="minorEastAsia" w:cs="Times New Roman" w:hint="eastAsia"/>
          <w:color w:val="000000"/>
          <w:sz w:val="24"/>
          <w:szCs w:val="24"/>
        </w:rPr>
        <w:t>而非财务会计准则。因此，报告中的部分资料并不能与同期财务报告的信息直接进行比较。</w:t>
      </w:r>
    </w:p>
    <w:p w:rsidR="005E452C" w:rsidRPr="002E660F" w:rsidRDefault="00F50307" w:rsidP="00282E26">
      <w:pPr>
        <w:spacing w:line="360" w:lineRule="auto"/>
        <w:ind w:firstLineChars="200" w:firstLine="480"/>
        <w:rPr>
          <w:rFonts w:asciiTheme="minorEastAsia" w:hAnsiTheme="minorEastAsia" w:cs="Times New Roman"/>
          <w:color w:val="000000"/>
          <w:sz w:val="24"/>
          <w:szCs w:val="24"/>
        </w:rPr>
      </w:pPr>
      <w:r w:rsidRPr="002E660F">
        <w:rPr>
          <w:rFonts w:asciiTheme="minorEastAsia" w:hAnsiTheme="minorEastAsia" w:cs="Times New Roman" w:hint="eastAsia"/>
          <w:color w:val="000000"/>
          <w:sz w:val="24"/>
          <w:szCs w:val="24"/>
        </w:rPr>
        <w:t>本报告除特别注明外，均以千元为单位，因四舍五入可能存在数据尾差。</w:t>
      </w:r>
    </w:p>
    <w:p w:rsidR="00F52A86" w:rsidRPr="002E660F" w:rsidRDefault="00F52A86" w:rsidP="00282E26">
      <w:pPr>
        <w:spacing w:line="360" w:lineRule="auto"/>
        <w:rPr>
          <w:rFonts w:asciiTheme="minorEastAsia" w:hAnsiTheme="minorEastAsia" w:cs="Times New Roman"/>
          <w:color w:val="000000"/>
          <w:sz w:val="24"/>
          <w:szCs w:val="24"/>
        </w:rPr>
      </w:pPr>
    </w:p>
    <w:p w:rsidR="00885336" w:rsidRPr="002E660F" w:rsidRDefault="00885336" w:rsidP="00282E26">
      <w:pPr>
        <w:spacing w:line="360" w:lineRule="auto"/>
        <w:rPr>
          <w:rFonts w:asciiTheme="minorEastAsia" w:hAnsiTheme="minorEastAsia" w:cs="Times New Roman"/>
          <w:color w:val="000000"/>
          <w:sz w:val="24"/>
          <w:szCs w:val="24"/>
        </w:rPr>
      </w:pPr>
    </w:p>
    <w:p w:rsidR="00885336" w:rsidRPr="002E660F" w:rsidRDefault="00885336" w:rsidP="00282E26">
      <w:pPr>
        <w:spacing w:line="360" w:lineRule="auto"/>
        <w:rPr>
          <w:rFonts w:asciiTheme="minorEastAsia" w:hAnsiTheme="minorEastAsia" w:cs="Times New Roman"/>
          <w:color w:val="000000"/>
          <w:sz w:val="24"/>
          <w:szCs w:val="24"/>
        </w:rPr>
      </w:pPr>
    </w:p>
    <w:p w:rsidR="00885336" w:rsidRPr="002E660F" w:rsidRDefault="00885336" w:rsidP="00282E26">
      <w:pPr>
        <w:spacing w:line="360" w:lineRule="auto"/>
        <w:rPr>
          <w:rFonts w:asciiTheme="minorEastAsia" w:hAnsiTheme="minorEastAsia" w:cs="Times New Roman"/>
          <w:color w:val="000000"/>
          <w:sz w:val="24"/>
          <w:szCs w:val="24"/>
        </w:rPr>
      </w:pPr>
    </w:p>
    <w:p w:rsidR="00885336" w:rsidRPr="002E660F" w:rsidRDefault="00885336" w:rsidP="00282E26">
      <w:pPr>
        <w:spacing w:line="360" w:lineRule="auto"/>
        <w:rPr>
          <w:rFonts w:asciiTheme="minorEastAsia" w:hAnsiTheme="minorEastAsia" w:cs="Times New Roman"/>
          <w:color w:val="000000"/>
          <w:sz w:val="24"/>
          <w:szCs w:val="24"/>
        </w:rPr>
      </w:pPr>
    </w:p>
    <w:p w:rsidR="00885336" w:rsidRPr="002E660F" w:rsidRDefault="00885336" w:rsidP="00282E26">
      <w:pPr>
        <w:spacing w:line="360" w:lineRule="auto"/>
        <w:rPr>
          <w:rFonts w:asciiTheme="minorEastAsia" w:hAnsiTheme="minorEastAsia" w:cs="Times New Roman"/>
          <w:color w:val="000000"/>
          <w:sz w:val="24"/>
          <w:szCs w:val="24"/>
        </w:rPr>
      </w:pPr>
    </w:p>
    <w:p w:rsidR="00885336" w:rsidRPr="002E660F" w:rsidRDefault="00885336" w:rsidP="00282E26">
      <w:pPr>
        <w:spacing w:line="360" w:lineRule="auto"/>
        <w:rPr>
          <w:rFonts w:asciiTheme="minorEastAsia" w:hAnsiTheme="minorEastAsia" w:cs="Times New Roman"/>
          <w:color w:val="000000"/>
          <w:sz w:val="24"/>
          <w:szCs w:val="24"/>
        </w:rPr>
      </w:pPr>
    </w:p>
    <w:p w:rsidR="00885336" w:rsidRDefault="00885336" w:rsidP="00282E26">
      <w:pPr>
        <w:spacing w:line="360" w:lineRule="auto"/>
        <w:rPr>
          <w:rFonts w:asciiTheme="minorEastAsia" w:hAnsiTheme="minorEastAsia" w:cs="Times New Roman"/>
          <w:color w:val="000000"/>
          <w:sz w:val="24"/>
          <w:szCs w:val="24"/>
        </w:rPr>
      </w:pPr>
    </w:p>
    <w:p w:rsidR="002A644A" w:rsidRPr="002E660F" w:rsidRDefault="002A644A" w:rsidP="00282E26">
      <w:pPr>
        <w:spacing w:line="360" w:lineRule="auto"/>
        <w:rPr>
          <w:rFonts w:asciiTheme="minorEastAsia" w:hAnsiTheme="minorEastAsia" w:cs="Times New Roman"/>
          <w:color w:val="000000"/>
          <w:sz w:val="24"/>
          <w:szCs w:val="24"/>
        </w:rPr>
      </w:pPr>
    </w:p>
    <w:p w:rsidR="00885336" w:rsidRDefault="00885336" w:rsidP="00282E26">
      <w:pPr>
        <w:spacing w:line="360" w:lineRule="auto"/>
        <w:rPr>
          <w:rFonts w:asciiTheme="minorEastAsia" w:hAnsiTheme="minorEastAsia" w:cs="Times New Roman"/>
          <w:color w:val="000000"/>
          <w:sz w:val="24"/>
          <w:szCs w:val="24"/>
        </w:rPr>
      </w:pPr>
    </w:p>
    <w:p w:rsidR="00282E26" w:rsidRDefault="00282E26" w:rsidP="00282E26">
      <w:pPr>
        <w:spacing w:line="360" w:lineRule="auto"/>
        <w:rPr>
          <w:rFonts w:asciiTheme="minorEastAsia" w:hAnsiTheme="minorEastAsia" w:cs="Times New Roman"/>
          <w:color w:val="000000"/>
          <w:sz w:val="24"/>
          <w:szCs w:val="24"/>
        </w:rPr>
      </w:pPr>
    </w:p>
    <w:p w:rsidR="00282E26" w:rsidRDefault="00282E26" w:rsidP="00282E26">
      <w:pPr>
        <w:spacing w:line="360" w:lineRule="auto"/>
        <w:rPr>
          <w:rFonts w:asciiTheme="minorEastAsia" w:hAnsiTheme="minorEastAsia" w:cs="Times New Roman"/>
          <w:color w:val="000000"/>
          <w:sz w:val="24"/>
          <w:szCs w:val="24"/>
        </w:rPr>
      </w:pPr>
    </w:p>
    <w:p w:rsidR="00282E26" w:rsidRDefault="00282E26" w:rsidP="00282E26">
      <w:pPr>
        <w:spacing w:line="360" w:lineRule="auto"/>
        <w:rPr>
          <w:rFonts w:asciiTheme="minorEastAsia" w:hAnsiTheme="minorEastAsia" w:cs="Times New Roman"/>
          <w:color w:val="000000"/>
          <w:sz w:val="24"/>
          <w:szCs w:val="24"/>
        </w:rPr>
      </w:pPr>
    </w:p>
    <w:p w:rsidR="00282E26" w:rsidRDefault="00282E26" w:rsidP="00282E26">
      <w:pPr>
        <w:spacing w:line="360" w:lineRule="auto"/>
        <w:rPr>
          <w:rFonts w:asciiTheme="minorEastAsia" w:hAnsiTheme="minorEastAsia" w:cs="Times New Roman"/>
          <w:color w:val="000000"/>
          <w:sz w:val="24"/>
          <w:szCs w:val="24"/>
        </w:rPr>
      </w:pPr>
    </w:p>
    <w:p w:rsidR="009C296A" w:rsidRPr="002E660F" w:rsidRDefault="009C296A" w:rsidP="00282E26">
      <w:pPr>
        <w:spacing w:line="360" w:lineRule="auto"/>
        <w:rPr>
          <w:rFonts w:asciiTheme="minorEastAsia" w:hAnsiTheme="minorEastAsia" w:cs="Times New Roman"/>
          <w:color w:val="000000"/>
          <w:sz w:val="24"/>
          <w:szCs w:val="24"/>
        </w:rPr>
      </w:pPr>
    </w:p>
    <w:p w:rsidR="00F52A86" w:rsidRPr="002E660F" w:rsidRDefault="00F52A86" w:rsidP="00282E26">
      <w:pPr>
        <w:pStyle w:val="1"/>
        <w:spacing w:before="0" w:after="0" w:line="360" w:lineRule="auto"/>
        <w:rPr>
          <w:rFonts w:asciiTheme="minorEastAsia" w:hAnsiTheme="minorEastAsia"/>
          <w:sz w:val="28"/>
          <w:szCs w:val="28"/>
        </w:rPr>
      </w:pPr>
      <w:bookmarkStart w:id="3" w:name="_Toc226824213"/>
      <w:r w:rsidRPr="002E660F">
        <w:rPr>
          <w:rFonts w:asciiTheme="minorEastAsia" w:hAnsiTheme="minorEastAsia" w:hint="eastAsia"/>
          <w:sz w:val="28"/>
          <w:szCs w:val="28"/>
        </w:rPr>
        <w:lastRenderedPageBreak/>
        <w:t>2</w:t>
      </w:r>
      <w:r w:rsidR="00137392" w:rsidRPr="002E660F">
        <w:rPr>
          <w:rFonts w:asciiTheme="minorEastAsia" w:hAnsiTheme="minorEastAsia"/>
          <w:sz w:val="28"/>
          <w:szCs w:val="28"/>
        </w:rPr>
        <w:t xml:space="preserve">  </w:t>
      </w:r>
      <w:r w:rsidRPr="002E660F">
        <w:rPr>
          <w:rFonts w:asciiTheme="minorEastAsia" w:hAnsiTheme="minorEastAsia" w:hint="eastAsia"/>
          <w:sz w:val="28"/>
          <w:szCs w:val="28"/>
        </w:rPr>
        <w:t>风险管理、关键审慎监管指标和风险加权资产概览</w:t>
      </w:r>
      <w:bookmarkEnd w:id="3"/>
    </w:p>
    <w:p w:rsidR="00F52A86" w:rsidRPr="002E660F" w:rsidRDefault="00F52A86" w:rsidP="00282E26">
      <w:pPr>
        <w:pStyle w:val="2"/>
        <w:spacing w:before="0" w:after="0" w:line="360" w:lineRule="auto"/>
        <w:rPr>
          <w:rFonts w:asciiTheme="minorEastAsia" w:eastAsiaTheme="minorEastAsia" w:hAnsiTheme="minorEastAsia"/>
          <w:sz w:val="24"/>
          <w:szCs w:val="24"/>
        </w:rPr>
      </w:pPr>
      <w:bookmarkStart w:id="4" w:name="_Toc226824214"/>
      <w:r w:rsidRPr="002E660F">
        <w:rPr>
          <w:rFonts w:asciiTheme="minorEastAsia" w:eastAsiaTheme="minorEastAsia" w:hAnsiTheme="minorEastAsia" w:hint="eastAsia"/>
          <w:sz w:val="24"/>
          <w:szCs w:val="24"/>
        </w:rPr>
        <w:t>2.1</w:t>
      </w:r>
      <w:r w:rsidR="00137392" w:rsidRPr="002E660F">
        <w:rPr>
          <w:rFonts w:asciiTheme="minorEastAsia" w:eastAsiaTheme="minorEastAsia" w:hAnsiTheme="minorEastAsia"/>
          <w:sz w:val="24"/>
          <w:szCs w:val="24"/>
        </w:rPr>
        <w:t xml:space="preserve">  </w:t>
      </w:r>
      <w:r w:rsidR="005F40AD" w:rsidRPr="005F40AD">
        <w:rPr>
          <w:rFonts w:asciiTheme="minorEastAsia" w:eastAsiaTheme="minorEastAsia" w:hAnsiTheme="minorEastAsia"/>
          <w:sz w:val="24"/>
          <w:szCs w:val="24"/>
        </w:rPr>
        <w:t>KM1</w:t>
      </w:r>
      <w:r w:rsidR="005F40AD">
        <w:rPr>
          <w:rFonts w:asciiTheme="minorEastAsia" w:eastAsiaTheme="minorEastAsia" w:hAnsiTheme="minorEastAsia"/>
          <w:sz w:val="24"/>
          <w:szCs w:val="24"/>
        </w:rPr>
        <w:t xml:space="preserve"> </w:t>
      </w:r>
      <w:r w:rsidRPr="002E660F">
        <w:rPr>
          <w:rFonts w:asciiTheme="minorEastAsia" w:eastAsiaTheme="minorEastAsia" w:hAnsiTheme="minorEastAsia" w:hint="eastAsia"/>
          <w:sz w:val="24"/>
          <w:szCs w:val="24"/>
        </w:rPr>
        <w:t>关键审慎监管指标</w:t>
      </w:r>
      <w:bookmarkEnd w:id="4"/>
    </w:p>
    <w:p w:rsidR="00F52A86" w:rsidRPr="002E660F" w:rsidRDefault="00F52A86" w:rsidP="00282E26">
      <w:pPr>
        <w:spacing w:line="360" w:lineRule="auto"/>
        <w:ind w:firstLineChars="200" w:firstLine="480"/>
        <w:rPr>
          <w:rFonts w:asciiTheme="minorEastAsia" w:hAnsiTheme="minorEastAsia" w:cs="Times New Roman"/>
          <w:color w:val="000000"/>
          <w:sz w:val="24"/>
          <w:szCs w:val="24"/>
        </w:rPr>
      </w:pPr>
      <w:r w:rsidRPr="002E660F">
        <w:rPr>
          <w:rFonts w:asciiTheme="minorEastAsia" w:hAnsiTheme="minorEastAsia" w:cs="Times New Roman" w:hint="eastAsia"/>
          <w:color w:val="000000"/>
          <w:sz w:val="24"/>
          <w:szCs w:val="24"/>
        </w:rPr>
        <w:t>关键审慎监管指标包括资本充足率、杠杆率以及流动性风险相关的指标。本公司关键审慎监管指标概览如下：</w:t>
      </w:r>
    </w:p>
    <w:p w:rsidR="00F52A86" w:rsidRPr="002A644A" w:rsidRDefault="00F52A86" w:rsidP="00282E26">
      <w:pPr>
        <w:spacing w:line="360" w:lineRule="auto"/>
        <w:ind w:firstLineChars="200" w:firstLine="482"/>
        <w:rPr>
          <w:rFonts w:asciiTheme="minorEastAsia" w:hAnsiTheme="minorEastAsia" w:cs="Times New Roman"/>
          <w:b/>
          <w:color w:val="000000"/>
          <w:sz w:val="24"/>
          <w:szCs w:val="24"/>
        </w:rPr>
      </w:pPr>
      <w:r w:rsidRPr="002A644A">
        <w:rPr>
          <w:rFonts w:asciiTheme="minorEastAsia" w:hAnsiTheme="minorEastAsia" w:cs="Times New Roman" w:hint="eastAsia"/>
          <w:b/>
          <w:color w:val="000000"/>
          <w:sz w:val="24"/>
          <w:szCs w:val="24"/>
        </w:rPr>
        <w:t>表格KM1：监管并表关键审慎监管指标</w:t>
      </w:r>
    </w:p>
    <w:p w:rsidR="003A07B5" w:rsidRPr="002E660F" w:rsidRDefault="003A07B5" w:rsidP="00282E26">
      <w:pPr>
        <w:spacing w:line="360" w:lineRule="auto"/>
        <w:ind w:firstLineChars="200" w:firstLine="480"/>
        <w:jc w:val="right"/>
        <w:rPr>
          <w:rFonts w:asciiTheme="minorEastAsia" w:hAnsiTheme="minorEastAsia" w:cs="Times New Roman"/>
          <w:color w:val="000000"/>
          <w:sz w:val="24"/>
          <w:szCs w:val="24"/>
        </w:rPr>
      </w:pPr>
      <w:r w:rsidRPr="002E660F">
        <w:rPr>
          <w:rFonts w:asciiTheme="minorEastAsia" w:hAnsiTheme="minorEastAsia" w:cs="Times New Roman" w:hint="eastAsia"/>
          <w:color w:val="000000"/>
          <w:sz w:val="24"/>
          <w:szCs w:val="24"/>
        </w:rPr>
        <w:t>单位：人民币千元，百分比除外</w:t>
      </w:r>
    </w:p>
    <w:tbl>
      <w:tblPr>
        <w:tblW w:w="11418" w:type="dxa"/>
        <w:jc w:val="center"/>
        <w:tblLook w:val="04A0" w:firstRow="1" w:lastRow="0" w:firstColumn="1" w:lastColumn="0" w:noHBand="0" w:noVBand="1"/>
      </w:tblPr>
      <w:tblGrid>
        <w:gridCol w:w="730"/>
        <w:gridCol w:w="2694"/>
        <w:gridCol w:w="1598"/>
        <w:gridCol w:w="1599"/>
        <w:gridCol w:w="1599"/>
        <w:gridCol w:w="1599"/>
        <w:gridCol w:w="1599"/>
      </w:tblGrid>
      <w:tr w:rsidR="006C7D7A" w:rsidRPr="006C7D7A" w:rsidTr="006C7D7A">
        <w:trPr>
          <w:trHeight w:val="270"/>
          <w:tblHeader/>
          <w:jc w:val="center"/>
        </w:trPr>
        <w:tc>
          <w:tcPr>
            <w:tcW w:w="34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bookmarkStart w:id="5" w:name="_Toc226824215"/>
            <w:r w:rsidRPr="006C7D7A">
              <w:rPr>
                <w:rFonts w:ascii="宋体" w:eastAsia="宋体" w:hAnsi="宋体" w:cs="宋体" w:hint="eastAsia"/>
                <w:color w:val="000000"/>
                <w:kern w:val="0"/>
                <w:szCs w:val="21"/>
              </w:rPr>
              <w:t xml:space="preserve">　</w:t>
            </w:r>
          </w:p>
        </w:tc>
        <w:tc>
          <w:tcPr>
            <w:tcW w:w="1598" w:type="dxa"/>
            <w:tcBorders>
              <w:top w:val="single" w:sz="4" w:space="0" w:color="auto"/>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a</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b</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c</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d</w:t>
            </w:r>
          </w:p>
        </w:tc>
        <w:tc>
          <w:tcPr>
            <w:tcW w:w="1599" w:type="dxa"/>
            <w:tcBorders>
              <w:top w:val="single" w:sz="4" w:space="0" w:color="auto"/>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e</w:t>
            </w:r>
          </w:p>
        </w:tc>
      </w:tr>
      <w:tr w:rsidR="006C7D7A" w:rsidRPr="006C7D7A" w:rsidTr="006C7D7A">
        <w:trPr>
          <w:trHeight w:val="510"/>
          <w:tblHeader/>
          <w:jc w:val="center"/>
        </w:trPr>
        <w:tc>
          <w:tcPr>
            <w:tcW w:w="3424" w:type="dxa"/>
            <w:gridSpan w:val="2"/>
            <w:vMerge/>
            <w:tcBorders>
              <w:top w:val="single" w:sz="4" w:space="0" w:color="auto"/>
              <w:left w:val="single" w:sz="4" w:space="0" w:color="auto"/>
              <w:bottom w:val="single" w:sz="4" w:space="0" w:color="auto"/>
              <w:right w:val="single" w:sz="4" w:space="0" w:color="auto"/>
            </w:tcBorders>
            <w:vAlign w:val="center"/>
            <w:hideMark/>
          </w:tcPr>
          <w:p w:rsidR="006C7D7A" w:rsidRPr="006C7D7A" w:rsidRDefault="006C7D7A" w:rsidP="006C7D7A">
            <w:pPr>
              <w:widowControl/>
              <w:jc w:val="left"/>
              <w:rPr>
                <w:rFonts w:ascii="宋体" w:eastAsia="宋体" w:hAnsi="宋体" w:cs="宋体"/>
                <w:color w:val="000000"/>
                <w:kern w:val="0"/>
                <w:szCs w:val="21"/>
              </w:rPr>
            </w:pP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2026年</w:t>
            </w:r>
            <w:r w:rsidRPr="006C7D7A">
              <w:rPr>
                <w:rFonts w:ascii="宋体" w:eastAsia="宋体" w:hAnsi="宋体" w:cs="宋体" w:hint="eastAsia"/>
                <w:color w:val="000000"/>
                <w:kern w:val="0"/>
                <w:szCs w:val="21"/>
              </w:rPr>
              <w:br/>
              <w:t>9月30日</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2026年</w:t>
            </w:r>
            <w:r w:rsidRPr="006C7D7A">
              <w:rPr>
                <w:rFonts w:ascii="宋体" w:eastAsia="宋体" w:hAnsi="宋体" w:cs="宋体" w:hint="eastAsia"/>
                <w:color w:val="000000"/>
                <w:kern w:val="0"/>
                <w:szCs w:val="21"/>
              </w:rPr>
              <w:br/>
              <w:t>6月30日</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2026年</w:t>
            </w:r>
            <w:r w:rsidRPr="006C7D7A">
              <w:rPr>
                <w:rFonts w:ascii="宋体" w:eastAsia="宋体" w:hAnsi="宋体" w:cs="宋体" w:hint="eastAsia"/>
                <w:color w:val="000000"/>
                <w:kern w:val="0"/>
                <w:szCs w:val="21"/>
              </w:rPr>
              <w:br/>
              <w:t>3月31日</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2025年</w:t>
            </w:r>
            <w:r w:rsidRPr="006C7D7A">
              <w:rPr>
                <w:rFonts w:ascii="宋体" w:eastAsia="宋体" w:hAnsi="宋体" w:cs="宋体" w:hint="eastAsia"/>
                <w:color w:val="000000"/>
                <w:kern w:val="0"/>
                <w:szCs w:val="21"/>
              </w:rPr>
              <w:br/>
              <w:t>12月31日</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2025年</w:t>
            </w:r>
            <w:r w:rsidRPr="006C7D7A">
              <w:rPr>
                <w:rFonts w:ascii="宋体" w:eastAsia="宋体" w:hAnsi="宋体" w:cs="宋体" w:hint="eastAsia"/>
                <w:color w:val="000000"/>
                <w:kern w:val="0"/>
                <w:szCs w:val="21"/>
              </w:rPr>
              <w:br/>
              <w:t>9月30日</w:t>
            </w:r>
          </w:p>
        </w:tc>
      </w:tr>
      <w:tr w:rsidR="006C7D7A" w:rsidRPr="006C7D7A" w:rsidTr="006C7D7A">
        <w:trPr>
          <w:trHeight w:val="270"/>
          <w:jc w:val="center"/>
        </w:trPr>
        <w:tc>
          <w:tcPr>
            <w:tcW w:w="11418" w:type="dxa"/>
            <w:gridSpan w:val="7"/>
            <w:tcBorders>
              <w:top w:val="single" w:sz="4" w:space="0" w:color="auto"/>
              <w:left w:val="single" w:sz="4" w:space="0" w:color="auto"/>
              <w:bottom w:val="single" w:sz="4" w:space="0" w:color="auto"/>
              <w:right w:val="single" w:sz="4" w:space="0" w:color="auto"/>
            </w:tcBorders>
            <w:shd w:val="clear" w:color="000000" w:fill="E7E6E6"/>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可用资本（数额）</w:t>
            </w:r>
          </w:p>
        </w:tc>
      </w:tr>
      <w:tr w:rsidR="00A97917"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A97917" w:rsidRPr="006C7D7A" w:rsidRDefault="00A97917" w:rsidP="00A97917">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w:t>
            </w:r>
          </w:p>
        </w:tc>
        <w:tc>
          <w:tcPr>
            <w:tcW w:w="2694"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核心一级资本净额</w:t>
            </w:r>
          </w:p>
        </w:tc>
        <w:tc>
          <w:tcPr>
            <w:tcW w:w="1598" w:type="dxa"/>
            <w:tcBorders>
              <w:top w:val="nil"/>
              <w:left w:val="nil"/>
              <w:bottom w:val="single" w:sz="4" w:space="0" w:color="auto"/>
              <w:right w:val="single" w:sz="4" w:space="0" w:color="auto"/>
            </w:tcBorders>
            <w:shd w:val="clear" w:color="auto" w:fill="auto"/>
            <w:vAlign w:val="center"/>
            <w:hideMark/>
          </w:tcPr>
          <w:p w:rsidR="00A97917" w:rsidRPr="00A97917" w:rsidRDefault="00A97917" w:rsidP="00A97917">
            <w:pPr>
              <w:widowControl/>
              <w:jc w:val="right"/>
              <w:rPr>
                <w:rFonts w:ascii="宋体" w:eastAsia="宋体" w:hAnsi="宋体" w:cs="宋体"/>
                <w:color w:val="000000"/>
                <w:kern w:val="0"/>
                <w:szCs w:val="21"/>
              </w:rPr>
            </w:pPr>
            <w:r w:rsidRPr="00A97917">
              <w:rPr>
                <w:rFonts w:ascii="宋体" w:eastAsia="宋体" w:hAnsi="宋体" w:cs="宋体" w:hint="eastAsia"/>
                <w:color w:val="000000"/>
                <w:kern w:val="0"/>
                <w:szCs w:val="21"/>
              </w:rPr>
              <w:t xml:space="preserve">  21,081,747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20,846,625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20,489,972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19,997,554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20,176,035 </w:t>
            </w:r>
          </w:p>
        </w:tc>
      </w:tr>
      <w:tr w:rsidR="00A97917"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A97917" w:rsidRPr="006C7D7A" w:rsidRDefault="00A97917" w:rsidP="00A97917">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w:t>
            </w:r>
          </w:p>
        </w:tc>
        <w:tc>
          <w:tcPr>
            <w:tcW w:w="2694"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一级资本净额</w:t>
            </w:r>
          </w:p>
        </w:tc>
        <w:tc>
          <w:tcPr>
            <w:tcW w:w="1598" w:type="dxa"/>
            <w:tcBorders>
              <w:top w:val="nil"/>
              <w:left w:val="nil"/>
              <w:bottom w:val="single" w:sz="4" w:space="0" w:color="auto"/>
              <w:right w:val="single" w:sz="4" w:space="0" w:color="auto"/>
            </w:tcBorders>
            <w:shd w:val="clear" w:color="auto" w:fill="auto"/>
            <w:vAlign w:val="center"/>
            <w:hideMark/>
          </w:tcPr>
          <w:p w:rsidR="00A97917" w:rsidRPr="00A97917" w:rsidRDefault="00A97917" w:rsidP="00A97917">
            <w:pPr>
              <w:widowControl/>
              <w:jc w:val="right"/>
              <w:rPr>
                <w:rFonts w:ascii="宋体" w:eastAsia="宋体" w:hAnsi="宋体" w:cs="宋体" w:hint="eastAsia"/>
                <w:color w:val="000000"/>
                <w:kern w:val="0"/>
                <w:szCs w:val="21"/>
              </w:rPr>
            </w:pPr>
            <w:r w:rsidRPr="00A97917">
              <w:rPr>
                <w:rFonts w:ascii="宋体" w:eastAsia="宋体" w:hAnsi="宋体" w:cs="宋体" w:hint="eastAsia"/>
                <w:color w:val="000000"/>
                <w:kern w:val="0"/>
                <w:szCs w:val="21"/>
              </w:rPr>
              <w:t xml:space="preserve">  21,081,747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20,846,625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20,489,972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19,997,554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20,176,035 </w:t>
            </w:r>
          </w:p>
        </w:tc>
      </w:tr>
      <w:tr w:rsidR="00A97917"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A97917" w:rsidRPr="006C7D7A" w:rsidRDefault="00A97917" w:rsidP="00A97917">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3</w:t>
            </w:r>
          </w:p>
        </w:tc>
        <w:tc>
          <w:tcPr>
            <w:tcW w:w="2694"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资本净额</w:t>
            </w:r>
          </w:p>
        </w:tc>
        <w:tc>
          <w:tcPr>
            <w:tcW w:w="1598" w:type="dxa"/>
            <w:tcBorders>
              <w:top w:val="nil"/>
              <w:left w:val="nil"/>
              <w:bottom w:val="single" w:sz="4" w:space="0" w:color="auto"/>
              <w:right w:val="single" w:sz="4" w:space="0" w:color="auto"/>
            </w:tcBorders>
            <w:shd w:val="clear" w:color="auto" w:fill="auto"/>
            <w:vAlign w:val="center"/>
            <w:hideMark/>
          </w:tcPr>
          <w:p w:rsidR="00A97917" w:rsidRPr="00A97917" w:rsidRDefault="00A97917" w:rsidP="00A97917">
            <w:pPr>
              <w:widowControl/>
              <w:jc w:val="right"/>
              <w:rPr>
                <w:rFonts w:ascii="宋体" w:eastAsia="宋体" w:hAnsi="宋体" w:cs="宋体" w:hint="eastAsia"/>
                <w:color w:val="000000"/>
                <w:kern w:val="0"/>
                <w:szCs w:val="21"/>
              </w:rPr>
            </w:pPr>
            <w:r w:rsidRPr="00A97917">
              <w:rPr>
                <w:rFonts w:ascii="宋体" w:eastAsia="宋体" w:hAnsi="宋体" w:cs="宋体" w:hint="eastAsia"/>
                <w:color w:val="000000"/>
                <w:kern w:val="0"/>
                <w:szCs w:val="21"/>
              </w:rPr>
              <w:t xml:space="preserve">  25,210,790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24,873,011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24,705,617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24,109,000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23,334,854 </w:t>
            </w:r>
          </w:p>
        </w:tc>
      </w:tr>
      <w:tr w:rsidR="006C7D7A" w:rsidRPr="006C7D7A" w:rsidTr="006C7D7A">
        <w:trPr>
          <w:trHeight w:val="270"/>
          <w:jc w:val="center"/>
        </w:trPr>
        <w:tc>
          <w:tcPr>
            <w:tcW w:w="11418" w:type="dxa"/>
            <w:gridSpan w:val="7"/>
            <w:tcBorders>
              <w:top w:val="single" w:sz="4" w:space="0" w:color="auto"/>
              <w:left w:val="single" w:sz="4" w:space="0" w:color="auto"/>
              <w:bottom w:val="single" w:sz="4" w:space="0" w:color="auto"/>
              <w:right w:val="single" w:sz="4" w:space="0" w:color="auto"/>
            </w:tcBorders>
            <w:shd w:val="clear" w:color="000000" w:fill="E7E6E6"/>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风险加权资产（数额）</w:t>
            </w:r>
          </w:p>
        </w:tc>
      </w:tr>
      <w:tr w:rsidR="00A97917"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A97917" w:rsidRPr="006C7D7A" w:rsidRDefault="00A97917" w:rsidP="00A97917">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4</w:t>
            </w:r>
          </w:p>
        </w:tc>
        <w:tc>
          <w:tcPr>
            <w:tcW w:w="2694"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风险加权资产</w:t>
            </w:r>
          </w:p>
        </w:tc>
        <w:tc>
          <w:tcPr>
            <w:tcW w:w="1598" w:type="dxa"/>
            <w:tcBorders>
              <w:top w:val="nil"/>
              <w:left w:val="nil"/>
              <w:bottom w:val="single" w:sz="4" w:space="0" w:color="auto"/>
              <w:right w:val="single" w:sz="4" w:space="0" w:color="auto"/>
            </w:tcBorders>
            <w:shd w:val="clear" w:color="auto" w:fill="auto"/>
            <w:vAlign w:val="center"/>
            <w:hideMark/>
          </w:tcPr>
          <w:p w:rsidR="00A97917" w:rsidRPr="00A97917" w:rsidRDefault="00A97917" w:rsidP="00A97917">
            <w:pPr>
              <w:widowControl/>
              <w:jc w:val="right"/>
              <w:rPr>
                <w:rFonts w:ascii="宋体" w:eastAsia="宋体" w:hAnsi="宋体" w:cs="宋体"/>
                <w:color w:val="000000"/>
                <w:kern w:val="0"/>
                <w:szCs w:val="21"/>
              </w:rPr>
            </w:pPr>
            <w:r w:rsidRPr="00A97917">
              <w:rPr>
                <w:rFonts w:ascii="宋体" w:eastAsia="宋体" w:hAnsi="宋体" w:cs="宋体" w:hint="eastAsia"/>
                <w:color w:val="000000"/>
                <w:kern w:val="0"/>
                <w:szCs w:val="21"/>
              </w:rPr>
              <w:t xml:space="preserve"> 200,801,694 </w:t>
            </w:r>
          </w:p>
        </w:tc>
        <w:tc>
          <w:tcPr>
            <w:tcW w:w="1599" w:type="dxa"/>
            <w:tcBorders>
              <w:top w:val="nil"/>
              <w:left w:val="nil"/>
              <w:bottom w:val="single" w:sz="4" w:space="0" w:color="auto"/>
              <w:right w:val="single" w:sz="4" w:space="0" w:color="auto"/>
            </w:tcBorders>
            <w:shd w:val="clear" w:color="auto" w:fill="auto"/>
            <w:vAlign w:val="center"/>
            <w:hideMark/>
          </w:tcPr>
          <w:p w:rsidR="00A97917" w:rsidRPr="00A97917" w:rsidRDefault="00A97917" w:rsidP="00A97917">
            <w:pPr>
              <w:jc w:val="right"/>
              <w:rPr>
                <w:rFonts w:ascii="宋体" w:eastAsia="宋体" w:hAnsi="宋体" w:cs="宋体" w:hint="eastAsia"/>
                <w:color w:val="000000"/>
                <w:kern w:val="0"/>
                <w:szCs w:val="21"/>
              </w:rPr>
            </w:pPr>
            <w:r w:rsidRPr="00A97917">
              <w:rPr>
                <w:rFonts w:ascii="宋体" w:eastAsia="宋体" w:hAnsi="宋体" w:cs="宋体" w:hint="eastAsia"/>
                <w:color w:val="000000"/>
                <w:kern w:val="0"/>
                <w:szCs w:val="21"/>
              </w:rPr>
              <w:t xml:space="preserve"> 197,668,504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193,518,825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188,269,592 </w:t>
            </w:r>
          </w:p>
        </w:tc>
        <w:tc>
          <w:tcPr>
            <w:tcW w:w="1599"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186,459,862 </w:t>
            </w:r>
          </w:p>
        </w:tc>
      </w:tr>
      <w:tr w:rsidR="006C7D7A" w:rsidRPr="006C7D7A" w:rsidTr="006C7D7A">
        <w:trPr>
          <w:trHeight w:val="270"/>
          <w:jc w:val="center"/>
        </w:trPr>
        <w:tc>
          <w:tcPr>
            <w:tcW w:w="11418" w:type="dxa"/>
            <w:gridSpan w:val="7"/>
            <w:tcBorders>
              <w:top w:val="single" w:sz="4" w:space="0" w:color="auto"/>
              <w:left w:val="single" w:sz="4" w:space="0" w:color="auto"/>
              <w:bottom w:val="single" w:sz="4" w:space="0" w:color="auto"/>
              <w:right w:val="single" w:sz="4" w:space="0" w:color="auto"/>
            </w:tcBorders>
            <w:shd w:val="clear" w:color="000000" w:fill="E7E6E6"/>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资本充足率</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5</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核心一级资本充足率（%）</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10.50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10.55</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10.59</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10.62</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10.82</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6</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一级资本充足率（%）</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10.50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10.55</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10.59</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10.62</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10.82</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7</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资本充足率（%）</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A97917" w:rsidP="006C7D7A">
            <w:pPr>
              <w:widowControl/>
              <w:jc w:val="right"/>
              <w:rPr>
                <w:rFonts w:ascii="宋体" w:eastAsia="宋体" w:hAnsi="宋体" w:cs="宋体"/>
                <w:color w:val="000000"/>
                <w:kern w:val="0"/>
                <w:szCs w:val="21"/>
              </w:rPr>
            </w:pPr>
            <w:r>
              <w:rPr>
                <w:rFonts w:ascii="宋体" w:eastAsia="宋体" w:hAnsi="宋体" w:cs="宋体" w:hint="eastAsia"/>
                <w:color w:val="000000"/>
                <w:kern w:val="0"/>
                <w:szCs w:val="21"/>
              </w:rPr>
              <w:t>12.56</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12.58</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12.77</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12.81</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12.51</w:t>
            </w:r>
          </w:p>
        </w:tc>
      </w:tr>
      <w:tr w:rsidR="006C7D7A" w:rsidRPr="006C7D7A" w:rsidTr="006C7D7A">
        <w:trPr>
          <w:trHeight w:val="270"/>
          <w:jc w:val="center"/>
        </w:trPr>
        <w:tc>
          <w:tcPr>
            <w:tcW w:w="11418" w:type="dxa"/>
            <w:gridSpan w:val="7"/>
            <w:tcBorders>
              <w:top w:val="single" w:sz="4" w:space="0" w:color="auto"/>
              <w:left w:val="single" w:sz="4" w:space="0" w:color="auto"/>
              <w:bottom w:val="single" w:sz="4" w:space="0" w:color="auto"/>
              <w:right w:val="single" w:sz="4" w:space="0" w:color="auto"/>
            </w:tcBorders>
            <w:shd w:val="clear" w:color="000000" w:fill="E7E6E6"/>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其他各级资本要求</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8</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储备资本要求（%）</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2.50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2.50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2.50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2.50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2.50</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9</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逆周期资本要求（%）</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0.00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0.00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0.00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0.00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0.00</w:t>
            </w:r>
          </w:p>
        </w:tc>
      </w:tr>
      <w:tr w:rsidR="006C7D7A" w:rsidRPr="006C7D7A" w:rsidTr="006C7D7A">
        <w:trPr>
          <w:trHeight w:val="51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10</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全球系统重要性银行或国内系统重要性银行附加资本要求（%）</w:t>
            </w:r>
          </w:p>
        </w:tc>
        <w:tc>
          <w:tcPr>
            <w:tcW w:w="1598" w:type="dxa"/>
            <w:tcBorders>
              <w:top w:val="nil"/>
              <w:left w:val="nil"/>
              <w:bottom w:val="single" w:sz="4" w:space="0" w:color="auto"/>
              <w:right w:val="single" w:sz="4" w:space="0" w:color="auto"/>
            </w:tcBorders>
            <w:shd w:val="clear" w:color="000000" w:fill="E7E6E6"/>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w:t>
            </w:r>
          </w:p>
        </w:tc>
        <w:tc>
          <w:tcPr>
            <w:tcW w:w="1599" w:type="dxa"/>
            <w:tcBorders>
              <w:top w:val="nil"/>
              <w:left w:val="nil"/>
              <w:bottom w:val="single" w:sz="4" w:space="0" w:color="auto"/>
              <w:right w:val="single" w:sz="4" w:space="0" w:color="auto"/>
            </w:tcBorders>
            <w:shd w:val="clear" w:color="000000" w:fill="E7E6E6"/>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w:t>
            </w:r>
          </w:p>
        </w:tc>
        <w:tc>
          <w:tcPr>
            <w:tcW w:w="1599" w:type="dxa"/>
            <w:tcBorders>
              <w:top w:val="nil"/>
              <w:left w:val="nil"/>
              <w:bottom w:val="single" w:sz="4" w:space="0" w:color="auto"/>
              <w:right w:val="single" w:sz="4" w:space="0" w:color="auto"/>
            </w:tcBorders>
            <w:shd w:val="clear" w:color="000000" w:fill="E7E6E6"/>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w:t>
            </w:r>
          </w:p>
        </w:tc>
        <w:tc>
          <w:tcPr>
            <w:tcW w:w="1599" w:type="dxa"/>
            <w:tcBorders>
              <w:top w:val="nil"/>
              <w:left w:val="nil"/>
              <w:bottom w:val="single" w:sz="4" w:space="0" w:color="auto"/>
              <w:right w:val="single" w:sz="4" w:space="0" w:color="auto"/>
            </w:tcBorders>
            <w:shd w:val="clear" w:color="000000" w:fill="E7E6E6"/>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w:t>
            </w:r>
          </w:p>
        </w:tc>
        <w:tc>
          <w:tcPr>
            <w:tcW w:w="1599" w:type="dxa"/>
            <w:tcBorders>
              <w:top w:val="nil"/>
              <w:left w:val="nil"/>
              <w:bottom w:val="single" w:sz="4" w:space="0" w:color="auto"/>
              <w:right w:val="single" w:sz="4" w:space="0" w:color="auto"/>
            </w:tcBorders>
            <w:shd w:val="clear" w:color="000000" w:fill="E7E6E6"/>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11</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其他各级资本要求（%）（8+9+10）</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2.50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2.50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2.50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2.50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2.50</w:t>
            </w:r>
          </w:p>
        </w:tc>
      </w:tr>
      <w:tr w:rsidR="006C7D7A" w:rsidRPr="006C7D7A" w:rsidTr="006C7D7A">
        <w:trPr>
          <w:trHeight w:val="765"/>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12</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满足最低资本要求后的可用核心一级资本净额占风险加权资产的比例（%）</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4.50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4.55</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4.59</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4.62</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4.51</w:t>
            </w:r>
          </w:p>
        </w:tc>
      </w:tr>
      <w:tr w:rsidR="006C7D7A" w:rsidRPr="006C7D7A" w:rsidTr="006C7D7A">
        <w:trPr>
          <w:trHeight w:val="270"/>
          <w:jc w:val="center"/>
        </w:trPr>
        <w:tc>
          <w:tcPr>
            <w:tcW w:w="11418" w:type="dxa"/>
            <w:gridSpan w:val="7"/>
            <w:tcBorders>
              <w:top w:val="single" w:sz="4" w:space="0" w:color="auto"/>
              <w:left w:val="single" w:sz="4" w:space="0" w:color="auto"/>
              <w:bottom w:val="single" w:sz="4" w:space="0" w:color="auto"/>
              <w:right w:val="single" w:sz="4" w:space="0" w:color="auto"/>
            </w:tcBorders>
            <w:shd w:val="clear" w:color="000000" w:fill="E7E6E6"/>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杠杆率</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13</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调整后表内外资产余额</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333,225,492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324,808,699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317,983,564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316,697,881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309,599,786 </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14</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杠杆率（%）</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6.33</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6.42</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6.44</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6.31</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6.52</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14a</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杠杆率a（%）</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6.33</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6.42</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6.44</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6.31</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6.52</w:t>
            </w:r>
          </w:p>
        </w:tc>
      </w:tr>
      <w:tr w:rsidR="006C7D7A" w:rsidRPr="006C7D7A" w:rsidTr="006C7D7A">
        <w:trPr>
          <w:trHeight w:val="270"/>
          <w:jc w:val="center"/>
        </w:trPr>
        <w:tc>
          <w:tcPr>
            <w:tcW w:w="11418" w:type="dxa"/>
            <w:gridSpan w:val="7"/>
            <w:tcBorders>
              <w:top w:val="single" w:sz="4" w:space="0" w:color="auto"/>
              <w:left w:val="single" w:sz="4" w:space="0" w:color="auto"/>
              <w:bottom w:val="single" w:sz="4" w:space="0" w:color="auto"/>
              <w:right w:val="single" w:sz="4" w:space="0" w:color="auto"/>
            </w:tcBorders>
            <w:shd w:val="clear" w:color="000000" w:fill="E7E6E6"/>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流动性覆盖率</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15</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合格优质流动性资产</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32,783,466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29,227,877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22,667,737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26,544,718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22,922,237 </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16</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现金净流出量</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23,854,233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24,551,699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16,752,458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20,584,624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14,899,647 </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17</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流动性覆盖率（%）</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137.43</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119.05</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135.31</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128.95</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153.84</w:t>
            </w:r>
          </w:p>
        </w:tc>
      </w:tr>
      <w:tr w:rsidR="006C7D7A" w:rsidRPr="006C7D7A" w:rsidTr="006C7D7A">
        <w:trPr>
          <w:trHeight w:val="270"/>
          <w:jc w:val="center"/>
        </w:trPr>
        <w:tc>
          <w:tcPr>
            <w:tcW w:w="11418" w:type="dxa"/>
            <w:gridSpan w:val="7"/>
            <w:tcBorders>
              <w:top w:val="single" w:sz="4" w:space="0" w:color="auto"/>
              <w:left w:val="single" w:sz="4" w:space="0" w:color="auto"/>
              <w:bottom w:val="single" w:sz="4" w:space="0" w:color="auto"/>
              <w:right w:val="single" w:sz="4" w:space="0" w:color="auto"/>
            </w:tcBorders>
            <w:shd w:val="clear" w:color="000000" w:fill="E7E6E6"/>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净稳定资金比例</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18</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可用稳定资金合计</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213,950,702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209,473,000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212,778,659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208,758,670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203,518,090 </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lastRenderedPageBreak/>
              <w:t>19</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所需稳定资金合计</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161,553,183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159,844,181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156,978,045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156,040,444 </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151,534,481 </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20</w:t>
            </w:r>
          </w:p>
        </w:tc>
        <w:tc>
          <w:tcPr>
            <w:tcW w:w="2694"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净稳定资金比例（%）</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132.43</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131.05</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135.55</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133.78</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134.30</w:t>
            </w:r>
          </w:p>
        </w:tc>
      </w:tr>
      <w:tr w:rsidR="006C7D7A" w:rsidRPr="006C7D7A" w:rsidTr="006C7D7A">
        <w:trPr>
          <w:trHeight w:val="270"/>
          <w:jc w:val="center"/>
        </w:trPr>
        <w:tc>
          <w:tcPr>
            <w:tcW w:w="11418" w:type="dxa"/>
            <w:gridSpan w:val="7"/>
            <w:tcBorders>
              <w:top w:val="single" w:sz="4" w:space="0" w:color="auto"/>
              <w:left w:val="single" w:sz="4" w:space="0" w:color="auto"/>
              <w:bottom w:val="single" w:sz="4" w:space="0" w:color="auto"/>
              <w:right w:val="single" w:sz="4" w:space="0" w:color="auto"/>
            </w:tcBorders>
            <w:shd w:val="clear" w:color="000000" w:fill="E7E6E6"/>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流动性比例</w:t>
            </w:r>
          </w:p>
        </w:tc>
      </w:tr>
      <w:tr w:rsidR="006C7D7A" w:rsidRPr="006C7D7A" w:rsidTr="006C7D7A">
        <w:trPr>
          <w:trHeight w:val="270"/>
          <w:jc w:val="center"/>
        </w:trPr>
        <w:tc>
          <w:tcPr>
            <w:tcW w:w="730" w:type="dxa"/>
            <w:tcBorders>
              <w:top w:val="nil"/>
              <w:left w:val="single" w:sz="4" w:space="0" w:color="auto"/>
              <w:bottom w:val="single" w:sz="4" w:space="0" w:color="auto"/>
              <w:right w:val="single" w:sz="4" w:space="0" w:color="auto"/>
            </w:tcBorders>
            <w:shd w:val="clear" w:color="000000" w:fill="FFFFFF"/>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21</w:t>
            </w:r>
          </w:p>
        </w:tc>
        <w:tc>
          <w:tcPr>
            <w:tcW w:w="2694" w:type="dxa"/>
            <w:tcBorders>
              <w:top w:val="nil"/>
              <w:left w:val="nil"/>
              <w:bottom w:val="single" w:sz="4" w:space="0" w:color="auto"/>
              <w:right w:val="single" w:sz="4" w:space="0" w:color="auto"/>
            </w:tcBorders>
            <w:shd w:val="clear" w:color="000000" w:fill="FFFFFF"/>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流动性比例（%）</w:t>
            </w:r>
          </w:p>
        </w:tc>
        <w:tc>
          <w:tcPr>
            <w:tcW w:w="1598"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93.00</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88.74</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84.14</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87.48</w:t>
            </w:r>
          </w:p>
        </w:tc>
        <w:tc>
          <w:tcPr>
            <w:tcW w:w="1599"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74.67</w:t>
            </w:r>
          </w:p>
        </w:tc>
      </w:tr>
    </w:tbl>
    <w:p w:rsidR="00A21C1A" w:rsidRPr="002E660F" w:rsidRDefault="00F52A86" w:rsidP="00A21C1A">
      <w:pPr>
        <w:pStyle w:val="2"/>
        <w:spacing w:before="0" w:after="0" w:line="360" w:lineRule="auto"/>
        <w:rPr>
          <w:rFonts w:asciiTheme="minorEastAsia" w:eastAsiaTheme="minorEastAsia" w:hAnsiTheme="minorEastAsia"/>
          <w:sz w:val="24"/>
          <w:szCs w:val="24"/>
        </w:rPr>
      </w:pPr>
      <w:r w:rsidRPr="002E660F">
        <w:rPr>
          <w:rFonts w:asciiTheme="minorEastAsia" w:eastAsiaTheme="minorEastAsia" w:hAnsiTheme="minorEastAsia" w:hint="eastAsia"/>
          <w:sz w:val="24"/>
          <w:szCs w:val="24"/>
        </w:rPr>
        <w:t>2.2</w:t>
      </w:r>
      <w:r w:rsidR="00137392" w:rsidRPr="002E660F">
        <w:rPr>
          <w:rFonts w:asciiTheme="minorEastAsia" w:eastAsiaTheme="minorEastAsia" w:hAnsiTheme="minorEastAsia"/>
          <w:sz w:val="24"/>
          <w:szCs w:val="24"/>
        </w:rPr>
        <w:t xml:space="preserve">  </w:t>
      </w:r>
      <w:r w:rsidR="00A21C1A" w:rsidRPr="002A644A">
        <w:rPr>
          <w:rFonts w:asciiTheme="minorEastAsia" w:hAnsiTheme="minorEastAsia" w:cs="Times New Roman" w:hint="eastAsia"/>
          <w:color w:val="000000"/>
          <w:sz w:val="24"/>
          <w:szCs w:val="24"/>
        </w:rPr>
        <w:t>OV1</w:t>
      </w:r>
      <w:r w:rsidR="00A21C1A">
        <w:rPr>
          <w:rFonts w:asciiTheme="minorEastAsia" w:hAnsiTheme="minorEastAsia" w:cs="Times New Roman" w:hint="eastAsia"/>
          <w:color w:val="000000"/>
          <w:sz w:val="24"/>
          <w:szCs w:val="24"/>
        </w:rPr>
        <w:t xml:space="preserve"> </w:t>
      </w:r>
      <w:r w:rsidR="00A21C1A" w:rsidRPr="002E660F">
        <w:rPr>
          <w:rFonts w:asciiTheme="minorEastAsia" w:eastAsiaTheme="minorEastAsia" w:hAnsiTheme="minorEastAsia" w:hint="eastAsia"/>
          <w:sz w:val="24"/>
          <w:szCs w:val="24"/>
        </w:rPr>
        <w:t>风险加权资产概况</w:t>
      </w:r>
      <w:bookmarkEnd w:id="5"/>
    </w:p>
    <w:p w:rsidR="00F52A86" w:rsidRPr="002E660F" w:rsidRDefault="00F52A86" w:rsidP="00282E26">
      <w:pPr>
        <w:spacing w:line="360" w:lineRule="auto"/>
        <w:ind w:firstLineChars="200" w:firstLine="480"/>
        <w:rPr>
          <w:rFonts w:asciiTheme="minorEastAsia" w:hAnsiTheme="minorEastAsia" w:cs="Times New Roman"/>
          <w:color w:val="000000"/>
          <w:sz w:val="24"/>
          <w:szCs w:val="24"/>
        </w:rPr>
      </w:pPr>
      <w:r w:rsidRPr="002E660F">
        <w:rPr>
          <w:rFonts w:asciiTheme="minorEastAsia" w:hAnsiTheme="minorEastAsia" w:cs="Times New Roman" w:hint="eastAsia"/>
          <w:color w:val="000000"/>
          <w:sz w:val="24"/>
          <w:szCs w:val="24"/>
        </w:rPr>
        <w:t>下表列示本公司第一支柱风险加权资产和资本要求。</w:t>
      </w:r>
    </w:p>
    <w:p w:rsidR="00F52A86" w:rsidRPr="002A644A" w:rsidRDefault="00F52A86" w:rsidP="00282E26">
      <w:pPr>
        <w:spacing w:line="360" w:lineRule="auto"/>
        <w:ind w:firstLineChars="200" w:firstLine="482"/>
        <w:rPr>
          <w:rFonts w:asciiTheme="minorEastAsia" w:hAnsiTheme="minorEastAsia" w:cs="Times New Roman"/>
          <w:b/>
          <w:color w:val="000000"/>
          <w:sz w:val="24"/>
          <w:szCs w:val="24"/>
        </w:rPr>
      </w:pPr>
      <w:r w:rsidRPr="002A644A">
        <w:rPr>
          <w:rFonts w:asciiTheme="minorEastAsia" w:hAnsiTheme="minorEastAsia" w:cs="Times New Roman" w:hint="eastAsia"/>
          <w:b/>
          <w:color w:val="000000"/>
          <w:sz w:val="24"/>
          <w:szCs w:val="24"/>
        </w:rPr>
        <w:t>表格OV1：风险加权资产概况</w:t>
      </w:r>
    </w:p>
    <w:p w:rsidR="003A07B5" w:rsidRPr="002E660F" w:rsidRDefault="003A07B5" w:rsidP="00282E26">
      <w:pPr>
        <w:spacing w:line="360" w:lineRule="auto"/>
        <w:ind w:firstLineChars="200" w:firstLine="480"/>
        <w:jc w:val="right"/>
        <w:rPr>
          <w:rFonts w:asciiTheme="minorEastAsia" w:hAnsiTheme="minorEastAsia" w:cs="Times New Roman"/>
          <w:color w:val="000000"/>
          <w:sz w:val="24"/>
          <w:szCs w:val="24"/>
        </w:rPr>
      </w:pPr>
      <w:r w:rsidRPr="002E660F">
        <w:rPr>
          <w:rFonts w:asciiTheme="minorEastAsia" w:hAnsiTheme="minorEastAsia" w:cs="Times New Roman" w:hint="eastAsia"/>
          <w:color w:val="000000"/>
          <w:sz w:val="24"/>
          <w:szCs w:val="24"/>
        </w:rPr>
        <w:t>单位：人民币千元</w:t>
      </w:r>
    </w:p>
    <w:tbl>
      <w:tblPr>
        <w:tblW w:w="10300" w:type="dxa"/>
        <w:jc w:val="center"/>
        <w:tblLook w:val="04A0" w:firstRow="1" w:lastRow="0" w:firstColumn="1" w:lastColumn="0" w:noHBand="0" w:noVBand="1"/>
      </w:tblPr>
      <w:tblGrid>
        <w:gridCol w:w="1080"/>
        <w:gridCol w:w="4060"/>
        <w:gridCol w:w="1720"/>
        <w:gridCol w:w="1720"/>
        <w:gridCol w:w="1720"/>
      </w:tblGrid>
      <w:tr w:rsidR="006C7D7A" w:rsidRPr="006C7D7A" w:rsidTr="006C7D7A">
        <w:trPr>
          <w:trHeight w:val="270"/>
          <w:jc w:val="center"/>
        </w:trPr>
        <w:tc>
          <w:tcPr>
            <w:tcW w:w="514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a</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b</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c</w:t>
            </w:r>
          </w:p>
        </w:tc>
      </w:tr>
      <w:tr w:rsidR="006C7D7A" w:rsidRPr="006C7D7A" w:rsidTr="006C7D7A">
        <w:trPr>
          <w:trHeight w:val="270"/>
          <w:jc w:val="center"/>
        </w:trPr>
        <w:tc>
          <w:tcPr>
            <w:tcW w:w="5140" w:type="dxa"/>
            <w:gridSpan w:val="2"/>
            <w:vMerge/>
            <w:tcBorders>
              <w:top w:val="single" w:sz="4" w:space="0" w:color="auto"/>
              <w:left w:val="single" w:sz="4" w:space="0" w:color="auto"/>
              <w:bottom w:val="single" w:sz="4" w:space="0" w:color="auto"/>
              <w:right w:val="single" w:sz="4" w:space="0" w:color="auto"/>
            </w:tcBorders>
            <w:vAlign w:val="center"/>
            <w:hideMark/>
          </w:tcPr>
          <w:p w:rsidR="006C7D7A" w:rsidRPr="006C7D7A" w:rsidRDefault="006C7D7A" w:rsidP="006C7D7A">
            <w:pPr>
              <w:widowControl/>
              <w:jc w:val="left"/>
              <w:rPr>
                <w:rFonts w:ascii="宋体" w:eastAsia="宋体" w:hAnsi="宋体" w:cs="宋体"/>
                <w:color w:val="000000"/>
                <w:kern w:val="0"/>
                <w:szCs w:val="21"/>
              </w:rPr>
            </w:pPr>
          </w:p>
        </w:tc>
        <w:tc>
          <w:tcPr>
            <w:tcW w:w="3440" w:type="dxa"/>
            <w:gridSpan w:val="2"/>
            <w:tcBorders>
              <w:top w:val="single" w:sz="4" w:space="0" w:color="auto"/>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风险加权资产</w:t>
            </w:r>
          </w:p>
        </w:tc>
        <w:tc>
          <w:tcPr>
            <w:tcW w:w="17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最低资本要求</w:t>
            </w:r>
          </w:p>
        </w:tc>
      </w:tr>
      <w:tr w:rsidR="006C7D7A" w:rsidRPr="006C7D7A" w:rsidTr="006C7D7A">
        <w:trPr>
          <w:trHeight w:val="510"/>
          <w:jc w:val="center"/>
        </w:trPr>
        <w:tc>
          <w:tcPr>
            <w:tcW w:w="5140" w:type="dxa"/>
            <w:gridSpan w:val="2"/>
            <w:vMerge/>
            <w:tcBorders>
              <w:top w:val="single" w:sz="4" w:space="0" w:color="auto"/>
              <w:left w:val="single" w:sz="4" w:space="0" w:color="auto"/>
              <w:bottom w:val="single" w:sz="4" w:space="0" w:color="auto"/>
              <w:right w:val="single" w:sz="4" w:space="0" w:color="auto"/>
            </w:tcBorders>
            <w:vAlign w:val="center"/>
            <w:hideMark/>
          </w:tcPr>
          <w:p w:rsidR="006C7D7A" w:rsidRPr="006C7D7A" w:rsidRDefault="006C7D7A" w:rsidP="006C7D7A">
            <w:pPr>
              <w:widowControl/>
              <w:jc w:val="left"/>
              <w:rPr>
                <w:rFonts w:ascii="宋体" w:eastAsia="宋体" w:hAnsi="宋体" w:cs="宋体"/>
                <w:color w:val="000000"/>
                <w:kern w:val="0"/>
                <w:szCs w:val="21"/>
              </w:rPr>
            </w:pPr>
          </w:p>
        </w:tc>
        <w:tc>
          <w:tcPr>
            <w:tcW w:w="17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2026年</w:t>
            </w:r>
            <w:r w:rsidRPr="006C7D7A">
              <w:rPr>
                <w:rFonts w:ascii="宋体" w:eastAsia="宋体" w:hAnsi="宋体" w:cs="宋体" w:hint="eastAsia"/>
                <w:color w:val="000000"/>
                <w:kern w:val="0"/>
                <w:szCs w:val="21"/>
              </w:rPr>
              <w:br/>
              <w:t>9月30日</w:t>
            </w:r>
          </w:p>
        </w:tc>
        <w:tc>
          <w:tcPr>
            <w:tcW w:w="17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2026年</w:t>
            </w:r>
            <w:r w:rsidRPr="006C7D7A">
              <w:rPr>
                <w:rFonts w:ascii="宋体" w:eastAsia="宋体" w:hAnsi="宋体" w:cs="宋体" w:hint="eastAsia"/>
                <w:color w:val="000000"/>
                <w:kern w:val="0"/>
                <w:szCs w:val="21"/>
              </w:rPr>
              <w:br/>
              <w:t>6月30日</w:t>
            </w:r>
          </w:p>
        </w:tc>
        <w:tc>
          <w:tcPr>
            <w:tcW w:w="17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2026年</w:t>
            </w:r>
            <w:r w:rsidRPr="006C7D7A">
              <w:rPr>
                <w:rFonts w:ascii="宋体" w:eastAsia="宋体" w:hAnsi="宋体" w:cs="宋体" w:hint="eastAsia"/>
                <w:color w:val="000000"/>
                <w:kern w:val="0"/>
                <w:szCs w:val="21"/>
              </w:rPr>
              <w:br/>
              <w:t>9月30日</w:t>
            </w:r>
          </w:p>
        </w:tc>
      </w:tr>
      <w:tr w:rsidR="00A97917"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A97917" w:rsidRPr="006C7D7A" w:rsidRDefault="00A97917" w:rsidP="00A97917">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w:t>
            </w:r>
          </w:p>
        </w:tc>
        <w:tc>
          <w:tcPr>
            <w:tcW w:w="4060"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信用风险</w:t>
            </w:r>
          </w:p>
        </w:tc>
        <w:tc>
          <w:tcPr>
            <w:tcW w:w="1720" w:type="dxa"/>
            <w:tcBorders>
              <w:top w:val="nil"/>
              <w:left w:val="nil"/>
              <w:bottom w:val="single" w:sz="4" w:space="0" w:color="auto"/>
              <w:right w:val="single" w:sz="4" w:space="0" w:color="auto"/>
            </w:tcBorders>
            <w:shd w:val="clear" w:color="auto" w:fill="auto"/>
            <w:vAlign w:val="center"/>
            <w:hideMark/>
          </w:tcPr>
          <w:p w:rsidR="00A97917" w:rsidRPr="00A97917" w:rsidRDefault="00A97917" w:rsidP="00A97917">
            <w:pPr>
              <w:widowControl/>
              <w:jc w:val="right"/>
              <w:rPr>
                <w:rFonts w:ascii="宋体" w:eastAsia="宋体" w:hAnsi="宋体" w:cs="宋体"/>
                <w:color w:val="000000"/>
                <w:kern w:val="0"/>
                <w:szCs w:val="21"/>
              </w:rPr>
            </w:pPr>
            <w:r w:rsidRPr="00A97917">
              <w:rPr>
                <w:rFonts w:ascii="宋体" w:eastAsia="宋体" w:hAnsi="宋体" w:cs="宋体" w:hint="eastAsia"/>
                <w:color w:val="000000"/>
                <w:kern w:val="0"/>
                <w:szCs w:val="21"/>
              </w:rPr>
              <w:t xml:space="preserve">   193,239,602 </w:t>
            </w:r>
          </w:p>
        </w:tc>
        <w:tc>
          <w:tcPr>
            <w:tcW w:w="1720"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189,690,112 </w:t>
            </w:r>
          </w:p>
        </w:tc>
        <w:tc>
          <w:tcPr>
            <w:tcW w:w="1720"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15,463,024 </w:t>
            </w:r>
          </w:p>
        </w:tc>
      </w:tr>
      <w:tr w:rsidR="00A97917"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A97917" w:rsidRPr="006C7D7A" w:rsidRDefault="00A97917" w:rsidP="00A97917">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w:t>
            </w:r>
          </w:p>
        </w:tc>
        <w:tc>
          <w:tcPr>
            <w:tcW w:w="4060"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市场风险</w:t>
            </w:r>
          </w:p>
        </w:tc>
        <w:tc>
          <w:tcPr>
            <w:tcW w:w="1720" w:type="dxa"/>
            <w:tcBorders>
              <w:top w:val="nil"/>
              <w:left w:val="nil"/>
              <w:bottom w:val="single" w:sz="4" w:space="0" w:color="auto"/>
              <w:right w:val="single" w:sz="4" w:space="0" w:color="auto"/>
            </w:tcBorders>
            <w:shd w:val="clear" w:color="auto" w:fill="auto"/>
            <w:vAlign w:val="center"/>
            <w:hideMark/>
          </w:tcPr>
          <w:p w:rsidR="00A97917" w:rsidRPr="00A97917" w:rsidRDefault="00A97917" w:rsidP="00A97917">
            <w:pPr>
              <w:widowControl/>
              <w:jc w:val="right"/>
              <w:rPr>
                <w:rFonts w:ascii="宋体" w:eastAsia="宋体" w:hAnsi="宋体" w:cs="宋体" w:hint="eastAsia"/>
                <w:color w:val="000000"/>
                <w:kern w:val="0"/>
                <w:szCs w:val="21"/>
              </w:rPr>
            </w:pPr>
            <w:r w:rsidRPr="00A97917">
              <w:rPr>
                <w:rFonts w:ascii="宋体" w:eastAsia="宋体" w:hAnsi="宋体" w:cs="宋体" w:hint="eastAsia"/>
                <w:color w:val="000000"/>
                <w:kern w:val="0"/>
                <w:szCs w:val="21"/>
              </w:rPr>
              <w:t xml:space="preserve">       159,643 </w:t>
            </w:r>
          </w:p>
        </w:tc>
        <w:tc>
          <w:tcPr>
            <w:tcW w:w="1720"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575,943 </w:t>
            </w:r>
          </w:p>
        </w:tc>
        <w:tc>
          <w:tcPr>
            <w:tcW w:w="1720"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12,771 </w:t>
            </w:r>
          </w:p>
        </w:tc>
      </w:tr>
      <w:tr w:rsidR="00A97917"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A97917" w:rsidRPr="006C7D7A" w:rsidRDefault="00A97917" w:rsidP="00A97917">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3</w:t>
            </w:r>
          </w:p>
        </w:tc>
        <w:tc>
          <w:tcPr>
            <w:tcW w:w="4060"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操作风险</w:t>
            </w:r>
          </w:p>
        </w:tc>
        <w:tc>
          <w:tcPr>
            <w:tcW w:w="1720" w:type="dxa"/>
            <w:tcBorders>
              <w:top w:val="nil"/>
              <w:left w:val="nil"/>
              <w:bottom w:val="single" w:sz="4" w:space="0" w:color="auto"/>
              <w:right w:val="single" w:sz="4" w:space="0" w:color="auto"/>
            </w:tcBorders>
            <w:shd w:val="clear" w:color="auto" w:fill="auto"/>
            <w:vAlign w:val="center"/>
            <w:hideMark/>
          </w:tcPr>
          <w:p w:rsidR="00A97917" w:rsidRPr="00A97917" w:rsidRDefault="00A97917" w:rsidP="00A97917">
            <w:pPr>
              <w:widowControl/>
              <w:jc w:val="right"/>
              <w:rPr>
                <w:rFonts w:ascii="宋体" w:eastAsia="宋体" w:hAnsi="宋体" w:cs="宋体" w:hint="eastAsia"/>
                <w:color w:val="000000"/>
                <w:kern w:val="0"/>
                <w:szCs w:val="21"/>
              </w:rPr>
            </w:pPr>
            <w:r w:rsidRPr="00A97917">
              <w:rPr>
                <w:rFonts w:ascii="宋体" w:eastAsia="宋体" w:hAnsi="宋体" w:cs="宋体" w:hint="eastAsia"/>
                <w:color w:val="000000"/>
                <w:kern w:val="0"/>
                <w:szCs w:val="21"/>
              </w:rPr>
              <w:t xml:space="preserve">     7,402,449 </w:t>
            </w:r>
          </w:p>
        </w:tc>
        <w:tc>
          <w:tcPr>
            <w:tcW w:w="1720"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7,402,449 </w:t>
            </w:r>
          </w:p>
        </w:tc>
        <w:tc>
          <w:tcPr>
            <w:tcW w:w="1720" w:type="dxa"/>
            <w:tcBorders>
              <w:top w:val="nil"/>
              <w:left w:val="nil"/>
              <w:bottom w:val="single" w:sz="4" w:space="0" w:color="auto"/>
              <w:right w:val="single" w:sz="4" w:space="0" w:color="auto"/>
            </w:tcBorders>
            <w:shd w:val="clear" w:color="auto" w:fill="auto"/>
            <w:vAlign w:val="center"/>
            <w:hideMark/>
          </w:tcPr>
          <w:p w:rsidR="00A97917" w:rsidRPr="006C7D7A" w:rsidRDefault="00A97917" w:rsidP="00A97917">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592,196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4</w:t>
            </w:r>
          </w:p>
        </w:tc>
        <w:tc>
          <w:tcPr>
            <w:tcW w:w="40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交易账簿和银行账簿间转换的资本要求</w:t>
            </w:r>
          </w:p>
        </w:tc>
        <w:tc>
          <w:tcPr>
            <w:tcW w:w="17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c>
          <w:tcPr>
            <w:tcW w:w="17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c>
          <w:tcPr>
            <w:tcW w:w="17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5</w:t>
            </w:r>
          </w:p>
        </w:tc>
        <w:tc>
          <w:tcPr>
            <w:tcW w:w="40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合计</w:t>
            </w:r>
          </w:p>
        </w:tc>
        <w:tc>
          <w:tcPr>
            <w:tcW w:w="17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A97917">
            <w:pPr>
              <w:widowControl/>
              <w:jc w:val="righ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 xml:space="preserve"> 200,8</w:t>
            </w:r>
            <w:r w:rsidR="00A97917">
              <w:rPr>
                <w:rFonts w:ascii="宋体" w:eastAsia="宋体" w:hAnsi="宋体" w:cs="宋体"/>
                <w:b/>
                <w:bCs/>
                <w:color w:val="000000"/>
                <w:kern w:val="0"/>
                <w:szCs w:val="21"/>
              </w:rPr>
              <w:t>01</w:t>
            </w:r>
            <w:r w:rsidRPr="006C7D7A">
              <w:rPr>
                <w:rFonts w:ascii="宋体" w:eastAsia="宋体" w:hAnsi="宋体" w:cs="宋体" w:hint="eastAsia"/>
                <w:b/>
                <w:bCs/>
                <w:color w:val="000000"/>
                <w:kern w:val="0"/>
                <w:szCs w:val="21"/>
              </w:rPr>
              <w:t>,</w:t>
            </w:r>
            <w:r w:rsidR="00A97917">
              <w:rPr>
                <w:rFonts w:ascii="宋体" w:eastAsia="宋体" w:hAnsi="宋体" w:cs="宋体"/>
                <w:b/>
                <w:bCs/>
                <w:color w:val="000000"/>
                <w:kern w:val="0"/>
                <w:szCs w:val="21"/>
              </w:rPr>
              <w:t>694</w:t>
            </w:r>
            <w:r w:rsidRPr="006C7D7A">
              <w:rPr>
                <w:rFonts w:ascii="宋体" w:eastAsia="宋体" w:hAnsi="宋体" w:cs="宋体" w:hint="eastAsia"/>
                <w:b/>
                <w:bCs/>
                <w:color w:val="000000"/>
                <w:kern w:val="0"/>
                <w:szCs w:val="21"/>
              </w:rPr>
              <w:t xml:space="preserve"> </w:t>
            </w:r>
          </w:p>
        </w:tc>
        <w:tc>
          <w:tcPr>
            <w:tcW w:w="17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 xml:space="preserve"> 197,668,504 </w:t>
            </w:r>
          </w:p>
        </w:tc>
        <w:tc>
          <w:tcPr>
            <w:tcW w:w="17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 xml:space="preserve">  16,067,992 </w:t>
            </w:r>
          </w:p>
        </w:tc>
      </w:tr>
    </w:tbl>
    <w:p w:rsidR="003A07B5" w:rsidRPr="002E660F" w:rsidRDefault="003A07B5" w:rsidP="00282E26">
      <w:pPr>
        <w:spacing w:line="360" w:lineRule="auto"/>
        <w:jc w:val="left"/>
        <w:rPr>
          <w:rFonts w:asciiTheme="minorEastAsia" w:hAnsiTheme="minorEastAsia" w:cs="Times New Roman"/>
          <w:color w:val="000000"/>
          <w:sz w:val="24"/>
          <w:szCs w:val="24"/>
        </w:rPr>
      </w:pPr>
    </w:p>
    <w:p w:rsidR="00885336" w:rsidRPr="002E660F" w:rsidRDefault="00885336" w:rsidP="00282E26">
      <w:pPr>
        <w:spacing w:line="360" w:lineRule="auto"/>
        <w:jc w:val="left"/>
        <w:rPr>
          <w:rFonts w:asciiTheme="minorEastAsia" w:hAnsiTheme="minorEastAsia" w:cs="Times New Roman"/>
          <w:color w:val="000000"/>
          <w:sz w:val="24"/>
          <w:szCs w:val="24"/>
        </w:rPr>
      </w:pPr>
      <w:bookmarkStart w:id="6" w:name="_GoBack"/>
      <w:bookmarkEnd w:id="6"/>
    </w:p>
    <w:p w:rsidR="00885336" w:rsidRPr="002E660F" w:rsidRDefault="00885336" w:rsidP="00282E26">
      <w:pPr>
        <w:spacing w:line="360" w:lineRule="auto"/>
        <w:jc w:val="left"/>
        <w:rPr>
          <w:rFonts w:asciiTheme="minorEastAsia" w:hAnsiTheme="minorEastAsia" w:cs="Times New Roman"/>
          <w:color w:val="000000"/>
          <w:sz w:val="24"/>
          <w:szCs w:val="24"/>
        </w:rPr>
      </w:pPr>
    </w:p>
    <w:p w:rsidR="00885336" w:rsidRPr="002E660F" w:rsidRDefault="00885336" w:rsidP="00282E26">
      <w:pPr>
        <w:spacing w:line="360" w:lineRule="auto"/>
        <w:jc w:val="left"/>
        <w:rPr>
          <w:rFonts w:asciiTheme="minorEastAsia" w:hAnsiTheme="minorEastAsia" w:cs="Times New Roman"/>
          <w:color w:val="000000"/>
          <w:sz w:val="24"/>
          <w:szCs w:val="24"/>
        </w:rPr>
      </w:pPr>
    </w:p>
    <w:p w:rsidR="00D76F9F" w:rsidRDefault="00D76F9F" w:rsidP="00282E26">
      <w:pPr>
        <w:spacing w:line="360" w:lineRule="auto"/>
        <w:jc w:val="left"/>
        <w:rPr>
          <w:rFonts w:asciiTheme="minorEastAsia" w:hAnsiTheme="minorEastAsia" w:cs="Times New Roman"/>
          <w:color w:val="000000"/>
          <w:sz w:val="24"/>
          <w:szCs w:val="24"/>
        </w:rPr>
      </w:pPr>
    </w:p>
    <w:p w:rsidR="00D76F9F" w:rsidRDefault="00D76F9F" w:rsidP="00282E26">
      <w:pPr>
        <w:spacing w:line="360" w:lineRule="auto"/>
        <w:jc w:val="left"/>
        <w:rPr>
          <w:rFonts w:asciiTheme="minorEastAsia" w:hAnsiTheme="minorEastAsia" w:cs="Times New Roman"/>
          <w:color w:val="000000"/>
          <w:sz w:val="24"/>
          <w:szCs w:val="24"/>
        </w:rPr>
      </w:pPr>
    </w:p>
    <w:p w:rsidR="00D76F9F" w:rsidRDefault="00D76F9F" w:rsidP="00282E26">
      <w:pPr>
        <w:spacing w:line="360" w:lineRule="auto"/>
        <w:jc w:val="left"/>
        <w:rPr>
          <w:rFonts w:asciiTheme="minorEastAsia" w:hAnsiTheme="minorEastAsia" w:cs="Times New Roman"/>
          <w:color w:val="000000"/>
          <w:sz w:val="24"/>
          <w:szCs w:val="24"/>
        </w:rPr>
      </w:pPr>
    </w:p>
    <w:p w:rsidR="00D76F9F" w:rsidRDefault="00D76F9F" w:rsidP="00282E26">
      <w:pPr>
        <w:spacing w:line="360" w:lineRule="auto"/>
        <w:jc w:val="left"/>
        <w:rPr>
          <w:rFonts w:asciiTheme="minorEastAsia" w:hAnsiTheme="minorEastAsia" w:cs="Times New Roman"/>
          <w:color w:val="000000"/>
          <w:sz w:val="24"/>
          <w:szCs w:val="24"/>
        </w:rPr>
      </w:pPr>
    </w:p>
    <w:p w:rsidR="00D76F9F" w:rsidRDefault="00D76F9F" w:rsidP="00282E26">
      <w:pPr>
        <w:spacing w:line="360" w:lineRule="auto"/>
        <w:jc w:val="left"/>
        <w:rPr>
          <w:rFonts w:asciiTheme="minorEastAsia" w:hAnsiTheme="minorEastAsia" w:cs="Times New Roman"/>
          <w:color w:val="000000"/>
          <w:sz w:val="24"/>
          <w:szCs w:val="24"/>
        </w:rPr>
      </w:pPr>
    </w:p>
    <w:p w:rsidR="00676F66" w:rsidRDefault="00676F66" w:rsidP="00282E26">
      <w:pPr>
        <w:spacing w:line="360" w:lineRule="auto"/>
        <w:jc w:val="left"/>
        <w:rPr>
          <w:rFonts w:asciiTheme="minorEastAsia" w:hAnsiTheme="minorEastAsia" w:cs="Times New Roman"/>
          <w:color w:val="000000"/>
          <w:sz w:val="24"/>
          <w:szCs w:val="24"/>
        </w:rPr>
      </w:pPr>
    </w:p>
    <w:p w:rsidR="00D76F9F" w:rsidRDefault="00D76F9F" w:rsidP="00282E26">
      <w:pPr>
        <w:spacing w:line="360" w:lineRule="auto"/>
        <w:jc w:val="left"/>
        <w:rPr>
          <w:rFonts w:asciiTheme="minorEastAsia" w:hAnsiTheme="minorEastAsia" w:cs="Times New Roman"/>
          <w:color w:val="000000"/>
          <w:sz w:val="24"/>
          <w:szCs w:val="24"/>
        </w:rPr>
      </w:pPr>
    </w:p>
    <w:p w:rsidR="00D76F9F" w:rsidRPr="002E660F" w:rsidRDefault="00D76F9F" w:rsidP="00282E26">
      <w:pPr>
        <w:spacing w:line="360" w:lineRule="auto"/>
        <w:jc w:val="left"/>
        <w:rPr>
          <w:rFonts w:asciiTheme="minorEastAsia" w:hAnsiTheme="minorEastAsia" w:cs="Times New Roman"/>
          <w:color w:val="000000"/>
          <w:sz w:val="24"/>
          <w:szCs w:val="24"/>
        </w:rPr>
      </w:pPr>
    </w:p>
    <w:p w:rsidR="00885336" w:rsidRDefault="00885336" w:rsidP="00282E26">
      <w:pPr>
        <w:spacing w:line="360" w:lineRule="auto"/>
        <w:jc w:val="left"/>
        <w:rPr>
          <w:rFonts w:asciiTheme="minorEastAsia" w:hAnsiTheme="minorEastAsia" w:cs="Times New Roman"/>
          <w:color w:val="000000"/>
          <w:sz w:val="24"/>
          <w:szCs w:val="24"/>
        </w:rPr>
      </w:pPr>
    </w:p>
    <w:p w:rsidR="003F1ED3" w:rsidRDefault="003F1ED3" w:rsidP="00282E26">
      <w:pPr>
        <w:spacing w:line="360" w:lineRule="auto"/>
        <w:jc w:val="left"/>
        <w:rPr>
          <w:rFonts w:asciiTheme="minorEastAsia" w:hAnsiTheme="minorEastAsia" w:cs="Times New Roman"/>
          <w:color w:val="000000"/>
          <w:sz w:val="24"/>
          <w:szCs w:val="24"/>
        </w:rPr>
      </w:pPr>
    </w:p>
    <w:p w:rsidR="003F1ED3" w:rsidRPr="002E660F" w:rsidRDefault="003F1ED3" w:rsidP="00282E26">
      <w:pPr>
        <w:spacing w:line="360" w:lineRule="auto"/>
        <w:jc w:val="left"/>
        <w:rPr>
          <w:rFonts w:asciiTheme="minorEastAsia" w:hAnsiTheme="minorEastAsia" w:cs="Times New Roman"/>
          <w:color w:val="000000"/>
          <w:sz w:val="24"/>
          <w:szCs w:val="24"/>
        </w:rPr>
      </w:pPr>
    </w:p>
    <w:p w:rsidR="00207FB9" w:rsidRPr="002E660F" w:rsidRDefault="001752BB" w:rsidP="00282E26">
      <w:pPr>
        <w:pStyle w:val="1"/>
        <w:spacing w:before="0" w:after="0" w:line="360" w:lineRule="auto"/>
        <w:rPr>
          <w:rFonts w:asciiTheme="minorEastAsia" w:hAnsiTheme="minorEastAsia"/>
          <w:sz w:val="28"/>
          <w:szCs w:val="24"/>
        </w:rPr>
      </w:pPr>
      <w:bookmarkStart w:id="7" w:name="_Toc226824216"/>
      <w:r>
        <w:rPr>
          <w:rFonts w:asciiTheme="minorEastAsia" w:hAnsiTheme="minorEastAsia"/>
          <w:sz w:val="28"/>
          <w:szCs w:val="24"/>
        </w:rPr>
        <w:lastRenderedPageBreak/>
        <w:t>3</w:t>
      </w:r>
      <w:r w:rsidR="00137392" w:rsidRPr="002E660F">
        <w:rPr>
          <w:rFonts w:asciiTheme="minorEastAsia" w:hAnsiTheme="minorEastAsia"/>
          <w:sz w:val="28"/>
          <w:szCs w:val="24"/>
        </w:rPr>
        <w:t xml:space="preserve">  </w:t>
      </w:r>
      <w:r w:rsidR="00207FB9" w:rsidRPr="002E660F">
        <w:rPr>
          <w:rFonts w:asciiTheme="minorEastAsia" w:hAnsiTheme="minorEastAsia" w:hint="eastAsia"/>
          <w:sz w:val="28"/>
          <w:szCs w:val="24"/>
        </w:rPr>
        <w:t>杠杆率</w:t>
      </w:r>
      <w:bookmarkEnd w:id="7"/>
    </w:p>
    <w:p w:rsidR="00F50307" w:rsidRPr="002E660F" w:rsidRDefault="001752BB" w:rsidP="00282E26">
      <w:pPr>
        <w:pStyle w:val="2"/>
        <w:spacing w:before="0" w:after="0" w:line="360" w:lineRule="auto"/>
        <w:rPr>
          <w:rFonts w:asciiTheme="minorEastAsia" w:eastAsiaTheme="minorEastAsia" w:hAnsiTheme="minorEastAsia"/>
          <w:sz w:val="24"/>
          <w:szCs w:val="24"/>
        </w:rPr>
      </w:pPr>
      <w:bookmarkStart w:id="8" w:name="_Toc226824217"/>
      <w:r>
        <w:rPr>
          <w:rFonts w:asciiTheme="minorEastAsia" w:eastAsiaTheme="minorEastAsia" w:hAnsiTheme="minorEastAsia"/>
          <w:sz w:val="24"/>
          <w:szCs w:val="24"/>
        </w:rPr>
        <w:t>3</w:t>
      </w:r>
      <w:r w:rsidR="00F50307" w:rsidRPr="002E660F">
        <w:rPr>
          <w:rFonts w:asciiTheme="minorEastAsia" w:eastAsiaTheme="minorEastAsia" w:hAnsiTheme="minorEastAsia" w:hint="eastAsia"/>
          <w:sz w:val="24"/>
          <w:szCs w:val="24"/>
        </w:rPr>
        <w:t>.1</w:t>
      </w:r>
      <w:r w:rsidR="00137392" w:rsidRPr="002E660F">
        <w:rPr>
          <w:rFonts w:asciiTheme="minorEastAsia" w:eastAsiaTheme="minorEastAsia" w:hAnsiTheme="minorEastAsia"/>
          <w:sz w:val="24"/>
          <w:szCs w:val="24"/>
        </w:rPr>
        <w:t xml:space="preserve">  </w:t>
      </w:r>
      <w:r w:rsidR="005F40AD" w:rsidRPr="002A644A">
        <w:rPr>
          <w:rFonts w:asciiTheme="minorEastAsia" w:hAnsiTheme="minorEastAsia" w:cs="Times New Roman" w:hint="eastAsia"/>
          <w:color w:val="000000"/>
          <w:sz w:val="24"/>
          <w:szCs w:val="24"/>
        </w:rPr>
        <w:t>LR1</w:t>
      </w:r>
      <w:r w:rsidR="005F40AD">
        <w:rPr>
          <w:rFonts w:asciiTheme="minorEastAsia" w:hAnsiTheme="minorEastAsia" w:cs="Times New Roman" w:hint="eastAsia"/>
          <w:color w:val="000000"/>
          <w:sz w:val="24"/>
          <w:szCs w:val="24"/>
        </w:rPr>
        <w:t xml:space="preserve"> </w:t>
      </w:r>
      <w:r w:rsidR="00F50307" w:rsidRPr="002E660F">
        <w:rPr>
          <w:rFonts w:asciiTheme="minorEastAsia" w:eastAsiaTheme="minorEastAsia" w:hAnsiTheme="minorEastAsia" w:hint="eastAsia"/>
          <w:sz w:val="24"/>
          <w:szCs w:val="24"/>
        </w:rPr>
        <w:t>杠杆率监管项目与相关会计项目的差异</w:t>
      </w:r>
      <w:bookmarkEnd w:id="8"/>
    </w:p>
    <w:p w:rsidR="00207FB9" w:rsidRPr="002E660F" w:rsidRDefault="00207FB9" w:rsidP="00282E26">
      <w:pPr>
        <w:spacing w:line="360" w:lineRule="auto"/>
        <w:ind w:firstLineChars="200" w:firstLine="480"/>
        <w:rPr>
          <w:rFonts w:asciiTheme="minorEastAsia" w:hAnsiTheme="minorEastAsia" w:cs="Times New Roman"/>
          <w:color w:val="000000"/>
          <w:sz w:val="24"/>
          <w:szCs w:val="24"/>
        </w:rPr>
      </w:pPr>
      <w:r w:rsidRPr="002E660F">
        <w:rPr>
          <w:rFonts w:asciiTheme="minorEastAsia" w:hAnsiTheme="minorEastAsia" w:cs="Times New Roman" w:hint="eastAsia"/>
          <w:color w:val="000000"/>
          <w:sz w:val="24"/>
          <w:szCs w:val="24"/>
        </w:rPr>
        <w:t>下表列示本公司资产负债表中的总资产和杠杆率调整后的表内外资产余额的对比关系。</w:t>
      </w:r>
    </w:p>
    <w:p w:rsidR="00207FB9" w:rsidRPr="002A644A" w:rsidRDefault="00207FB9" w:rsidP="00282E26">
      <w:pPr>
        <w:spacing w:line="360" w:lineRule="auto"/>
        <w:ind w:firstLineChars="200" w:firstLine="482"/>
        <w:rPr>
          <w:rFonts w:asciiTheme="minorEastAsia" w:hAnsiTheme="minorEastAsia" w:cs="Times New Roman"/>
          <w:b/>
          <w:color w:val="000000"/>
          <w:sz w:val="24"/>
          <w:szCs w:val="24"/>
        </w:rPr>
      </w:pPr>
      <w:r w:rsidRPr="002A644A">
        <w:rPr>
          <w:rFonts w:asciiTheme="minorEastAsia" w:hAnsiTheme="minorEastAsia" w:cs="Times New Roman" w:hint="eastAsia"/>
          <w:b/>
          <w:color w:val="000000"/>
          <w:sz w:val="24"/>
          <w:szCs w:val="24"/>
        </w:rPr>
        <w:t>表格LR1：杠杆率监管项目与相关会计项目的差异</w:t>
      </w:r>
    </w:p>
    <w:p w:rsidR="00207FB9" w:rsidRPr="002E660F" w:rsidRDefault="00207FB9" w:rsidP="00282E26">
      <w:pPr>
        <w:spacing w:line="360" w:lineRule="auto"/>
        <w:ind w:firstLineChars="200" w:firstLine="480"/>
        <w:jc w:val="right"/>
        <w:rPr>
          <w:rFonts w:asciiTheme="minorEastAsia" w:hAnsiTheme="minorEastAsia" w:cs="Times New Roman"/>
          <w:color w:val="000000"/>
          <w:sz w:val="24"/>
          <w:szCs w:val="24"/>
        </w:rPr>
      </w:pPr>
      <w:r w:rsidRPr="002E660F">
        <w:rPr>
          <w:rFonts w:asciiTheme="minorEastAsia" w:hAnsiTheme="minorEastAsia" w:cs="Times New Roman" w:hint="eastAsia"/>
          <w:color w:val="000000"/>
          <w:sz w:val="24"/>
          <w:szCs w:val="24"/>
        </w:rPr>
        <w:t>单位：人民币千元</w:t>
      </w:r>
    </w:p>
    <w:tbl>
      <w:tblPr>
        <w:tblW w:w="9860" w:type="dxa"/>
        <w:jc w:val="center"/>
        <w:tblLook w:val="04A0" w:firstRow="1" w:lastRow="0" w:firstColumn="1" w:lastColumn="0" w:noHBand="0" w:noVBand="1"/>
      </w:tblPr>
      <w:tblGrid>
        <w:gridCol w:w="1080"/>
        <w:gridCol w:w="5620"/>
        <w:gridCol w:w="3160"/>
      </w:tblGrid>
      <w:tr w:rsidR="006C7D7A" w:rsidRPr="006C7D7A" w:rsidTr="006C7D7A">
        <w:trPr>
          <w:trHeight w:val="270"/>
          <w:jc w:val="center"/>
        </w:trPr>
        <w:tc>
          <w:tcPr>
            <w:tcW w:w="67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w:t>
            </w:r>
          </w:p>
        </w:tc>
        <w:tc>
          <w:tcPr>
            <w:tcW w:w="3160" w:type="dxa"/>
            <w:tcBorders>
              <w:top w:val="single" w:sz="4" w:space="0" w:color="auto"/>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a</w:t>
            </w:r>
          </w:p>
        </w:tc>
      </w:tr>
      <w:tr w:rsidR="006C7D7A" w:rsidRPr="006C7D7A" w:rsidTr="006C7D7A">
        <w:trPr>
          <w:trHeight w:val="270"/>
          <w:jc w:val="center"/>
        </w:trPr>
        <w:tc>
          <w:tcPr>
            <w:tcW w:w="6700" w:type="dxa"/>
            <w:gridSpan w:val="2"/>
            <w:vMerge/>
            <w:tcBorders>
              <w:top w:val="single" w:sz="4" w:space="0" w:color="auto"/>
              <w:left w:val="single" w:sz="4" w:space="0" w:color="auto"/>
              <w:bottom w:val="single" w:sz="4" w:space="0" w:color="auto"/>
              <w:right w:val="single" w:sz="4" w:space="0" w:color="auto"/>
            </w:tcBorders>
            <w:vAlign w:val="center"/>
            <w:hideMark/>
          </w:tcPr>
          <w:p w:rsidR="006C7D7A" w:rsidRPr="006C7D7A" w:rsidRDefault="006C7D7A" w:rsidP="006C7D7A">
            <w:pPr>
              <w:widowControl/>
              <w:jc w:val="left"/>
              <w:rPr>
                <w:rFonts w:ascii="宋体" w:eastAsia="宋体" w:hAnsi="宋体" w:cs="宋体"/>
                <w:color w:val="000000"/>
                <w:kern w:val="0"/>
                <w:szCs w:val="21"/>
              </w:rPr>
            </w:pPr>
          </w:p>
        </w:tc>
        <w:tc>
          <w:tcPr>
            <w:tcW w:w="31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2026年9月30日</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w:t>
            </w:r>
          </w:p>
        </w:tc>
        <w:tc>
          <w:tcPr>
            <w:tcW w:w="56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并表总资产</w:t>
            </w:r>
          </w:p>
        </w:tc>
        <w:tc>
          <w:tcPr>
            <w:tcW w:w="31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302,593,877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w:t>
            </w:r>
          </w:p>
        </w:tc>
        <w:tc>
          <w:tcPr>
            <w:tcW w:w="56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并表调整项</w:t>
            </w:r>
          </w:p>
        </w:tc>
        <w:tc>
          <w:tcPr>
            <w:tcW w:w="31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3</w:t>
            </w:r>
          </w:p>
        </w:tc>
        <w:tc>
          <w:tcPr>
            <w:tcW w:w="56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客户资产调整项</w:t>
            </w:r>
          </w:p>
        </w:tc>
        <w:tc>
          <w:tcPr>
            <w:tcW w:w="31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4</w:t>
            </w:r>
          </w:p>
        </w:tc>
        <w:tc>
          <w:tcPr>
            <w:tcW w:w="56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衍生工具调整项</w:t>
            </w:r>
          </w:p>
        </w:tc>
        <w:tc>
          <w:tcPr>
            <w:tcW w:w="31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4,255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5</w:t>
            </w:r>
          </w:p>
        </w:tc>
        <w:tc>
          <w:tcPr>
            <w:tcW w:w="56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证券融资交易调整项</w:t>
            </w:r>
          </w:p>
        </w:tc>
        <w:tc>
          <w:tcPr>
            <w:tcW w:w="31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319,759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6</w:t>
            </w:r>
          </w:p>
        </w:tc>
        <w:tc>
          <w:tcPr>
            <w:tcW w:w="56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表外项目调整项</w:t>
            </w:r>
          </w:p>
        </w:tc>
        <w:tc>
          <w:tcPr>
            <w:tcW w:w="31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30,574,571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7</w:t>
            </w:r>
          </w:p>
        </w:tc>
        <w:tc>
          <w:tcPr>
            <w:tcW w:w="56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资产证券化交易调整项</w:t>
            </w:r>
          </w:p>
        </w:tc>
        <w:tc>
          <w:tcPr>
            <w:tcW w:w="31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8</w:t>
            </w:r>
          </w:p>
        </w:tc>
        <w:tc>
          <w:tcPr>
            <w:tcW w:w="56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未结算金融资产调整项</w:t>
            </w:r>
          </w:p>
        </w:tc>
        <w:tc>
          <w:tcPr>
            <w:tcW w:w="31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9</w:t>
            </w:r>
          </w:p>
        </w:tc>
        <w:tc>
          <w:tcPr>
            <w:tcW w:w="56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现金池调整项</w:t>
            </w:r>
          </w:p>
        </w:tc>
        <w:tc>
          <w:tcPr>
            <w:tcW w:w="31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10</w:t>
            </w:r>
          </w:p>
        </w:tc>
        <w:tc>
          <w:tcPr>
            <w:tcW w:w="56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存款准备金调整项（如有）</w:t>
            </w:r>
          </w:p>
        </w:tc>
        <w:tc>
          <w:tcPr>
            <w:tcW w:w="31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11</w:t>
            </w:r>
          </w:p>
        </w:tc>
        <w:tc>
          <w:tcPr>
            <w:tcW w:w="56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审慎估值和减值准备调整项</w:t>
            </w:r>
          </w:p>
        </w:tc>
        <w:tc>
          <w:tcPr>
            <w:tcW w:w="31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12</w:t>
            </w:r>
          </w:p>
        </w:tc>
        <w:tc>
          <w:tcPr>
            <w:tcW w:w="56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其他调整项</w:t>
            </w:r>
          </w:p>
        </w:tc>
        <w:tc>
          <w:tcPr>
            <w:tcW w:w="31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-266,970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13</w:t>
            </w:r>
          </w:p>
        </w:tc>
        <w:tc>
          <w:tcPr>
            <w:tcW w:w="562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调整后表内外资产余额</w:t>
            </w:r>
          </w:p>
        </w:tc>
        <w:tc>
          <w:tcPr>
            <w:tcW w:w="316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 xml:space="preserve">             333,225,492 </w:t>
            </w:r>
          </w:p>
        </w:tc>
      </w:tr>
    </w:tbl>
    <w:p w:rsidR="00207FB9" w:rsidRPr="002E660F" w:rsidRDefault="00207FB9" w:rsidP="00282E26">
      <w:pPr>
        <w:spacing w:line="360" w:lineRule="auto"/>
        <w:rPr>
          <w:rFonts w:asciiTheme="minorEastAsia" w:hAnsiTheme="minorEastAsia" w:cs="Times New Roman"/>
          <w:color w:val="000000"/>
          <w:sz w:val="24"/>
          <w:szCs w:val="24"/>
        </w:rPr>
      </w:pPr>
    </w:p>
    <w:p w:rsidR="00207FB9" w:rsidRDefault="00207FB9" w:rsidP="00282E26">
      <w:pPr>
        <w:spacing w:line="360" w:lineRule="auto"/>
        <w:rPr>
          <w:rFonts w:asciiTheme="minorEastAsia" w:hAnsiTheme="minorEastAsia" w:cs="Times New Roman"/>
          <w:color w:val="000000"/>
          <w:sz w:val="24"/>
          <w:szCs w:val="24"/>
        </w:rPr>
      </w:pPr>
    </w:p>
    <w:p w:rsidR="00841A33" w:rsidRDefault="00841A33" w:rsidP="00282E26">
      <w:pPr>
        <w:spacing w:line="360" w:lineRule="auto"/>
        <w:rPr>
          <w:rFonts w:asciiTheme="minorEastAsia" w:hAnsiTheme="minorEastAsia" w:cs="Times New Roman"/>
          <w:color w:val="000000"/>
          <w:sz w:val="24"/>
          <w:szCs w:val="24"/>
        </w:rPr>
      </w:pPr>
    </w:p>
    <w:p w:rsidR="00841A33" w:rsidRDefault="00841A33" w:rsidP="00282E26">
      <w:pPr>
        <w:spacing w:line="360" w:lineRule="auto"/>
        <w:rPr>
          <w:rFonts w:asciiTheme="minorEastAsia" w:hAnsiTheme="minorEastAsia" w:cs="Times New Roman"/>
          <w:color w:val="000000"/>
          <w:sz w:val="24"/>
          <w:szCs w:val="24"/>
        </w:rPr>
      </w:pPr>
    </w:p>
    <w:p w:rsidR="00841A33" w:rsidRDefault="00841A33" w:rsidP="00282E26">
      <w:pPr>
        <w:spacing w:line="360" w:lineRule="auto"/>
        <w:rPr>
          <w:rFonts w:asciiTheme="minorEastAsia" w:hAnsiTheme="minorEastAsia" w:cs="Times New Roman"/>
          <w:color w:val="000000"/>
          <w:sz w:val="24"/>
          <w:szCs w:val="24"/>
        </w:rPr>
      </w:pPr>
    </w:p>
    <w:p w:rsidR="00841A33" w:rsidRDefault="00841A33" w:rsidP="00282E26">
      <w:pPr>
        <w:spacing w:line="360" w:lineRule="auto"/>
        <w:rPr>
          <w:rFonts w:asciiTheme="minorEastAsia" w:hAnsiTheme="minorEastAsia" w:cs="Times New Roman"/>
          <w:color w:val="000000"/>
          <w:sz w:val="24"/>
          <w:szCs w:val="24"/>
        </w:rPr>
      </w:pPr>
    </w:p>
    <w:p w:rsidR="00841A33" w:rsidRDefault="00841A33" w:rsidP="00282E26">
      <w:pPr>
        <w:spacing w:line="360" w:lineRule="auto"/>
        <w:rPr>
          <w:rFonts w:asciiTheme="minorEastAsia" w:hAnsiTheme="minorEastAsia" w:cs="Times New Roman"/>
          <w:color w:val="000000"/>
          <w:sz w:val="24"/>
          <w:szCs w:val="24"/>
        </w:rPr>
      </w:pPr>
    </w:p>
    <w:p w:rsidR="00841A33" w:rsidRDefault="00841A33" w:rsidP="00282E26">
      <w:pPr>
        <w:spacing w:line="360" w:lineRule="auto"/>
        <w:rPr>
          <w:rFonts w:asciiTheme="minorEastAsia" w:hAnsiTheme="minorEastAsia" w:cs="Times New Roman"/>
          <w:color w:val="000000"/>
          <w:sz w:val="24"/>
          <w:szCs w:val="24"/>
        </w:rPr>
      </w:pPr>
    </w:p>
    <w:p w:rsidR="00841A33" w:rsidRDefault="00841A33" w:rsidP="00282E26">
      <w:pPr>
        <w:spacing w:line="360" w:lineRule="auto"/>
        <w:rPr>
          <w:rFonts w:asciiTheme="minorEastAsia" w:hAnsiTheme="minorEastAsia" w:cs="Times New Roman"/>
          <w:color w:val="000000"/>
          <w:sz w:val="24"/>
          <w:szCs w:val="24"/>
        </w:rPr>
      </w:pPr>
    </w:p>
    <w:p w:rsidR="00841A33" w:rsidRDefault="00841A33" w:rsidP="00282E26">
      <w:pPr>
        <w:spacing w:line="360" w:lineRule="auto"/>
        <w:rPr>
          <w:rFonts w:asciiTheme="minorEastAsia" w:hAnsiTheme="minorEastAsia" w:cs="Times New Roman"/>
          <w:color w:val="000000"/>
          <w:sz w:val="24"/>
          <w:szCs w:val="24"/>
        </w:rPr>
      </w:pPr>
    </w:p>
    <w:p w:rsidR="00841A33" w:rsidRDefault="00841A33" w:rsidP="00282E26">
      <w:pPr>
        <w:spacing w:line="360" w:lineRule="auto"/>
        <w:rPr>
          <w:rFonts w:asciiTheme="minorEastAsia" w:hAnsiTheme="minorEastAsia" w:cs="Times New Roman"/>
          <w:color w:val="000000"/>
          <w:sz w:val="24"/>
          <w:szCs w:val="24"/>
        </w:rPr>
      </w:pPr>
    </w:p>
    <w:p w:rsidR="00841A33" w:rsidRPr="002E660F" w:rsidRDefault="00841A33" w:rsidP="00282E26">
      <w:pPr>
        <w:spacing w:line="360" w:lineRule="auto"/>
        <w:rPr>
          <w:rFonts w:asciiTheme="minorEastAsia" w:hAnsiTheme="minorEastAsia" w:cs="Times New Roman"/>
          <w:color w:val="000000"/>
          <w:sz w:val="24"/>
          <w:szCs w:val="24"/>
        </w:rPr>
      </w:pPr>
    </w:p>
    <w:p w:rsidR="00F50307" w:rsidRPr="002E660F" w:rsidRDefault="001752BB" w:rsidP="00282E26">
      <w:pPr>
        <w:pStyle w:val="2"/>
        <w:spacing w:before="0" w:after="0" w:line="360" w:lineRule="auto"/>
        <w:rPr>
          <w:rFonts w:asciiTheme="minorEastAsia" w:eastAsiaTheme="minorEastAsia" w:hAnsiTheme="minorEastAsia"/>
          <w:sz w:val="24"/>
          <w:szCs w:val="24"/>
        </w:rPr>
      </w:pPr>
      <w:bookmarkStart w:id="9" w:name="_Toc226824218"/>
      <w:r>
        <w:rPr>
          <w:rFonts w:asciiTheme="minorEastAsia" w:eastAsiaTheme="minorEastAsia" w:hAnsiTheme="minorEastAsia"/>
          <w:sz w:val="24"/>
          <w:szCs w:val="24"/>
        </w:rPr>
        <w:lastRenderedPageBreak/>
        <w:t>3</w:t>
      </w:r>
      <w:r w:rsidR="00F50307" w:rsidRPr="002E660F">
        <w:rPr>
          <w:rFonts w:asciiTheme="minorEastAsia" w:eastAsiaTheme="minorEastAsia" w:hAnsiTheme="minorEastAsia" w:hint="eastAsia"/>
          <w:sz w:val="24"/>
          <w:szCs w:val="24"/>
        </w:rPr>
        <w:t>.</w:t>
      </w:r>
      <w:r w:rsidR="00F50307" w:rsidRPr="002E660F">
        <w:rPr>
          <w:rFonts w:asciiTheme="minorEastAsia" w:eastAsiaTheme="minorEastAsia" w:hAnsiTheme="minorEastAsia"/>
          <w:sz w:val="24"/>
          <w:szCs w:val="24"/>
        </w:rPr>
        <w:t>2</w:t>
      </w:r>
      <w:r w:rsidR="00137392" w:rsidRPr="002E660F">
        <w:rPr>
          <w:rFonts w:asciiTheme="minorEastAsia" w:eastAsiaTheme="minorEastAsia" w:hAnsiTheme="minorEastAsia"/>
          <w:sz w:val="24"/>
          <w:szCs w:val="24"/>
        </w:rPr>
        <w:t xml:space="preserve">  </w:t>
      </w:r>
      <w:r w:rsidR="005F40AD" w:rsidRPr="002A644A">
        <w:rPr>
          <w:rFonts w:asciiTheme="minorEastAsia" w:hAnsiTheme="minorEastAsia" w:cs="Times New Roman" w:hint="eastAsia"/>
          <w:color w:val="000000"/>
          <w:sz w:val="24"/>
          <w:szCs w:val="24"/>
        </w:rPr>
        <w:t>LR2</w:t>
      </w:r>
      <w:r w:rsidR="005F40AD">
        <w:rPr>
          <w:rFonts w:asciiTheme="minorEastAsia" w:hAnsiTheme="minorEastAsia" w:cs="Times New Roman" w:hint="eastAsia"/>
          <w:color w:val="000000"/>
          <w:sz w:val="24"/>
          <w:szCs w:val="24"/>
        </w:rPr>
        <w:t xml:space="preserve"> </w:t>
      </w:r>
      <w:r w:rsidR="00F50307" w:rsidRPr="002E660F">
        <w:rPr>
          <w:rFonts w:asciiTheme="minorEastAsia" w:eastAsiaTheme="minorEastAsia" w:hAnsiTheme="minorEastAsia" w:hint="eastAsia"/>
          <w:sz w:val="24"/>
          <w:szCs w:val="24"/>
        </w:rPr>
        <w:t>杠杆率</w:t>
      </w:r>
      <w:bookmarkEnd w:id="9"/>
    </w:p>
    <w:p w:rsidR="00207FB9" w:rsidRPr="002E660F" w:rsidRDefault="00207FB9" w:rsidP="00282E26">
      <w:pPr>
        <w:spacing w:line="360" w:lineRule="auto"/>
        <w:ind w:firstLineChars="200" w:firstLine="480"/>
        <w:rPr>
          <w:rFonts w:asciiTheme="minorEastAsia" w:hAnsiTheme="minorEastAsia" w:cs="Times New Roman"/>
          <w:color w:val="000000"/>
          <w:sz w:val="24"/>
          <w:szCs w:val="24"/>
        </w:rPr>
      </w:pPr>
      <w:r w:rsidRPr="002E660F">
        <w:rPr>
          <w:rFonts w:asciiTheme="minorEastAsia" w:hAnsiTheme="minorEastAsia" w:cs="Times New Roman" w:hint="eastAsia"/>
          <w:color w:val="000000"/>
          <w:sz w:val="24"/>
          <w:szCs w:val="24"/>
        </w:rPr>
        <w:t>下表列示本公司杠杆率分母的组成明细以及实际杠杆率、最低杠杆率要求和附加杠杆率要求等相关信息。</w:t>
      </w:r>
    </w:p>
    <w:p w:rsidR="00207FB9" w:rsidRPr="002A644A" w:rsidRDefault="00207FB9" w:rsidP="00282E26">
      <w:pPr>
        <w:spacing w:line="360" w:lineRule="auto"/>
        <w:ind w:firstLineChars="200" w:firstLine="482"/>
        <w:rPr>
          <w:rFonts w:asciiTheme="minorEastAsia" w:hAnsiTheme="minorEastAsia" w:cs="Times New Roman"/>
          <w:b/>
          <w:color w:val="000000"/>
          <w:sz w:val="24"/>
          <w:szCs w:val="24"/>
        </w:rPr>
      </w:pPr>
      <w:r w:rsidRPr="002A644A">
        <w:rPr>
          <w:rFonts w:asciiTheme="minorEastAsia" w:hAnsiTheme="minorEastAsia" w:cs="Times New Roman" w:hint="eastAsia"/>
          <w:b/>
          <w:color w:val="000000"/>
          <w:sz w:val="24"/>
          <w:szCs w:val="24"/>
        </w:rPr>
        <w:t>表格LR2：杠杆率</w:t>
      </w:r>
    </w:p>
    <w:p w:rsidR="00207FB9" w:rsidRPr="002E660F" w:rsidRDefault="00207FB9" w:rsidP="00282E26">
      <w:pPr>
        <w:spacing w:line="360" w:lineRule="auto"/>
        <w:ind w:firstLineChars="200" w:firstLine="480"/>
        <w:jc w:val="right"/>
        <w:rPr>
          <w:rFonts w:asciiTheme="minorEastAsia" w:hAnsiTheme="minorEastAsia" w:cs="Times New Roman"/>
          <w:color w:val="000000"/>
          <w:sz w:val="24"/>
          <w:szCs w:val="24"/>
        </w:rPr>
      </w:pPr>
      <w:r w:rsidRPr="002E660F">
        <w:rPr>
          <w:rFonts w:asciiTheme="minorEastAsia" w:hAnsiTheme="minorEastAsia" w:cs="Times New Roman" w:hint="eastAsia"/>
          <w:color w:val="000000"/>
          <w:sz w:val="24"/>
          <w:szCs w:val="24"/>
        </w:rPr>
        <w:t>单位：人民币千元，百分比除外</w:t>
      </w:r>
    </w:p>
    <w:tbl>
      <w:tblPr>
        <w:tblW w:w="9600" w:type="dxa"/>
        <w:jc w:val="center"/>
        <w:tblLook w:val="04A0" w:firstRow="1" w:lastRow="0" w:firstColumn="1" w:lastColumn="0" w:noHBand="0" w:noVBand="1"/>
      </w:tblPr>
      <w:tblGrid>
        <w:gridCol w:w="1080"/>
        <w:gridCol w:w="4240"/>
        <w:gridCol w:w="2140"/>
        <w:gridCol w:w="2140"/>
      </w:tblGrid>
      <w:tr w:rsidR="006C7D7A" w:rsidRPr="006C7D7A" w:rsidTr="006C7D7A">
        <w:trPr>
          <w:trHeight w:val="270"/>
          <w:tblHeader/>
          <w:jc w:val="center"/>
        </w:trPr>
        <w:tc>
          <w:tcPr>
            <w:tcW w:w="53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a</w:t>
            </w:r>
          </w:p>
        </w:tc>
        <w:tc>
          <w:tcPr>
            <w:tcW w:w="2140" w:type="dxa"/>
            <w:tcBorders>
              <w:top w:val="single" w:sz="4" w:space="0" w:color="auto"/>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b</w:t>
            </w:r>
          </w:p>
        </w:tc>
      </w:tr>
      <w:tr w:rsidR="006C7D7A" w:rsidRPr="006C7D7A" w:rsidTr="006C7D7A">
        <w:trPr>
          <w:trHeight w:val="270"/>
          <w:tblHeader/>
          <w:jc w:val="center"/>
        </w:trPr>
        <w:tc>
          <w:tcPr>
            <w:tcW w:w="5320" w:type="dxa"/>
            <w:gridSpan w:val="2"/>
            <w:vMerge/>
            <w:tcBorders>
              <w:top w:val="single" w:sz="4" w:space="0" w:color="auto"/>
              <w:left w:val="single" w:sz="4" w:space="0" w:color="auto"/>
              <w:bottom w:val="single" w:sz="4" w:space="0" w:color="auto"/>
              <w:right w:val="single" w:sz="4" w:space="0" w:color="auto"/>
            </w:tcBorders>
            <w:vAlign w:val="center"/>
            <w:hideMark/>
          </w:tcPr>
          <w:p w:rsidR="006C7D7A" w:rsidRPr="006C7D7A" w:rsidRDefault="006C7D7A" w:rsidP="006C7D7A">
            <w:pPr>
              <w:widowControl/>
              <w:jc w:val="left"/>
              <w:rPr>
                <w:rFonts w:ascii="宋体" w:eastAsia="宋体" w:hAnsi="宋体" w:cs="宋体"/>
                <w:color w:val="000000"/>
                <w:kern w:val="0"/>
                <w:szCs w:val="21"/>
              </w:rPr>
            </w:pP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2026年9月30日</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2026年6月30日</w:t>
            </w:r>
          </w:p>
        </w:tc>
      </w:tr>
      <w:tr w:rsidR="006C7D7A" w:rsidRPr="006C7D7A" w:rsidTr="006C7D7A">
        <w:trPr>
          <w:trHeight w:val="270"/>
          <w:jc w:val="center"/>
        </w:trPr>
        <w:tc>
          <w:tcPr>
            <w:tcW w:w="9600" w:type="dxa"/>
            <w:gridSpan w:val="4"/>
            <w:tcBorders>
              <w:top w:val="single" w:sz="4" w:space="0" w:color="auto"/>
              <w:left w:val="single" w:sz="4" w:space="0" w:color="auto"/>
              <w:bottom w:val="single" w:sz="4" w:space="0" w:color="auto"/>
              <w:right w:val="single" w:sz="4" w:space="0" w:color="auto"/>
            </w:tcBorders>
            <w:shd w:val="clear" w:color="000000" w:fill="E7E6E6"/>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表内资产余额</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rPr>
                <w:rFonts w:ascii="宋体" w:eastAsia="宋体" w:hAnsi="宋体" w:cs="宋体"/>
                <w:color w:val="000000"/>
                <w:kern w:val="0"/>
                <w:szCs w:val="21"/>
              </w:rPr>
            </w:pPr>
            <w:r w:rsidRPr="006C7D7A">
              <w:rPr>
                <w:rFonts w:ascii="宋体" w:eastAsia="宋体" w:hAnsi="宋体" w:cs="宋体" w:hint="eastAsia"/>
                <w:color w:val="000000"/>
                <w:kern w:val="0"/>
                <w:szCs w:val="21"/>
              </w:rPr>
              <w:t>表内资产（除衍生工具和证券融资交易外）</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290,563,525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293,049,200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减：减值准备</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-5,283,440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-5,191,817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3</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减：一级资本扣除项</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-266,970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-254,746 </w:t>
            </w:r>
          </w:p>
        </w:tc>
      </w:tr>
      <w:tr w:rsidR="006C7D7A" w:rsidRPr="006C7D7A" w:rsidTr="006C7D7A">
        <w:trPr>
          <w:trHeight w:val="51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4</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调整后的表内资产余额（衍生工具和证券融资交易除外）</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 xml:space="preserve">     285,013,115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 xml:space="preserve">     287,602,637 </w:t>
            </w:r>
          </w:p>
        </w:tc>
      </w:tr>
      <w:tr w:rsidR="006C7D7A" w:rsidRPr="006C7D7A" w:rsidTr="006C7D7A">
        <w:trPr>
          <w:trHeight w:val="270"/>
          <w:jc w:val="center"/>
        </w:trPr>
        <w:tc>
          <w:tcPr>
            <w:tcW w:w="9600" w:type="dxa"/>
            <w:gridSpan w:val="4"/>
            <w:tcBorders>
              <w:top w:val="single" w:sz="4" w:space="0" w:color="auto"/>
              <w:left w:val="single" w:sz="4" w:space="0" w:color="auto"/>
              <w:bottom w:val="single" w:sz="4" w:space="0" w:color="auto"/>
              <w:right w:val="single" w:sz="4" w:space="0" w:color="auto"/>
            </w:tcBorders>
            <w:shd w:val="clear" w:color="000000" w:fill="E7E6E6"/>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衍生工具资产余额</w:t>
            </w:r>
          </w:p>
        </w:tc>
      </w:tr>
      <w:tr w:rsidR="006C7D7A" w:rsidRPr="006C7D7A" w:rsidTr="006C7D7A">
        <w:trPr>
          <w:trHeight w:val="51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5</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rPr>
                <w:rFonts w:ascii="宋体" w:eastAsia="宋体" w:hAnsi="宋体" w:cs="宋体"/>
                <w:color w:val="000000"/>
                <w:kern w:val="0"/>
                <w:szCs w:val="21"/>
              </w:rPr>
            </w:pPr>
            <w:r w:rsidRPr="006C7D7A">
              <w:rPr>
                <w:rFonts w:ascii="宋体" w:eastAsia="宋体" w:hAnsi="宋体" w:cs="宋体" w:hint="eastAsia"/>
                <w:color w:val="000000"/>
                <w:kern w:val="0"/>
                <w:szCs w:val="21"/>
              </w:rPr>
              <w:t>各类衍生工具的重置成本（扣除合格保证金，考虑双边净额结算协议的影响）</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372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222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6</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rPr>
                <w:rFonts w:ascii="宋体" w:eastAsia="宋体" w:hAnsi="宋体" w:cs="宋体"/>
                <w:color w:val="000000"/>
                <w:kern w:val="0"/>
                <w:szCs w:val="21"/>
              </w:rPr>
            </w:pPr>
            <w:r w:rsidRPr="006C7D7A">
              <w:rPr>
                <w:rFonts w:ascii="宋体" w:eastAsia="宋体" w:hAnsi="宋体" w:cs="宋体" w:hint="eastAsia"/>
                <w:color w:val="000000"/>
                <w:kern w:val="0"/>
                <w:szCs w:val="21"/>
              </w:rPr>
              <w:t>各类衍生工具的潜在风险暴露</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3,883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2,815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7</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rPr>
                <w:rFonts w:ascii="宋体" w:eastAsia="宋体" w:hAnsi="宋体" w:cs="宋体"/>
                <w:color w:val="000000"/>
                <w:kern w:val="0"/>
                <w:szCs w:val="21"/>
              </w:rPr>
            </w:pPr>
            <w:r w:rsidRPr="006C7D7A">
              <w:rPr>
                <w:rFonts w:ascii="宋体" w:eastAsia="宋体" w:hAnsi="宋体" w:cs="宋体" w:hint="eastAsia"/>
                <w:color w:val="000000"/>
                <w:kern w:val="0"/>
                <w:szCs w:val="21"/>
              </w:rPr>
              <w:t>已从资产负债表中扣除的抵质押品总和</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8</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rPr>
                <w:rFonts w:ascii="宋体" w:eastAsia="宋体" w:hAnsi="宋体" w:cs="宋体"/>
                <w:color w:val="000000"/>
                <w:kern w:val="0"/>
                <w:szCs w:val="21"/>
              </w:rPr>
            </w:pPr>
            <w:r w:rsidRPr="006C7D7A">
              <w:rPr>
                <w:rFonts w:ascii="宋体" w:eastAsia="宋体" w:hAnsi="宋体" w:cs="宋体" w:hint="eastAsia"/>
                <w:color w:val="000000"/>
                <w:kern w:val="0"/>
                <w:szCs w:val="21"/>
              </w:rPr>
              <w:t>减：因提供合格保证金形成的应收资产</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51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9</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rPr>
                <w:rFonts w:ascii="宋体" w:eastAsia="宋体" w:hAnsi="宋体" w:cs="宋体"/>
                <w:color w:val="000000"/>
                <w:kern w:val="0"/>
                <w:szCs w:val="21"/>
              </w:rPr>
            </w:pPr>
            <w:r w:rsidRPr="006C7D7A">
              <w:rPr>
                <w:rFonts w:ascii="宋体" w:eastAsia="宋体" w:hAnsi="宋体" w:cs="宋体" w:hint="eastAsia"/>
                <w:color w:val="000000"/>
                <w:kern w:val="0"/>
                <w:szCs w:val="21"/>
              </w:rPr>
              <w:t>减：为客户提供清算服务时与中央交易对手交易形成的衍生工具资产余额</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10</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卖出信用衍生工具的名义本金</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11</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减：可扣除的卖出信用衍生工具资产余额</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12</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衍生工具资产余额</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 xml:space="preserve">           4,255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 xml:space="preserve">           3,037 </w:t>
            </w:r>
          </w:p>
        </w:tc>
      </w:tr>
      <w:tr w:rsidR="006C7D7A" w:rsidRPr="006C7D7A" w:rsidTr="006C7D7A">
        <w:trPr>
          <w:trHeight w:val="270"/>
          <w:jc w:val="center"/>
        </w:trPr>
        <w:tc>
          <w:tcPr>
            <w:tcW w:w="9600" w:type="dxa"/>
            <w:gridSpan w:val="4"/>
            <w:tcBorders>
              <w:top w:val="single" w:sz="4" w:space="0" w:color="auto"/>
              <w:left w:val="single" w:sz="4" w:space="0" w:color="auto"/>
              <w:bottom w:val="single" w:sz="4" w:space="0" w:color="auto"/>
              <w:right w:val="single" w:sz="4" w:space="0" w:color="auto"/>
            </w:tcBorders>
            <w:shd w:val="clear" w:color="000000" w:fill="E7E6E6"/>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证券融资交易资产余额</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13</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证券融资交易的会计资产余额</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17,313,792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9,377,857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14</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减：可以扣除的证券融资交易资产余额</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15</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证券融资交易的交易对手信用风险暴露</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319,759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382,100 </w:t>
            </w:r>
          </w:p>
        </w:tc>
      </w:tr>
      <w:tr w:rsidR="006C7D7A" w:rsidRPr="006C7D7A" w:rsidTr="006C7D7A">
        <w:trPr>
          <w:trHeight w:val="51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16</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代理证券融资交易形成的证券融资交易资产余额</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17</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证券融资交易资产余额</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 xml:space="preserve">      17,633,551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 xml:space="preserve">       9,759,957 </w:t>
            </w:r>
          </w:p>
        </w:tc>
      </w:tr>
      <w:tr w:rsidR="006C7D7A" w:rsidRPr="006C7D7A" w:rsidTr="006C7D7A">
        <w:trPr>
          <w:trHeight w:val="270"/>
          <w:jc w:val="center"/>
        </w:trPr>
        <w:tc>
          <w:tcPr>
            <w:tcW w:w="9600" w:type="dxa"/>
            <w:gridSpan w:val="4"/>
            <w:tcBorders>
              <w:top w:val="single" w:sz="4" w:space="0" w:color="auto"/>
              <w:left w:val="single" w:sz="4" w:space="0" w:color="auto"/>
              <w:bottom w:val="single" w:sz="4" w:space="0" w:color="auto"/>
              <w:right w:val="single" w:sz="4" w:space="0" w:color="auto"/>
            </w:tcBorders>
            <w:shd w:val="clear" w:color="000000" w:fill="E7E6E6"/>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 xml:space="preserve">表外项目余额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18</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表外项目余额</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48,233,419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43,312,215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19</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减：因信用转换调整的表外项目余额</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-17,570,813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-15,779,383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20</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减：减值准备</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-88,035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-89,764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21</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调整后的表外项目余额</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 xml:space="preserve">      30,574,571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 xml:space="preserve">      27,443,068 </w:t>
            </w:r>
          </w:p>
        </w:tc>
      </w:tr>
      <w:tr w:rsidR="006C7D7A" w:rsidRPr="006C7D7A" w:rsidTr="006C7D7A">
        <w:trPr>
          <w:trHeight w:val="270"/>
          <w:jc w:val="center"/>
        </w:trPr>
        <w:tc>
          <w:tcPr>
            <w:tcW w:w="9600" w:type="dxa"/>
            <w:gridSpan w:val="4"/>
            <w:tcBorders>
              <w:top w:val="single" w:sz="4" w:space="0" w:color="auto"/>
              <w:left w:val="single" w:sz="4" w:space="0" w:color="auto"/>
              <w:bottom w:val="single" w:sz="4" w:space="0" w:color="auto"/>
              <w:right w:val="single" w:sz="4" w:space="0" w:color="auto"/>
            </w:tcBorders>
            <w:shd w:val="clear" w:color="000000" w:fill="E7E6E6"/>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一级资本净额和调整后表内外资产余额</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22</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一级资本净额</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21,081,747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20,846,625 </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23</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调整后表内外资产余额</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333,225,492 </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 xml:space="preserve">       324,808,699 </w:t>
            </w:r>
          </w:p>
        </w:tc>
      </w:tr>
      <w:tr w:rsidR="006C7D7A" w:rsidRPr="006C7D7A" w:rsidTr="006C7D7A">
        <w:trPr>
          <w:trHeight w:val="270"/>
          <w:jc w:val="center"/>
        </w:trPr>
        <w:tc>
          <w:tcPr>
            <w:tcW w:w="9600" w:type="dxa"/>
            <w:gridSpan w:val="4"/>
            <w:tcBorders>
              <w:top w:val="single" w:sz="4" w:space="0" w:color="auto"/>
              <w:left w:val="single" w:sz="4" w:space="0" w:color="auto"/>
              <w:bottom w:val="single" w:sz="4" w:space="0" w:color="auto"/>
              <w:right w:val="single" w:sz="4" w:space="0" w:color="auto"/>
            </w:tcBorders>
            <w:shd w:val="clear" w:color="000000" w:fill="E7E6E6"/>
            <w:vAlign w:val="center"/>
            <w:hideMark/>
          </w:tcPr>
          <w:p w:rsidR="006C7D7A" w:rsidRPr="006C7D7A" w:rsidRDefault="006C7D7A" w:rsidP="006C7D7A">
            <w:pPr>
              <w:widowControl/>
              <w:jc w:val="left"/>
              <w:rPr>
                <w:rFonts w:ascii="宋体" w:eastAsia="宋体" w:hAnsi="宋体" w:cs="宋体"/>
                <w:b/>
                <w:bCs/>
                <w:color w:val="000000"/>
                <w:kern w:val="0"/>
                <w:szCs w:val="21"/>
              </w:rPr>
            </w:pPr>
            <w:r w:rsidRPr="006C7D7A">
              <w:rPr>
                <w:rFonts w:ascii="宋体" w:eastAsia="宋体" w:hAnsi="宋体" w:cs="宋体" w:hint="eastAsia"/>
                <w:b/>
                <w:bCs/>
                <w:color w:val="000000"/>
                <w:kern w:val="0"/>
                <w:szCs w:val="21"/>
              </w:rPr>
              <w:t>杠杆率</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24</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rPr>
                <w:rFonts w:ascii="宋体" w:eastAsia="宋体" w:hAnsi="宋体" w:cs="宋体"/>
                <w:color w:val="000000"/>
                <w:kern w:val="0"/>
                <w:szCs w:val="21"/>
              </w:rPr>
            </w:pPr>
            <w:r w:rsidRPr="006C7D7A">
              <w:rPr>
                <w:rFonts w:ascii="宋体" w:eastAsia="宋体" w:hAnsi="宋体" w:cs="宋体" w:hint="eastAsia"/>
                <w:color w:val="000000"/>
                <w:kern w:val="0"/>
                <w:szCs w:val="21"/>
              </w:rPr>
              <w:t>杠杆率（%）</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6.33</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6.42</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lastRenderedPageBreak/>
              <w:t>24a</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rPr>
                <w:rFonts w:ascii="宋体" w:eastAsia="宋体" w:hAnsi="宋体" w:cs="宋体"/>
                <w:color w:val="000000"/>
                <w:kern w:val="0"/>
                <w:szCs w:val="21"/>
              </w:rPr>
            </w:pPr>
            <w:r w:rsidRPr="006C7D7A">
              <w:rPr>
                <w:rFonts w:ascii="宋体" w:eastAsia="宋体" w:hAnsi="宋体" w:cs="宋体" w:hint="eastAsia"/>
                <w:color w:val="000000"/>
                <w:kern w:val="0"/>
                <w:szCs w:val="21"/>
              </w:rPr>
              <w:t>杠杆率a（%）</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6.33</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6.42</w:t>
            </w:r>
          </w:p>
        </w:tc>
      </w:tr>
      <w:tr w:rsidR="006C7D7A" w:rsidRPr="006C7D7A" w:rsidTr="006C7D7A">
        <w:trPr>
          <w:trHeight w:val="270"/>
          <w:jc w:val="center"/>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6C7D7A" w:rsidRPr="006C7D7A" w:rsidRDefault="006C7D7A" w:rsidP="006C7D7A">
            <w:pPr>
              <w:widowControl/>
              <w:jc w:val="center"/>
              <w:rPr>
                <w:rFonts w:ascii="宋体" w:eastAsia="宋体" w:hAnsi="宋体" w:cs="宋体"/>
                <w:color w:val="000000"/>
                <w:kern w:val="0"/>
                <w:szCs w:val="21"/>
              </w:rPr>
            </w:pPr>
            <w:r w:rsidRPr="006C7D7A">
              <w:rPr>
                <w:rFonts w:ascii="宋体" w:eastAsia="宋体" w:hAnsi="宋体" w:cs="宋体" w:hint="eastAsia"/>
                <w:color w:val="000000"/>
                <w:kern w:val="0"/>
                <w:szCs w:val="21"/>
              </w:rPr>
              <w:t>25</w:t>
            </w:r>
          </w:p>
        </w:tc>
        <w:tc>
          <w:tcPr>
            <w:tcW w:w="42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left"/>
              <w:rPr>
                <w:rFonts w:ascii="宋体" w:eastAsia="宋体" w:hAnsi="宋体" w:cs="宋体"/>
                <w:color w:val="000000"/>
                <w:kern w:val="0"/>
                <w:szCs w:val="21"/>
              </w:rPr>
            </w:pPr>
            <w:r w:rsidRPr="006C7D7A">
              <w:rPr>
                <w:rFonts w:ascii="宋体" w:eastAsia="宋体" w:hAnsi="宋体" w:cs="宋体" w:hint="eastAsia"/>
                <w:color w:val="000000"/>
                <w:kern w:val="0"/>
                <w:szCs w:val="21"/>
              </w:rPr>
              <w:t>最低杠杆率要求（%）</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4.00</w:t>
            </w:r>
          </w:p>
        </w:tc>
        <w:tc>
          <w:tcPr>
            <w:tcW w:w="2140" w:type="dxa"/>
            <w:tcBorders>
              <w:top w:val="nil"/>
              <w:left w:val="nil"/>
              <w:bottom w:val="single" w:sz="4" w:space="0" w:color="auto"/>
              <w:right w:val="single" w:sz="4" w:space="0" w:color="auto"/>
            </w:tcBorders>
            <w:shd w:val="clear" w:color="auto" w:fill="auto"/>
            <w:vAlign w:val="center"/>
            <w:hideMark/>
          </w:tcPr>
          <w:p w:rsidR="006C7D7A" w:rsidRPr="006C7D7A" w:rsidRDefault="006C7D7A" w:rsidP="006C7D7A">
            <w:pPr>
              <w:widowControl/>
              <w:jc w:val="right"/>
              <w:rPr>
                <w:rFonts w:ascii="宋体" w:eastAsia="宋体" w:hAnsi="宋体" w:cs="宋体"/>
                <w:color w:val="000000"/>
                <w:kern w:val="0"/>
                <w:szCs w:val="21"/>
              </w:rPr>
            </w:pPr>
            <w:r w:rsidRPr="006C7D7A">
              <w:rPr>
                <w:rFonts w:ascii="宋体" w:eastAsia="宋体" w:hAnsi="宋体" w:cs="宋体" w:hint="eastAsia"/>
                <w:color w:val="000000"/>
                <w:kern w:val="0"/>
                <w:szCs w:val="21"/>
              </w:rPr>
              <w:t>4.00</w:t>
            </w:r>
          </w:p>
        </w:tc>
      </w:tr>
    </w:tbl>
    <w:p w:rsidR="00207FB9" w:rsidRDefault="00207FB9" w:rsidP="00282E26">
      <w:pPr>
        <w:spacing w:line="360" w:lineRule="auto"/>
        <w:rPr>
          <w:rFonts w:asciiTheme="minorEastAsia" w:hAnsiTheme="minorEastAsia" w:cs="Times New Roman"/>
          <w:color w:val="000000"/>
          <w:sz w:val="24"/>
          <w:szCs w:val="24"/>
        </w:rPr>
      </w:pPr>
    </w:p>
    <w:p w:rsidR="003A6A9E" w:rsidRPr="002E660F" w:rsidRDefault="003A6A9E" w:rsidP="00282E26">
      <w:pPr>
        <w:spacing w:line="360" w:lineRule="auto"/>
        <w:rPr>
          <w:rFonts w:asciiTheme="minorEastAsia" w:hAnsiTheme="minorEastAsia" w:cs="Times New Roman"/>
          <w:color w:val="000000"/>
          <w:sz w:val="24"/>
          <w:szCs w:val="24"/>
        </w:rPr>
      </w:pPr>
    </w:p>
    <w:sectPr w:rsidR="003A6A9E" w:rsidRPr="002E660F" w:rsidSect="00B17FB6">
      <w:footerReference w:type="default" r:id="rId7"/>
      <w:pgSz w:w="11906" w:h="16838" w:code="9"/>
      <w:pgMar w:top="1247" w:right="1911" w:bottom="1247" w:left="1911"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475" w:rsidRDefault="00C53475" w:rsidP="005E452C">
      <w:r>
        <w:separator/>
      </w:r>
    </w:p>
  </w:endnote>
  <w:endnote w:type="continuationSeparator" w:id="0">
    <w:p w:rsidR="00C53475" w:rsidRDefault="00C53475" w:rsidP="005E4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4141187"/>
      <w:docPartObj>
        <w:docPartGallery w:val="Page Numbers (Bottom of Page)"/>
        <w:docPartUnique/>
      </w:docPartObj>
    </w:sdtPr>
    <w:sdtEndPr>
      <w:rPr>
        <w:rFonts w:asciiTheme="minorEastAsia" w:hAnsiTheme="minorEastAsia"/>
        <w:sz w:val="24"/>
        <w:szCs w:val="24"/>
      </w:rPr>
    </w:sdtEndPr>
    <w:sdtContent>
      <w:p w:rsidR="00BA52FC" w:rsidRPr="00676F66" w:rsidRDefault="00BA52FC">
        <w:pPr>
          <w:pStyle w:val="a4"/>
          <w:jc w:val="center"/>
          <w:rPr>
            <w:rFonts w:asciiTheme="minorEastAsia" w:hAnsiTheme="minorEastAsia"/>
            <w:sz w:val="24"/>
            <w:szCs w:val="24"/>
          </w:rPr>
        </w:pPr>
        <w:r w:rsidRPr="00676F66">
          <w:rPr>
            <w:rFonts w:asciiTheme="minorEastAsia" w:hAnsiTheme="minorEastAsia"/>
            <w:sz w:val="24"/>
            <w:szCs w:val="24"/>
          </w:rPr>
          <w:fldChar w:fldCharType="begin"/>
        </w:r>
        <w:r w:rsidRPr="00676F66">
          <w:rPr>
            <w:rFonts w:asciiTheme="minorEastAsia" w:hAnsiTheme="minorEastAsia"/>
            <w:sz w:val="24"/>
            <w:szCs w:val="24"/>
          </w:rPr>
          <w:instrText>PAGE   \* MERGEFORMAT</w:instrText>
        </w:r>
        <w:r w:rsidRPr="00676F66">
          <w:rPr>
            <w:rFonts w:asciiTheme="minorEastAsia" w:hAnsiTheme="minorEastAsia"/>
            <w:sz w:val="24"/>
            <w:szCs w:val="24"/>
          </w:rPr>
          <w:fldChar w:fldCharType="separate"/>
        </w:r>
        <w:r w:rsidR="00A97917" w:rsidRPr="00A97917">
          <w:rPr>
            <w:rFonts w:asciiTheme="minorEastAsia" w:hAnsiTheme="minorEastAsia"/>
            <w:noProof/>
            <w:sz w:val="24"/>
            <w:szCs w:val="24"/>
            <w:lang w:val="zh-CN"/>
          </w:rPr>
          <w:t>2</w:t>
        </w:r>
        <w:r w:rsidRPr="00676F66">
          <w:rPr>
            <w:rFonts w:asciiTheme="minorEastAsia" w:hAnsiTheme="minorEastAsia"/>
            <w:sz w:val="24"/>
            <w:szCs w:val="24"/>
          </w:rPr>
          <w:fldChar w:fldCharType="end"/>
        </w:r>
      </w:p>
    </w:sdtContent>
  </w:sdt>
  <w:p w:rsidR="00BA52FC" w:rsidRDefault="00BA52F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475" w:rsidRDefault="00C53475" w:rsidP="005E452C">
      <w:r>
        <w:separator/>
      </w:r>
    </w:p>
  </w:footnote>
  <w:footnote w:type="continuationSeparator" w:id="0">
    <w:p w:rsidR="00C53475" w:rsidRDefault="00C53475" w:rsidP="005E45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36AC1"/>
    <w:rsid w:val="00002898"/>
    <w:rsid w:val="00006131"/>
    <w:rsid w:val="0000779D"/>
    <w:rsid w:val="00011695"/>
    <w:rsid w:val="00012313"/>
    <w:rsid w:val="00015208"/>
    <w:rsid w:val="00015863"/>
    <w:rsid w:val="00015A56"/>
    <w:rsid w:val="00022586"/>
    <w:rsid w:val="00023D19"/>
    <w:rsid w:val="00024574"/>
    <w:rsid w:val="00024946"/>
    <w:rsid w:val="0002509A"/>
    <w:rsid w:val="00030DFE"/>
    <w:rsid w:val="00033530"/>
    <w:rsid w:val="000359D8"/>
    <w:rsid w:val="00035C08"/>
    <w:rsid w:val="00036D74"/>
    <w:rsid w:val="00040FC9"/>
    <w:rsid w:val="00041FC8"/>
    <w:rsid w:val="000443FC"/>
    <w:rsid w:val="000449A0"/>
    <w:rsid w:val="0004612B"/>
    <w:rsid w:val="00046240"/>
    <w:rsid w:val="00046ED7"/>
    <w:rsid w:val="000508E7"/>
    <w:rsid w:val="00050C83"/>
    <w:rsid w:val="00051EDF"/>
    <w:rsid w:val="00051FD3"/>
    <w:rsid w:val="0005327B"/>
    <w:rsid w:val="00054373"/>
    <w:rsid w:val="000567B8"/>
    <w:rsid w:val="0005707B"/>
    <w:rsid w:val="0005711A"/>
    <w:rsid w:val="00060938"/>
    <w:rsid w:val="00063F9F"/>
    <w:rsid w:val="00063FAE"/>
    <w:rsid w:val="00065116"/>
    <w:rsid w:val="000707E6"/>
    <w:rsid w:val="000719B9"/>
    <w:rsid w:val="0007255C"/>
    <w:rsid w:val="0007265D"/>
    <w:rsid w:val="0007419D"/>
    <w:rsid w:val="00074EF1"/>
    <w:rsid w:val="00076030"/>
    <w:rsid w:val="00076B4A"/>
    <w:rsid w:val="00077AF6"/>
    <w:rsid w:val="00077D54"/>
    <w:rsid w:val="0008126C"/>
    <w:rsid w:val="00082A7B"/>
    <w:rsid w:val="00082C96"/>
    <w:rsid w:val="00083059"/>
    <w:rsid w:val="00086AC4"/>
    <w:rsid w:val="00090A1A"/>
    <w:rsid w:val="00090F43"/>
    <w:rsid w:val="0009299B"/>
    <w:rsid w:val="00093B8B"/>
    <w:rsid w:val="0009484C"/>
    <w:rsid w:val="000952CD"/>
    <w:rsid w:val="000A05A1"/>
    <w:rsid w:val="000A3596"/>
    <w:rsid w:val="000A3D89"/>
    <w:rsid w:val="000A44EF"/>
    <w:rsid w:val="000A5744"/>
    <w:rsid w:val="000B0607"/>
    <w:rsid w:val="000B1038"/>
    <w:rsid w:val="000B26F4"/>
    <w:rsid w:val="000B3677"/>
    <w:rsid w:val="000B37BB"/>
    <w:rsid w:val="000B6FCC"/>
    <w:rsid w:val="000B7007"/>
    <w:rsid w:val="000B7857"/>
    <w:rsid w:val="000C0099"/>
    <w:rsid w:val="000C2F89"/>
    <w:rsid w:val="000C3CC2"/>
    <w:rsid w:val="000C3D14"/>
    <w:rsid w:val="000C568A"/>
    <w:rsid w:val="000C59DE"/>
    <w:rsid w:val="000C65DB"/>
    <w:rsid w:val="000C6818"/>
    <w:rsid w:val="000C7718"/>
    <w:rsid w:val="000D0D16"/>
    <w:rsid w:val="000D0F91"/>
    <w:rsid w:val="000D33AE"/>
    <w:rsid w:val="000D38E7"/>
    <w:rsid w:val="000D43FB"/>
    <w:rsid w:val="000D5844"/>
    <w:rsid w:val="000E18CD"/>
    <w:rsid w:val="000E3D47"/>
    <w:rsid w:val="000E4D1C"/>
    <w:rsid w:val="000E5B3B"/>
    <w:rsid w:val="000E5D09"/>
    <w:rsid w:val="000E779C"/>
    <w:rsid w:val="000F0646"/>
    <w:rsid w:val="000F1486"/>
    <w:rsid w:val="000F5959"/>
    <w:rsid w:val="000F5E93"/>
    <w:rsid w:val="0010253D"/>
    <w:rsid w:val="00104E16"/>
    <w:rsid w:val="00105D3F"/>
    <w:rsid w:val="00107DCA"/>
    <w:rsid w:val="001106CA"/>
    <w:rsid w:val="00110F7E"/>
    <w:rsid w:val="00111872"/>
    <w:rsid w:val="00112D85"/>
    <w:rsid w:val="001138C1"/>
    <w:rsid w:val="00114DCA"/>
    <w:rsid w:val="00116AE8"/>
    <w:rsid w:val="0011793D"/>
    <w:rsid w:val="00120A5B"/>
    <w:rsid w:val="00121EA8"/>
    <w:rsid w:val="001260F3"/>
    <w:rsid w:val="00126B42"/>
    <w:rsid w:val="0013355B"/>
    <w:rsid w:val="001336ED"/>
    <w:rsid w:val="001340A3"/>
    <w:rsid w:val="00134459"/>
    <w:rsid w:val="0013618C"/>
    <w:rsid w:val="00137392"/>
    <w:rsid w:val="001417E4"/>
    <w:rsid w:val="00142834"/>
    <w:rsid w:val="00143D89"/>
    <w:rsid w:val="001459DE"/>
    <w:rsid w:val="00145D3D"/>
    <w:rsid w:val="001460A3"/>
    <w:rsid w:val="0014629F"/>
    <w:rsid w:val="001465F9"/>
    <w:rsid w:val="00150C65"/>
    <w:rsid w:val="00150D9A"/>
    <w:rsid w:val="001517C2"/>
    <w:rsid w:val="00151832"/>
    <w:rsid w:val="001539C3"/>
    <w:rsid w:val="0015757A"/>
    <w:rsid w:val="00157747"/>
    <w:rsid w:val="001619CF"/>
    <w:rsid w:val="00162458"/>
    <w:rsid w:val="00162772"/>
    <w:rsid w:val="00164D31"/>
    <w:rsid w:val="001705D1"/>
    <w:rsid w:val="001709C0"/>
    <w:rsid w:val="00170E8A"/>
    <w:rsid w:val="001752BB"/>
    <w:rsid w:val="00176945"/>
    <w:rsid w:val="00181680"/>
    <w:rsid w:val="0018348D"/>
    <w:rsid w:val="00183C67"/>
    <w:rsid w:val="00183C8D"/>
    <w:rsid w:val="00186A7D"/>
    <w:rsid w:val="00195667"/>
    <w:rsid w:val="0019650D"/>
    <w:rsid w:val="001A47E3"/>
    <w:rsid w:val="001A4CCD"/>
    <w:rsid w:val="001A5E56"/>
    <w:rsid w:val="001A7486"/>
    <w:rsid w:val="001B1CCB"/>
    <w:rsid w:val="001B2F8B"/>
    <w:rsid w:val="001B3ED9"/>
    <w:rsid w:val="001B3FDB"/>
    <w:rsid w:val="001B4164"/>
    <w:rsid w:val="001B4F17"/>
    <w:rsid w:val="001C0AB6"/>
    <w:rsid w:val="001C43AB"/>
    <w:rsid w:val="001C67DD"/>
    <w:rsid w:val="001D05AB"/>
    <w:rsid w:val="001D0A8F"/>
    <w:rsid w:val="001D135D"/>
    <w:rsid w:val="001D16D3"/>
    <w:rsid w:val="001D2B10"/>
    <w:rsid w:val="001D2C3E"/>
    <w:rsid w:val="001D2EDF"/>
    <w:rsid w:val="001D502E"/>
    <w:rsid w:val="001D569A"/>
    <w:rsid w:val="001D6D8A"/>
    <w:rsid w:val="001D7C02"/>
    <w:rsid w:val="001E111F"/>
    <w:rsid w:val="001E4A20"/>
    <w:rsid w:val="001E4E72"/>
    <w:rsid w:val="001E5128"/>
    <w:rsid w:val="001E5A2A"/>
    <w:rsid w:val="001E5B0E"/>
    <w:rsid w:val="001E5DE1"/>
    <w:rsid w:val="001F19F4"/>
    <w:rsid w:val="001F34CC"/>
    <w:rsid w:val="001F47EE"/>
    <w:rsid w:val="001F5304"/>
    <w:rsid w:val="001F60B5"/>
    <w:rsid w:val="001F640B"/>
    <w:rsid w:val="00200B39"/>
    <w:rsid w:val="002011C9"/>
    <w:rsid w:val="00202C2D"/>
    <w:rsid w:val="002066D1"/>
    <w:rsid w:val="0020743D"/>
    <w:rsid w:val="002075AF"/>
    <w:rsid w:val="00207FB9"/>
    <w:rsid w:val="00210847"/>
    <w:rsid w:val="00210A86"/>
    <w:rsid w:val="00210ADA"/>
    <w:rsid w:val="0021319E"/>
    <w:rsid w:val="00214B95"/>
    <w:rsid w:val="00214D9E"/>
    <w:rsid w:val="00216FA3"/>
    <w:rsid w:val="00220BC5"/>
    <w:rsid w:val="00221414"/>
    <w:rsid w:val="002222E3"/>
    <w:rsid w:val="0022444E"/>
    <w:rsid w:val="00224998"/>
    <w:rsid w:val="002257B2"/>
    <w:rsid w:val="00226CB6"/>
    <w:rsid w:val="00227408"/>
    <w:rsid w:val="002315A6"/>
    <w:rsid w:val="0023199D"/>
    <w:rsid w:val="00232585"/>
    <w:rsid w:val="00233AA8"/>
    <w:rsid w:val="00234997"/>
    <w:rsid w:val="00235190"/>
    <w:rsid w:val="00237C86"/>
    <w:rsid w:val="00242A1D"/>
    <w:rsid w:val="00242E10"/>
    <w:rsid w:val="0024380A"/>
    <w:rsid w:val="00245BC0"/>
    <w:rsid w:val="0025041A"/>
    <w:rsid w:val="00252ABC"/>
    <w:rsid w:val="00255022"/>
    <w:rsid w:val="002574ED"/>
    <w:rsid w:val="00257BA0"/>
    <w:rsid w:val="00260571"/>
    <w:rsid w:val="0026222C"/>
    <w:rsid w:val="00262C01"/>
    <w:rsid w:val="00262C84"/>
    <w:rsid w:val="00264ED6"/>
    <w:rsid w:val="00266236"/>
    <w:rsid w:val="00266F50"/>
    <w:rsid w:val="0026735F"/>
    <w:rsid w:val="002676EA"/>
    <w:rsid w:val="002712B7"/>
    <w:rsid w:val="00271B20"/>
    <w:rsid w:val="00271B98"/>
    <w:rsid w:val="00272D70"/>
    <w:rsid w:val="0027455F"/>
    <w:rsid w:val="00275CA4"/>
    <w:rsid w:val="00275F26"/>
    <w:rsid w:val="00276E0B"/>
    <w:rsid w:val="00277A5A"/>
    <w:rsid w:val="00277CB3"/>
    <w:rsid w:val="002812DF"/>
    <w:rsid w:val="00282E26"/>
    <w:rsid w:val="00283B9E"/>
    <w:rsid w:val="00284174"/>
    <w:rsid w:val="00284AA7"/>
    <w:rsid w:val="002919AD"/>
    <w:rsid w:val="002931AF"/>
    <w:rsid w:val="00293720"/>
    <w:rsid w:val="002937E8"/>
    <w:rsid w:val="00295A56"/>
    <w:rsid w:val="002960EE"/>
    <w:rsid w:val="002964CA"/>
    <w:rsid w:val="002A0352"/>
    <w:rsid w:val="002A0D30"/>
    <w:rsid w:val="002A644A"/>
    <w:rsid w:val="002A6FF8"/>
    <w:rsid w:val="002B2636"/>
    <w:rsid w:val="002B4A8F"/>
    <w:rsid w:val="002B5EC7"/>
    <w:rsid w:val="002B60BC"/>
    <w:rsid w:val="002B7732"/>
    <w:rsid w:val="002B7B53"/>
    <w:rsid w:val="002C0876"/>
    <w:rsid w:val="002C0CA0"/>
    <w:rsid w:val="002C231E"/>
    <w:rsid w:val="002C4633"/>
    <w:rsid w:val="002C4914"/>
    <w:rsid w:val="002C4F82"/>
    <w:rsid w:val="002C5251"/>
    <w:rsid w:val="002C68B0"/>
    <w:rsid w:val="002C7A7B"/>
    <w:rsid w:val="002D65C1"/>
    <w:rsid w:val="002D719F"/>
    <w:rsid w:val="002D74E6"/>
    <w:rsid w:val="002D7B52"/>
    <w:rsid w:val="002E0216"/>
    <w:rsid w:val="002E11CE"/>
    <w:rsid w:val="002E2440"/>
    <w:rsid w:val="002E3253"/>
    <w:rsid w:val="002E660F"/>
    <w:rsid w:val="002E690E"/>
    <w:rsid w:val="002E6BE3"/>
    <w:rsid w:val="002E740D"/>
    <w:rsid w:val="002F1D8D"/>
    <w:rsid w:val="002F5A70"/>
    <w:rsid w:val="002F6C19"/>
    <w:rsid w:val="002F6E20"/>
    <w:rsid w:val="002F7D49"/>
    <w:rsid w:val="00302AA5"/>
    <w:rsid w:val="00302BA7"/>
    <w:rsid w:val="00302D80"/>
    <w:rsid w:val="00302F04"/>
    <w:rsid w:val="0030436B"/>
    <w:rsid w:val="0030637B"/>
    <w:rsid w:val="00307A85"/>
    <w:rsid w:val="00310BBF"/>
    <w:rsid w:val="00311FBC"/>
    <w:rsid w:val="00313238"/>
    <w:rsid w:val="00315793"/>
    <w:rsid w:val="0031595F"/>
    <w:rsid w:val="003176BF"/>
    <w:rsid w:val="00322587"/>
    <w:rsid w:val="00323078"/>
    <w:rsid w:val="00324965"/>
    <w:rsid w:val="00325C09"/>
    <w:rsid w:val="00326E56"/>
    <w:rsid w:val="00327DD1"/>
    <w:rsid w:val="00330BA2"/>
    <w:rsid w:val="0033256C"/>
    <w:rsid w:val="00333002"/>
    <w:rsid w:val="00334090"/>
    <w:rsid w:val="003346FC"/>
    <w:rsid w:val="00337655"/>
    <w:rsid w:val="00337B6D"/>
    <w:rsid w:val="00337F3C"/>
    <w:rsid w:val="00341C75"/>
    <w:rsid w:val="00342433"/>
    <w:rsid w:val="00344942"/>
    <w:rsid w:val="00344E27"/>
    <w:rsid w:val="00346BC4"/>
    <w:rsid w:val="003510AF"/>
    <w:rsid w:val="003558A8"/>
    <w:rsid w:val="00355BEA"/>
    <w:rsid w:val="00356BEB"/>
    <w:rsid w:val="00357201"/>
    <w:rsid w:val="003626F9"/>
    <w:rsid w:val="00362A27"/>
    <w:rsid w:val="00362FA2"/>
    <w:rsid w:val="003633EA"/>
    <w:rsid w:val="0036392B"/>
    <w:rsid w:val="0036540C"/>
    <w:rsid w:val="00366F42"/>
    <w:rsid w:val="00371B3D"/>
    <w:rsid w:val="00372145"/>
    <w:rsid w:val="00373322"/>
    <w:rsid w:val="00373410"/>
    <w:rsid w:val="003734CD"/>
    <w:rsid w:val="00375086"/>
    <w:rsid w:val="003766F7"/>
    <w:rsid w:val="003773BA"/>
    <w:rsid w:val="00380C94"/>
    <w:rsid w:val="00381A7F"/>
    <w:rsid w:val="00381C41"/>
    <w:rsid w:val="0038335A"/>
    <w:rsid w:val="003834F8"/>
    <w:rsid w:val="003864F7"/>
    <w:rsid w:val="003904A9"/>
    <w:rsid w:val="00390C5A"/>
    <w:rsid w:val="00390DF9"/>
    <w:rsid w:val="0039286D"/>
    <w:rsid w:val="00392D86"/>
    <w:rsid w:val="0039454D"/>
    <w:rsid w:val="00394BE2"/>
    <w:rsid w:val="00394FC0"/>
    <w:rsid w:val="00396377"/>
    <w:rsid w:val="00397E11"/>
    <w:rsid w:val="00397FD1"/>
    <w:rsid w:val="003A05EE"/>
    <w:rsid w:val="003A07B5"/>
    <w:rsid w:val="003A2985"/>
    <w:rsid w:val="003A6A5F"/>
    <w:rsid w:val="003A6A9E"/>
    <w:rsid w:val="003A6B13"/>
    <w:rsid w:val="003A6BBB"/>
    <w:rsid w:val="003A6BFC"/>
    <w:rsid w:val="003B3E6E"/>
    <w:rsid w:val="003B5E3D"/>
    <w:rsid w:val="003B6613"/>
    <w:rsid w:val="003B7FFE"/>
    <w:rsid w:val="003C0509"/>
    <w:rsid w:val="003C72DB"/>
    <w:rsid w:val="003D0D2B"/>
    <w:rsid w:val="003D117C"/>
    <w:rsid w:val="003D2D49"/>
    <w:rsid w:val="003D472D"/>
    <w:rsid w:val="003D657F"/>
    <w:rsid w:val="003D7D7D"/>
    <w:rsid w:val="003E319F"/>
    <w:rsid w:val="003E37CE"/>
    <w:rsid w:val="003E3E1D"/>
    <w:rsid w:val="003E606C"/>
    <w:rsid w:val="003F1C94"/>
    <w:rsid w:val="003F1ED3"/>
    <w:rsid w:val="003F2E84"/>
    <w:rsid w:val="003F5874"/>
    <w:rsid w:val="0040261E"/>
    <w:rsid w:val="00404286"/>
    <w:rsid w:val="00407114"/>
    <w:rsid w:val="00410750"/>
    <w:rsid w:val="00411E20"/>
    <w:rsid w:val="00415131"/>
    <w:rsid w:val="00415201"/>
    <w:rsid w:val="004166AE"/>
    <w:rsid w:val="00417CC3"/>
    <w:rsid w:val="004204A5"/>
    <w:rsid w:val="00421191"/>
    <w:rsid w:val="00421783"/>
    <w:rsid w:val="00422BA1"/>
    <w:rsid w:val="00422E5A"/>
    <w:rsid w:val="00424FF0"/>
    <w:rsid w:val="0042501B"/>
    <w:rsid w:val="00425CF6"/>
    <w:rsid w:val="004328FE"/>
    <w:rsid w:val="00432BD1"/>
    <w:rsid w:val="0043307B"/>
    <w:rsid w:val="0043589D"/>
    <w:rsid w:val="00435DEC"/>
    <w:rsid w:val="004365E0"/>
    <w:rsid w:val="00436C67"/>
    <w:rsid w:val="0044048F"/>
    <w:rsid w:val="00440D2E"/>
    <w:rsid w:val="00442209"/>
    <w:rsid w:val="0044253B"/>
    <w:rsid w:val="004425D3"/>
    <w:rsid w:val="00444472"/>
    <w:rsid w:val="004448A4"/>
    <w:rsid w:val="00447ED6"/>
    <w:rsid w:val="0045283E"/>
    <w:rsid w:val="004532B6"/>
    <w:rsid w:val="00453F52"/>
    <w:rsid w:val="004559BA"/>
    <w:rsid w:val="00456EFE"/>
    <w:rsid w:val="0045702E"/>
    <w:rsid w:val="00457E4C"/>
    <w:rsid w:val="00460725"/>
    <w:rsid w:val="0046184F"/>
    <w:rsid w:val="004627AB"/>
    <w:rsid w:val="00462950"/>
    <w:rsid w:val="00462E94"/>
    <w:rsid w:val="00464B58"/>
    <w:rsid w:val="00465105"/>
    <w:rsid w:val="00465D09"/>
    <w:rsid w:val="004665C6"/>
    <w:rsid w:val="0047136C"/>
    <w:rsid w:val="00472AC7"/>
    <w:rsid w:val="00472B9A"/>
    <w:rsid w:val="0047354A"/>
    <w:rsid w:val="00474AA2"/>
    <w:rsid w:val="00474CDC"/>
    <w:rsid w:val="00475D30"/>
    <w:rsid w:val="004819A7"/>
    <w:rsid w:val="00485759"/>
    <w:rsid w:val="00485CF7"/>
    <w:rsid w:val="00487353"/>
    <w:rsid w:val="004876DC"/>
    <w:rsid w:val="00490F8B"/>
    <w:rsid w:val="0049105F"/>
    <w:rsid w:val="004910FF"/>
    <w:rsid w:val="004926BD"/>
    <w:rsid w:val="0049293A"/>
    <w:rsid w:val="0049393C"/>
    <w:rsid w:val="00494EC1"/>
    <w:rsid w:val="00496523"/>
    <w:rsid w:val="004A02FC"/>
    <w:rsid w:val="004A0948"/>
    <w:rsid w:val="004A2809"/>
    <w:rsid w:val="004A3BE2"/>
    <w:rsid w:val="004A6721"/>
    <w:rsid w:val="004A69AF"/>
    <w:rsid w:val="004A6F46"/>
    <w:rsid w:val="004A71BF"/>
    <w:rsid w:val="004B1638"/>
    <w:rsid w:val="004B29F1"/>
    <w:rsid w:val="004B3164"/>
    <w:rsid w:val="004B69F4"/>
    <w:rsid w:val="004C1823"/>
    <w:rsid w:val="004C3959"/>
    <w:rsid w:val="004C49CF"/>
    <w:rsid w:val="004C6745"/>
    <w:rsid w:val="004C7DCA"/>
    <w:rsid w:val="004D150B"/>
    <w:rsid w:val="004D18E1"/>
    <w:rsid w:val="004D1BB7"/>
    <w:rsid w:val="004D313F"/>
    <w:rsid w:val="004D43C2"/>
    <w:rsid w:val="004D4788"/>
    <w:rsid w:val="004D7434"/>
    <w:rsid w:val="004E2170"/>
    <w:rsid w:val="004E26BD"/>
    <w:rsid w:val="004E3C35"/>
    <w:rsid w:val="004E53CE"/>
    <w:rsid w:val="004E5579"/>
    <w:rsid w:val="004E61BE"/>
    <w:rsid w:val="004E6928"/>
    <w:rsid w:val="004E6B7D"/>
    <w:rsid w:val="004F3E50"/>
    <w:rsid w:val="004F54AD"/>
    <w:rsid w:val="004F673C"/>
    <w:rsid w:val="00501AE9"/>
    <w:rsid w:val="005038CE"/>
    <w:rsid w:val="00504E0D"/>
    <w:rsid w:val="005102DB"/>
    <w:rsid w:val="00513045"/>
    <w:rsid w:val="00513E4B"/>
    <w:rsid w:val="00514D1C"/>
    <w:rsid w:val="005153A4"/>
    <w:rsid w:val="00516B97"/>
    <w:rsid w:val="00523DDC"/>
    <w:rsid w:val="00525B6F"/>
    <w:rsid w:val="005272AE"/>
    <w:rsid w:val="00530005"/>
    <w:rsid w:val="00530B19"/>
    <w:rsid w:val="00530C85"/>
    <w:rsid w:val="005316D0"/>
    <w:rsid w:val="0053287D"/>
    <w:rsid w:val="00532962"/>
    <w:rsid w:val="00535057"/>
    <w:rsid w:val="0053651B"/>
    <w:rsid w:val="0054001D"/>
    <w:rsid w:val="00540566"/>
    <w:rsid w:val="00545715"/>
    <w:rsid w:val="00546857"/>
    <w:rsid w:val="005512B0"/>
    <w:rsid w:val="00552EFD"/>
    <w:rsid w:val="005531BC"/>
    <w:rsid w:val="00557343"/>
    <w:rsid w:val="005619FB"/>
    <w:rsid w:val="00561F7C"/>
    <w:rsid w:val="005630E2"/>
    <w:rsid w:val="00570BFC"/>
    <w:rsid w:val="00572CCA"/>
    <w:rsid w:val="00574CFA"/>
    <w:rsid w:val="005750A3"/>
    <w:rsid w:val="005769A3"/>
    <w:rsid w:val="005774AF"/>
    <w:rsid w:val="0059129C"/>
    <w:rsid w:val="005927B9"/>
    <w:rsid w:val="00595117"/>
    <w:rsid w:val="005A0286"/>
    <w:rsid w:val="005A10D2"/>
    <w:rsid w:val="005A1161"/>
    <w:rsid w:val="005A25B4"/>
    <w:rsid w:val="005A4C2B"/>
    <w:rsid w:val="005B0229"/>
    <w:rsid w:val="005B06AA"/>
    <w:rsid w:val="005B2573"/>
    <w:rsid w:val="005B30AD"/>
    <w:rsid w:val="005B33C9"/>
    <w:rsid w:val="005B5EE0"/>
    <w:rsid w:val="005B7DA8"/>
    <w:rsid w:val="005C0443"/>
    <w:rsid w:val="005C0D48"/>
    <w:rsid w:val="005C1C5D"/>
    <w:rsid w:val="005C2003"/>
    <w:rsid w:val="005C42CB"/>
    <w:rsid w:val="005C7703"/>
    <w:rsid w:val="005D3CF9"/>
    <w:rsid w:val="005D3DF6"/>
    <w:rsid w:val="005D4DA5"/>
    <w:rsid w:val="005D6809"/>
    <w:rsid w:val="005E452C"/>
    <w:rsid w:val="005F40AD"/>
    <w:rsid w:val="005F50DF"/>
    <w:rsid w:val="005F61FB"/>
    <w:rsid w:val="005F7CF6"/>
    <w:rsid w:val="005F7DC7"/>
    <w:rsid w:val="0060232C"/>
    <w:rsid w:val="006029FA"/>
    <w:rsid w:val="006043F5"/>
    <w:rsid w:val="00610C96"/>
    <w:rsid w:val="0061113C"/>
    <w:rsid w:val="006114A3"/>
    <w:rsid w:val="006119BA"/>
    <w:rsid w:val="00611CBE"/>
    <w:rsid w:val="00614817"/>
    <w:rsid w:val="0062018A"/>
    <w:rsid w:val="00620A08"/>
    <w:rsid w:val="00625B55"/>
    <w:rsid w:val="0063066B"/>
    <w:rsid w:val="00631398"/>
    <w:rsid w:val="00634E4C"/>
    <w:rsid w:val="00637657"/>
    <w:rsid w:val="00637FAC"/>
    <w:rsid w:val="00641A72"/>
    <w:rsid w:val="00641B66"/>
    <w:rsid w:val="00643A17"/>
    <w:rsid w:val="00643A6D"/>
    <w:rsid w:val="006444C7"/>
    <w:rsid w:val="00644B61"/>
    <w:rsid w:val="00644D3D"/>
    <w:rsid w:val="00646074"/>
    <w:rsid w:val="00650A6B"/>
    <w:rsid w:val="00652D85"/>
    <w:rsid w:val="00654B5B"/>
    <w:rsid w:val="00656047"/>
    <w:rsid w:val="00660F11"/>
    <w:rsid w:val="00661CB5"/>
    <w:rsid w:val="00664779"/>
    <w:rsid w:val="00666524"/>
    <w:rsid w:val="00667AA4"/>
    <w:rsid w:val="00667CA4"/>
    <w:rsid w:val="00671EB8"/>
    <w:rsid w:val="006720FD"/>
    <w:rsid w:val="0067306C"/>
    <w:rsid w:val="006739CA"/>
    <w:rsid w:val="00674110"/>
    <w:rsid w:val="00675E48"/>
    <w:rsid w:val="00676F66"/>
    <w:rsid w:val="00677ECC"/>
    <w:rsid w:val="00683A52"/>
    <w:rsid w:val="00684215"/>
    <w:rsid w:val="0068589F"/>
    <w:rsid w:val="00694B59"/>
    <w:rsid w:val="006975A9"/>
    <w:rsid w:val="006A2665"/>
    <w:rsid w:val="006A3394"/>
    <w:rsid w:val="006A42DF"/>
    <w:rsid w:val="006A508D"/>
    <w:rsid w:val="006A56DB"/>
    <w:rsid w:val="006A57F0"/>
    <w:rsid w:val="006A6461"/>
    <w:rsid w:val="006B0E95"/>
    <w:rsid w:val="006B2ED0"/>
    <w:rsid w:val="006B37A3"/>
    <w:rsid w:val="006B5797"/>
    <w:rsid w:val="006B6322"/>
    <w:rsid w:val="006B7068"/>
    <w:rsid w:val="006B70DB"/>
    <w:rsid w:val="006C0211"/>
    <w:rsid w:val="006C0905"/>
    <w:rsid w:val="006C1922"/>
    <w:rsid w:val="006C38CE"/>
    <w:rsid w:val="006C4620"/>
    <w:rsid w:val="006C4B70"/>
    <w:rsid w:val="006C4E45"/>
    <w:rsid w:val="006C743F"/>
    <w:rsid w:val="006C7870"/>
    <w:rsid w:val="006C7B1B"/>
    <w:rsid w:val="006C7D7A"/>
    <w:rsid w:val="006D3705"/>
    <w:rsid w:val="006D3798"/>
    <w:rsid w:val="006D4821"/>
    <w:rsid w:val="006D4968"/>
    <w:rsid w:val="006D54CC"/>
    <w:rsid w:val="006E1ACD"/>
    <w:rsid w:val="006E2D7D"/>
    <w:rsid w:val="006E3F10"/>
    <w:rsid w:val="006E48C5"/>
    <w:rsid w:val="006E4A17"/>
    <w:rsid w:val="006F3212"/>
    <w:rsid w:val="006F3781"/>
    <w:rsid w:val="006F4A89"/>
    <w:rsid w:val="006F532D"/>
    <w:rsid w:val="006F6E5A"/>
    <w:rsid w:val="00704613"/>
    <w:rsid w:val="00704DBE"/>
    <w:rsid w:val="00705CAF"/>
    <w:rsid w:val="007079AD"/>
    <w:rsid w:val="00712180"/>
    <w:rsid w:val="00715F49"/>
    <w:rsid w:val="00716F6F"/>
    <w:rsid w:val="007202AD"/>
    <w:rsid w:val="0072342B"/>
    <w:rsid w:val="007260F1"/>
    <w:rsid w:val="00726174"/>
    <w:rsid w:val="007279AC"/>
    <w:rsid w:val="00731E24"/>
    <w:rsid w:val="00733B15"/>
    <w:rsid w:val="00733B94"/>
    <w:rsid w:val="00734E19"/>
    <w:rsid w:val="007370F5"/>
    <w:rsid w:val="00740587"/>
    <w:rsid w:val="00742145"/>
    <w:rsid w:val="0074335C"/>
    <w:rsid w:val="007457A8"/>
    <w:rsid w:val="00745E31"/>
    <w:rsid w:val="00745ED5"/>
    <w:rsid w:val="007468E6"/>
    <w:rsid w:val="00747EC6"/>
    <w:rsid w:val="00750181"/>
    <w:rsid w:val="00752B40"/>
    <w:rsid w:val="00752FE4"/>
    <w:rsid w:val="00753682"/>
    <w:rsid w:val="0075776C"/>
    <w:rsid w:val="007610A0"/>
    <w:rsid w:val="00761F2E"/>
    <w:rsid w:val="0076215A"/>
    <w:rsid w:val="007639D0"/>
    <w:rsid w:val="00763E5F"/>
    <w:rsid w:val="0076495F"/>
    <w:rsid w:val="0076591C"/>
    <w:rsid w:val="00765F34"/>
    <w:rsid w:val="007667E3"/>
    <w:rsid w:val="0076699F"/>
    <w:rsid w:val="0077025E"/>
    <w:rsid w:val="0077044D"/>
    <w:rsid w:val="00772840"/>
    <w:rsid w:val="00774EB0"/>
    <w:rsid w:val="00776D00"/>
    <w:rsid w:val="00780355"/>
    <w:rsid w:val="0078106A"/>
    <w:rsid w:val="00782398"/>
    <w:rsid w:val="007823DA"/>
    <w:rsid w:val="00783869"/>
    <w:rsid w:val="00785078"/>
    <w:rsid w:val="00787DF4"/>
    <w:rsid w:val="00791B3F"/>
    <w:rsid w:val="00791DCE"/>
    <w:rsid w:val="00792FD9"/>
    <w:rsid w:val="0079648A"/>
    <w:rsid w:val="0079717E"/>
    <w:rsid w:val="007A11DC"/>
    <w:rsid w:val="007A1230"/>
    <w:rsid w:val="007A161A"/>
    <w:rsid w:val="007A3482"/>
    <w:rsid w:val="007A4AD2"/>
    <w:rsid w:val="007A6144"/>
    <w:rsid w:val="007A6782"/>
    <w:rsid w:val="007A6FAE"/>
    <w:rsid w:val="007A724F"/>
    <w:rsid w:val="007A7667"/>
    <w:rsid w:val="007B0832"/>
    <w:rsid w:val="007B386A"/>
    <w:rsid w:val="007B475D"/>
    <w:rsid w:val="007B5426"/>
    <w:rsid w:val="007B5734"/>
    <w:rsid w:val="007B5FEB"/>
    <w:rsid w:val="007C01E6"/>
    <w:rsid w:val="007C026D"/>
    <w:rsid w:val="007C0328"/>
    <w:rsid w:val="007C0837"/>
    <w:rsid w:val="007C147C"/>
    <w:rsid w:val="007C424E"/>
    <w:rsid w:val="007C7180"/>
    <w:rsid w:val="007D051C"/>
    <w:rsid w:val="007D11BB"/>
    <w:rsid w:val="007E4FAE"/>
    <w:rsid w:val="007E5065"/>
    <w:rsid w:val="007E6024"/>
    <w:rsid w:val="007E6E06"/>
    <w:rsid w:val="007F36C6"/>
    <w:rsid w:val="007F3BCB"/>
    <w:rsid w:val="007F74D7"/>
    <w:rsid w:val="008008E4"/>
    <w:rsid w:val="0080168B"/>
    <w:rsid w:val="008033DB"/>
    <w:rsid w:val="00807177"/>
    <w:rsid w:val="0081033C"/>
    <w:rsid w:val="008124C5"/>
    <w:rsid w:val="008136E3"/>
    <w:rsid w:val="00815322"/>
    <w:rsid w:val="00821130"/>
    <w:rsid w:val="0082752D"/>
    <w:rsid w:val="0082789D"/>
    <w:rsid w:val="00830DE2"/>
    <w:rsid w:val="0083159E"/>
    <w:rsid w:val="008315D8"/>
    <w:rsid w:val="00832152"/>
    <w:rsid w:val="00834243"/>
    <w:rsid w:val="00836780"/>
    <w:rsid w:val="008378EC"/>
    <w:rsid w:val="00840209"/>
    <w:rsid w:val="00840B26"/>
    <w:rsid w:val="00840CDE"/>
    <w:rsid w:val="008418EF"/>
    <w:rsid w:val="00841A33"/>
    <w:rsid w:val="00843FBE"/>
    <w:rsid w:val="008448F7"/>
    <w:rsid w:val="008466D9"/>
    <w:rsid w:val="00846836"/>
    <w:rsid w:val="00847761"/>
    <w:rsid w:val="00847F38"/>
    <w:rsid w:val="008523F9"/>
    <w:rsid w:val="00852A1B"/>
    <w:rsid w:val="00860EDE"/>
    <w:rsid w:val="00861068"/>
    <w:rsid w:val="00862FCF"/>
    <w:rsid w:val="00865F90"/>
    <w:rsid w:val="00866CA1"/>
    <w:rsid w:val="008676EC"/>
    <w:rsid w:val="00867C8A"/>
    <w:rsid w:val="008721C7"/>
    <w:rsid w:val="00872393"/>
    <w:rsid w:val="00873717"/>
    <w:rsid w:val="00873B63"/>
    <w:rsid w:val="00874532"/>
    <w:rsid w:val="00875428"/>
    <w:rsid w:val="008760A6"/>
    <w:rsid w:val="00876785"/>
    <w:rsid w:val="008779DF"/>
    <w:rsid w:val="00877F5C"/>
    <w:rsid w:val="008810B4"/>
    <w:rsid w:val="008811E7"/>
    <w:rsid w:val="00881C27"/>
    <w:rsid w:val="00882BB2"/>
    <w:rsid w:val="00883831"/>
    <w:rsid w:val="00885336"/>
    <w:rsid w:val="00885B94"/>
    <w:rsid w:val="008863E7"/>
    <w:rsid w:val="00893F39"/>
    <w:rsid w:val="00895271"/>
    <w:rsid w:val="008957D3"/>
    <w:rsid w:val="00895DF1"/>
    <w:rsid w:val="008962F3"/>
    <w:rsid w:val="00896E75"/>
    <w:rsid w:val="008970B6"/>
    <w:rsid w:val="008970DA"/>
    <w:rsid w:val="00897BE4"/>
    <w:rsid w:val="008A066B"/>
    <w:rsid w:val="008A0701"/>
    <w:rsid w:val="008A149E"/>
    <w:rsid w:val="008A2709"/>
    <w:rsid w:val="008A49A8"/>
    <w:rsid w:val="008A4BE3"/>
    <w:rsid w:val="008A4E8E"/>
    <w:rsid w:val="008A5CD0"/>
    <w:rsid w:val="008A69D2"/>
    <w:rsid w:val="008B0491"/>
    <w:rsid w:val="008B07A1"/>
    <w:rsid w:val="008B2DA3"/>
    <w:rsid w:val="008B34FE"/>
    <w:rsid w:val="008B3573"/>
    <w:rsid w:val="008B47B1"/>
    <w:rsid w:val="008B70EF"/>
    <w:rsid w:val="008C0012"/>
    <w:rsid w:val="008C0A45"/>
    <w:rsid w:val="008C0DC0"/>
    <w:rsid w:val="008C1B87"/>
    <w:rsid w:val="008C1F50"/>
    <w:rsid w:val="008C2C90"/>
    <w:rsid w:val="008C58B7"/>
    <w:rsid w:val="008D4FBA"/>
    <w:rsid w:val="008D52C6"/>
    <w:rsid w:val="008D56A8"/>
    <w:rsid w:val="008D7598"/>
    <w:rsid w:val="008D78D5"/>
    <w:rsid w:val="008E10C8"/>
    <w:rsid w:val="008E1DDB"/>
    <w:rsid w:val="008E288E"/>
    <w:rsid w:val="008F0004"/>
    <w:rsid w:val="008F25FC"/>
    <w:rsid w:val="008F2F4F"/>
    <w:rsid w:val="008F3F62"/>
    <w:rsid w:val="008F497D"/>
    <w:rsid w:val="008F706D"/>
    <w:rsid w:val="008F7241"/>
    <w:rsid w:val="008F7807"/>
    <w:rsid w:val="00900D3A"/>
    <w:rsid w:val="009011C8"/>
    <w:rsid w:val="009024A3"/>
    <w:rsid w:val="00903508"/>
    <w:rsid w:val="009046A9"/>
    <w:rsid w:val="009050E6"/>
    <w:rsid w:val="00905914"/>
    <w:rsid w:val="00906037"/>
    <w:rsid w:val="009066B3"/>
    <w:rsid w:val="0091130A"/>
    <w:rsid w:val="00915EB9"/>
    <w:rsid w:val="0091657A"/>
    <w:rsid w:val="00916A6A"/>
    <w:rsid w:val="00917CEE"/>
    <w:rsid w:val="00921258"/>
    <w:rsid w:val="00923797"/>
    <w:rsid w:val="00924633"/>
    <w:rsid w:val="00925C2F"/>
    <w:rsid w:val="00926A26"/>
    <w:rsid w:val="00930AFF"/>
    <w:rsid w:val="00930F9A"/>
    <w:rsid w:val="00931956"/>
    <w:rsid w:val="00933882"/>
    <w:rsid w:val="0093491E"/>
    <w:rsid w:val="00935726"/>
    <w:rsid w:val="00936AC1"/>
    <w:rsid w:val="00936E0B"/>
    <w:rsid w:val="0094339A"/>
    <w:rsid w:val="00943FDC"/>
    <w:rsid w:val="0094400C"/>
    <w:rsid w:val="00944751"/>
    <w:rsid w:val="00945E06"/>
    <w:rsid w:val="009511CF"/>
    <w:rsid w:val="00951264"/>
    <w:rsid w:val="00951B28"/>
    <w:rsid w:val="00954579"/>
    <w:rsid w:val="009557F8"/>
    <w:rsid w:val="00955CEA"/>
    <w:rsid w:val="00955D5B"/>
    <w:rsid w:val="00956E03"/>
    <w:rsid w:val="00957679"/>
    <w:rsid w:val="009604DA"/>
    <w:rsid w:val="009622F0"/>
    <w:rsid w:val="0096657A"/>
    <w:rsid w:val="00967874"/>
    <w:rsid w:val="00970CC4"/>
    <w:rsid w:val="00972948"/>
    <w:rsid w:val="00972E79"/>
    <w:rsid w:val="0097770C"/>
    <w:rsid w:val="009806A8"/>
    <w:rsid w:val="00983FCA"/>
    <w:rsid w:val="0098500B"/>
    <w:rsid w:val="00990AF7"/>
    <w:rsid w:val="00991CB5"/>
    <w:rsid w:val="00993AD9"/>
    <w:rsid w:val="0099630E"/>
    <w:rsid w:val="009A25AF"/>
    <w:rsid w:val="009A63C5"/>
    <w:rsid w:val="009A7DB2"/>
    <w:rsid w:val="009B0105"/>
    <w:rsid w:val="009B12ED"/>
    <w:rsid w:val="009B18EA"/>
    <w:rsid w:val="009B41A8"/>
    <w:rsid w:val="009B5347"/>
    <w:rsid w:val="009B5DF5"/>
    <w:rsid w:val="009C296A"/>
    <w:rsid w:val="009C4A43"/>
    <w:rsid w:val="009C4FA7"/>
    <w:rsid w:val="009C7639"/>
    <w:rsid w:val="009D043A"/>
    <w:rsid w:val="009D1416"/>
    <w:rsid w:val="009D14CD"/>
    <w:rsid w:val="009D373D"/>
    <w:rsid w:val="009D45B4"/>
    <w:rsid w:val="009D4A56"/>
    <w:rsid w:val="009E155A"/>
    <w:rsid w:val="009E4207"/>
    <w:rsid w:val="009E7C27"/>
    <w:rsid w:val="009F0A24"/>
    <w:rsid w:val="009F48DB"/>
    <w:rsid w:val="00A00E44"/>
    <w:rsid w:val="00A01204"/>
    <w:rsid w:val="00A023AD"/>
    <w:rsid w:val="00A03785"/>
    <w:rsid w:val="00A049CA"/>
    <w:rsid w:val="00A04B10"/>
    <w:rsid w:val="00A05E14"/>
    <w:rsid w:val="00A113B2"/>
    <w:rsid w:val="00A11448"/>
    <w:rsid w:val="00A12B50"/>
    <w:rsid w:val="00A14F93"/>
    <w:rsid w:val="00A15AAC"/>
    <w:rsid w:val="00A17425"/>
    <w:rsid w:val="00A17665"/>
    <w:rsid w:val="00A2033A"/>
    <w:rsid w:val="00A20D97"/>
    <w:rsid w:val="00A20FE6"/>
    <w:rsid w:val="00A21C1A"/>
    <w:rsid w:val="00A236F3"/>
    <w:rsid w:val="00A25FC7"/>
    <w:rsid w:val="00A26230"/>
    <w:rsid w:val="00A26CE2"/>
    <w:rsid w:val="00A27A0E"/>
    <w:rsid w:val="00A3061A"/>
    <w:rsid w:val="00A318AF"/>
    <w:rsid w:val="00A323E7"/>
    <w:rsid w:val="00A3352C"/>
    <w:rsid w:val="00A33E36"/>
    <w:rsid w:val="00A34FF4"/>
    <w:rsid w:val="00A36332"/>
    <w:rsid w:val="00A36957"/>
    <w:rsid w:val="00A37642"/>
    <w:rsid w:val="00A379AA"/>
    <w:rsid w:val="00A41112"/>
    <w:rsid w:val="00A411C2"/>
    <w:rsid w:val="00A425F3"/>
    <w:rsid w:val="00A43F8C"/>
    <w:rsid w:val="00A54855"/>
    <w:rsid w:val="00A562C9"/>
    <w:rsid w:val="00A5694B"/>
    <w:rsid w:val="00A5782C"/>
    <w:rsid w:val="00A60551"/>
    <w:rsid w:val="00A60CD5"/>
    <w:rsid w:val="00A61256"/>
    <w:rsid w:val="00A626DD"/>
    <w:rsid w:val="00A63C6E"/>
    <w:rsid w:val="00A63CE0"/>
    <w:rsid w:val="00A6563D"/>
    <w:rsid w:val="00A6571D"/>
    <w:rsid w:val="00A665F6"/>
    <w:rsid w:val="00A67431"/>
    <w:rsid w:val="00A67619"/>
    <w:rsid w:val="00A71287"/>
    <w:rsid w:val="00A71D4A"/>
    <w:rsid w:val="00A725AF"/>
    <w:rsid w:val="00A732B9"/>
    <w:rsid w:val="00A73942"/>
    <w:rsid w:val="00A7412A"/>
    <w:rsid w:val="00A75039"/>
    <w:rsid w:val="00A750F8"/>
    <w:rsid w:val="00A75BD5"/>
    <w:rsid w:val="00A75DC1"/>
    <w:rsid w:val="00A76EBD"/>
    <w:rsid w:val="00A77496"/>
    <w:rsid w:val="00A80173"/>
    <w:rsid w:val="00A80A04"/>
    <w:rsid w:val="00A80B68"/>
    <w:rsid w:val="00A8405F"/>
    <w:rsid w:val="00A85545"/>
    <w:rsid w:val="00A856A7"/>
    <w:rsid w:val="00A87222"/>
    <w:rsid w:val="00A87B83"/>
    <w:rsid w:val="00A95BBB"/>
    <w:rsid w:val="00A960E1"/>
    <w:rsid w:val="00A9638E"/>
    <w:rsid w:val="00A96EDC"/>
    <w:rsid w:val="00A97661"/>
    <w:rsid w:val="00A97917"/>
    <w:rsid w:val="00AA0E83"/>
    <w:rsid w:val="00AA2003"/>
    <w:rsid w:val="00AA3B41"/>
    <w:rsid w:val="00AA4E8F"/>
    <w:rsid w:val="00AB012D"/>
    <w:rsid w:val="00AB1509"/>
    <w:rsid w:val="00AB1E06"/>
    <w:rsid w:val="00AB28E6"/>
    <w:rsid w:val="00AB3E23"/>
    <w:rsid w:val="00AB3EFE"/>
    <w:rsid w:val="00AB43F9"/>
    <w:rsid w:val="00AB7219"/>
    <w:rsid w:val="00AB746B"/>
    <w:rsid w:val="00AB79DF"/>
    <w:rsid w:val="00AB7F07"/>
    <w:rsid w:val="00AC0046"/>
    <w:rsid w:val="00AC17BD"/>
    <w:rsid w:val="00AC454B"/>
    <w:rsid w:val="00AC5A3B"/>
    <w:rsid w:val="00AC6F27"/>
    <w:rsid w:val="00AD4C2C"/>
    <w:rsid w:val="00AD5E7C"/>
    <w:rsid w:val="00AE0848"/>
    <w:rsid w:val="00AE087A"/>
    <w:rsid w:val="00AE14D0"/>
    <w:rsid w:val="00AE3BE3"/>
    <w:rsid w:val="00AE4233"/>
    <w:rsid w:val="00AE5306"/>
    <w:rsid w:val="00AE5F05"/>
    <w:rsid w:val="00AE7477"/>
    <w:rsid w:val="00AE7C67"/>
    <w:rsid w:val="00AF2454"/>
    <w:rsid w:val="00AF72D9"/>
    <w:rsid w:val="00B00528"/>
    <w:rsid w:val="00B01221"/>
    <w:rsid w:val="00B01FDE"/>
    <w:rsid w:val="00B02977"/>
    <w:rsid w:val="00B04988"/>
    <w:rsid w:val="00B06732"/>
    <w:rsid w:val="00B06917"/>
    <w:rsid w:val="00B0734E"/>
    <w:rsid w:val="00B10A80"/>
    <w:rsid w:val="00B11820"/>
    <w:rsid w:val="00B118CE"/>
    <w:rsid w:val="00B1338A"/>
    <w:rsid w:val="00B13D42"/>
    <w:rsid w:val="00B15177"/>
    <w:rsid w:val="00B15A63"/>
    <w:rsid w:val="00B164D8"/>
    <w:rsid w:val="00B16566"/>
    <w:rsid w:val="00B1667C"/>
    <w:rsid w:val="00B17FB6"/>
    <w:rsid w:val="00B2190E"/>
    <w:rsid w:val="00B21ECA"/>
    <w:rsid w:val="00B21F43"/>
    <w:rsid w:val="00B24CB3"/>
    <w:rsid w:val="00B279B2"/>
    <w:rsid w:val="00B31D39"/>
    <w:rsid w:val="00B33422"/>
    <w:rsid w:val="00B34E5E"/>
    <w:rsid w:val="00B355CD"/>
    <w:rsid w:val="00B358CF"/>
    <w:rsid w:val="00B35B38"/>
    <w:rsid w:val="00B36129"/>
    <w:rsid w:val="00B36C12"/>
    <w:rsid w:val="00B413F5"/>
    <w:rsid w:val="00B42314"/>
    <w:rsid w:val="00B42582"/>
    <w:rsid w:val="00B43BD5"/>
    <w:rsid w:val="00B446A8"/>
    <w:rsid w:val="00B47463"/>
    <w:rsid w:val="00B521C3"/>
    <w:rsid w:val="00B5396F"/>
    <w:rsid w:val="00B54088"/>
    <w:rsid w:val="00B55383"/>
    <w:rsid w:val="00B615A3"/>
    <w:rsid w:val="00B63B24"/>
    <w:rsid w:val="00B64294"/>
    <w:rsid w:val="00B64535"/>
    <w:rsid w:val="00B654A4"/>
    <w:rsid w:val="00B65501"/>
    <w:rsid w:val="00B656EB"/>
    <w:rsid w:val="00B66A5F"/>
    <w:rsid w:val="00B72124"/>
    <w:rsid w:val="00B737D8"/>
    <w:rsid w:val="00B7385B"/>
    <w:rsid w:val="00B7450B"/>
    <w:rsid w:val="00B75ADC"/>
    <w:rsid w:val="00B764F9"/>
    <w:rsid w:val="00B774C8"/>
    <w:rsid w:val="00B822D5"/>
    <w:rsid w:val="00B83D20"/>
    <w:rsid w:val="00B85DE1"/>
    <w:rsid w:val="00B865B5"/>
    <w:rsid w:val="00B868F5"/>
    <w:rsid w:val="00B92293"/>
    <w:rsid w:val="00B938B5"/>
    <w:rsid w:val="00B93B6F"/>
    <w:rsid w:val="00B94ACF"/>
    <w:rsid w:val="00B95E69"/>
    <w:rsid w:val="00B97601"/>
    <w:rsid w:val="00B977D0"/>
    <w:rsid w:val="00B97AA6"/>
    <w:rsid w:val="00BA125A"/>
    <w:rsid w:val="00BA2AE0"/>
    <w:rsid w:val="00BA40F9"/>
    <w:rsid w:val="00BA43D0"/>
    <w:rsid w:val="00BA52FC"/>
    <w:rsid w:val="00BA6F2D"/>
    <w:rsid w:val="00BA74C7"/>
    <w:rsid w:val="00BB0024"/>
    <w:rsid w:val="00BB0D9F"/>
    <w:rsid w:val="00BB16C1"/>
    <w:rsid w:val="00BB3A44"/>
    <w:rsid w:val="00BB75CE"/>
    <w:rsid w:val="00BB770F"/>
    <w:rsid w:val="00BC32CC"/>
    <w:rsid w:val="00BC52DD"/>
    <w:rsid w:val="00BC64FA"/>
    <w:rsid w:val="00BD0693"/>
    <w:rsid w:val="00BD0BED"/>
    <w:rsid w:val="00BD3050"/>
    <w:rsid w:val="00BD3C05"/>
    <w:rsid w:val="00BE07D0"/>
    <w:rsid w:val="00BE0BDE"/>
    <w:rsid w:val="00BE32D6"/>
    <w:rsid w:val="00BE3A42"/>
    <w:rsid w:val="00BE58B2"/>
    <w:rsid w:val="00BE5D52"/>
    <w:rsid w:val="00BE5EE9"/>
    <w:rsid w:val="00BE7796"/>
    <w:rsid w:val="00BF0616"/>
    <w:rsid w:val="00BF1754"/>
    <w:rsid w:val="00BF1BB9"/>
    <w:rsid w:val="00BF23F0"/>
    <w:rsid w:val="00BF4210"/>
    <w:rsid w:val="00C00FD4"/>
    <w:rsid w:val="00C035DB"/>
    <w:rsid w:val="00C044F0"/>
    <w:rsid w:val="00C04A3E"/>
    <w:rsid w:val="00C0611F"/>
    <w:rsid w:val="00C07164"/>
    <w:rsid w:val="00C071EA"/>
    <w:rsid w:val="00C14062"/>
    <w:rsid w:val="00C14225"/>
    <w:rsid w:val="00C14C97"/>
    <w:rsid w:val="00C1591C"/>
    <w:rsid w:val="00C175CF"/>
    <w:rsid w:val="00C17955"/>
    <w:rsid w:val="00C20B3B"/>
    <w:rsid w:val="00C22ED7"/>
    <w:rsid w:val="00C25E26"/>
    <w:rsid w:val="00C263D9"/>
    <w:rsid w:val="00C269B8"/>
    <w:rsid w:val="00C33C98"/>
    <w:rsid w:val="00C33F0B"/>
    <w:rsid w:val="00C360DA"/>
    <w:rsid w:val="00C3799C"/>
    <w:rsid w:val="00C42197"/>
    <w:rsid w:val="00C44E1E"/>
    <w:rsid w:val="00C45D2E"/>
    <w:rsid w:val="00C46183"/>
    <w:rsid w:val="00C463DD"/>
    <w:rsid w:val="00C4697A"/>
    <w:rsid w:val="00C471A3"/>
    <w:rsid w:val="00C4771D"/>
    <w:rsid w:val="00C47A65"/>
    <w:rsid w:val="00C53475"/>
    <w:rsid w:val="00C54797"/>
    <w:rsid w:val="00C55B14"/>
    <w:rsid w:val="00C56494"/>
    <w:rsid w:val="00C56BE2"/>
    <w:rsid w:val="00C5733F"/>
    <w:rsid w:val="00C61006"/>
    <w:rsid w:val="00C610F3"/>
    <w:rsid w:val="00C61D26"/>
    <w:rsid w:val="00C62176"/>
    <w:rsid w:val="00C6337F"/>
    <w:rsid w:val="00C6429C"/>
    <w:rsid w:val="00C65A6F"/>
    <w:rsid w:val="00C65C41"/>
    <w:rsid w:val="00C6675A"/>
    <w:rsid w:val="00C7039C"/>
    <w:rsid w:val="00C704AB"/>
    <w:rsid w:val="00C73476"/>
    <w:rsid w:val="00C739F9"/>
    <w:rsid w:val="00C7469E"/>
    <w:rsid w:val="00C74BA4"/>
    <w:rsid w:val="00C7529D"/>
    <w:rsid w:val="00C76143"/>
    <w:rsid w:val="00C76A50"/>
    <w:rsid w:val="00C777D0"/>
    <w:rsid w:val="00C81868"/>
    <w:rsid w:val="00C83EC1"/>
    <w:rsid w:val="00C852FD"/>
    <w:rsid w:val="00C85C2D"/>
    <w:rsid w:val="00C86106"/>
    <w:rsid w:val="00C87495"/>
    <w:rsid w:val="00C90E39"/>
    <w:rsid w:val="00C91E86"/>
    <w:rsid w:val="00C9486D"/>
    <w:rsid w:val="00CA1B15"/>
    <w:rsid w:val="00CA23CC"/>
    <w:rsid w:val="00CA5BC1"/>
    <w:rsid w:val="00CA61DE"/>
    <w:rsid w:val="00CA6F39"/>
    <w:rsid w:val="00CB0028"/>
    <w:rsid w:val="00CB0966"/>
    <w:rsid w:val="00CB24A8"/>
    <w:rsid w:val="00CB3407"/>
    <w:rsid w:val="00CB341A"/>
    <w:rsid w:val="00CB3BE4"/>
    <w:rsid w:val="00CB64A0"/>
    <w:rsid w:val="00CC25E6"/>
    <w:rsid w:val="00CC2747"/>
    <w:rsid w:val="00CC3BCD"/>
    <w:rsid w:val="00CC3EAA"/>
    <w:rsid w:val="00CC57AB"/>
    <w:rsid w:val="00CC67ED"/>
    <w:rsid w:val="00CD0A50"/>
    <w:rsid w:val="00CD1A5C"/>
    <w:rsid w:val="00CD1DBB"/>
    <w:rsid w:val="00CD2E15"/>
    <w:rsid w:val="00CD2FD9"/>
    <w:rsid w:val="00CD65A2"/>
    <w:rsid w:val="00CE12FC"/>
    <w:rsid w:val="00CF2919"/>
    <w:rsid w:val="00D001A0"/>
    <w:rsid w:val="00D01898"/>
    <w:rsid w:val="00D02164"/>
    <w:rsid w:val="00D021E6"/>
    <w:rsid w:val="00D02B2B"/>
    <w:rsid w:val="00D0530D"/>
    <w:rsid w:val="00D068F6"/>
    <w:rsid w:val="00D12297"/>
    <w:rsid w:val="00D13502"/>
    <w:rsid w:val="00D13CA7"/>
    <w:rsid w:val="00D152C8"/>
    <w:rsid w:val="00D152E5"/>
    <w:rsid w:val="00D15995"/>
    <w:rsid w:val="00D15C8F"/>
    <w:rsid w:val="00D17373"/>
    <w:rsid w:val="00D17778"/>
    <w:rsid w:val="00D21781"/>
    <w:rsid w:val="00D22690"/>
    <w:rsid w:val="00D22928"/>
    <w:rsid w:val="00D232B1"/>
    <w:rsid w:val="00D243E1"/>
    <w:rsid w:val="00D2526B"/>
    <w:rsid w:val="00D25BC2"/>
    <w:rsid w:val="00D307F2"/>
    <w:rsid w:val="00D30E43"/>
    <w:rsid w:val="00D3131D"/>
    <w:rsid w:val="00D32066"/>
    <w:rsid w:val="00D341CF"/>
    <w:rsid w:val="00D34AA1"/>
    <w:rsid w:val="00D35063"/>
    <w:rsid w:val="00D37544"/>
    <w:rsid w:val="00D37C4A"/>
    <w:rsid w:val="00D407FE"/>
    <w:rsid w:val="00D4158C"/>
    <w:rsid w:val="00D41E31"/>
    <w:rsid w:val="00D42AAC"/>
    <w:rsid w:val="00D42B26"/>
    <w:rsid w:val="00D44EFA"/>
    <w:rsid w:val="00D45886"/>
    <w:rsid w:val="00D46B04"/>
    <w:rsid w:val="00D46F0B"/>
    <w:rsid w:val="00D47A8B"/>
    <w:rsid w:val="00D47C73"/>
    <w:rsid w:val="00D51B32"/>
    <w:rsid w:val="00D5270A"/>
    <w:rsid w:val="00D52D6A"/>
    <w:rsid w:val="00D550A7"/>
    <w:rsid w:val="00D60DE7"/>
    <w:rsid w:val="00D60E82"/>
    <w:rsid w:val="00D61D2B"/>
    <w:rsid w:val="00D64A15"/>
    <w:rsid w:val="00D6553B"/>
    <w:rsid w:val="00D665B1"/>
    <w:rsid w:val="00D673BC"/>
    <w:rsid w:val="00D67998"/>
    <w:rsid w:val="00D7122D"/>
    <w:rsid w:val="00D717B5"/>
    <w:rsid w:val="00D71C25"/>
    <w:rsid w:val="00D73277"/>
    <w:rsid w:val="00D73401"/>
    <w:rsid w:val="00D739C5"/>
    <w:rsid w:val="00D74461"/>
    <w:rsid w:val="00D74F55"/>
    <w:rsid w:val="00D75AFC"/>
    <w:rsid w:val="00D76102"/>
    <w:rsid w:val="00D76EBD"/>
    <w:rsid w:val="00D76F9F"/>
    <w:rsid w:val="00D812D1"/>
    <w:rsid w:val="00D81E30"/>
    <w:rsid w:val="00D81E88"/>
    <w:rsid w:val="00D82644"/>
    <w:rsid w:val="00D83023"/>
    <w:rsid w:val="00D8332A"/>
    <w:rsid w:val="00D85890"/>
    <w:rsid w:val="00D86C74"/>
    <w:rsid w:val="00D86EFF"/>
    <w:rsid w:val="00D9013C"/>
    <w:rsid w:val="00D91BBC"/>
    <w:rsid w:val="00D92394"/>
    <w:rsid w:val="00D93996"/>
    <w:rsid w:val="00D94461"/>
    <w:rsid w:val="00D94DD0"/>
    <w:rsid w:val="00DA0224"/>
    <w:rsid w:val="00DA05A0"/>
    <w:rsid w:val="00DA4246"/>
    <w:rsid w:val="00DA5C99"/>
    <w:rsid w:val="00DA61E1"/>
    <w:rsid w:val="00DA6A85"/>
    <w:rsid w:val="00DA6E2F"/>
    <w:rsid w:val="00DA7A9A"/>
    <w:rsid w:val="00DB0117"/>
    <w:rsid w:val="00DB0712"/>
    <w:rsid w:val="00DB0F02"/>
    <w:rsid w:val="00DB5F4C"/>
    <w:rsid w:val="00DC04C7"/>
    <w:rsid w:val="00DC0861"/>
    <w:rsid w:val="00DC1A89"/>
    <w:rsid w:val="00DC1AE4"/>
    <w:rsid w:val="00DC2BF1"/>
    <w:rsid w:val="00DC3E88"/>
    <w:rsid w:val="00DC4C8E"/>
    <w:rsid w:val="00DC4FB8"/>
    <w:rsid w:val="00DC7766"/>
    <w:rsid w:val="00DD0645"/>
    <w:rsid w:val="00DD198A"/>
    <w:rsid w:val="00DD2B3F"/>
    <w:rsid w:val="00DD6DD0"/>
    <w:rsid w:val="00DE4340"/>
    <w:rsid w:val="00DE535C"/>
    <w:rsid w:val="00DF0FE9"/>
    <w:rsid w:val="00DF1C42"/>
    <w:rsid w:val="00DF3427"/>
    <w:rsid w:val="00DF4461"/>
    <w:rsid w:val="00DF7CDD"/>
    <w:rsid w:val="00E01776"/>
    <w:rsid w:val="00E02174"/>
    <w:rsid w:val="00E021A7"/>
    <w:rsid w:val="00E034C9"/>
    <w:rsid w:val="00E04859"/>
    <w:rsid w:val="00E05AF0"/>
    <w:rsid w:val="00E05FE4"/>
    <w:rsid w:val="00E067D2"/>
    <w:rsid w:val="00E07C4A"/>
    <w:rsid w:val="00E10AC5"/>
    <w:rsid w:val="00E147E8"/>
    <w:rsid w:val="00E15331"/>
    <w:rsid w:val="00E16044"/>
    <w:rsid w:val="00E16958"/>
    <w:rsid w:val="00E20997"/>
    <w:rsid w:val="00E259E3"/>
    <w:rsid w:val="00E27172"/>
    <w:rsid w:val="00E3209E"/>
    <w:rsid w:val="00E33208"/>
    <w:rsid w:val="00E3575D"/>
    <w:rsid w:val="00E35B8F"/>
    <w:rsid w:val="00E36787"/>
    <w:rsid w:val="00E419AE"/>
    <w:rsid w:val="00E41F90"/>
    <w:rsid w:val="00E425FB"/>
    <w:rsid w:val="00E45827"/>
    <w:rsid w:val="00E47578"/>
    <w:rsid w:val="00E505AD"/>
    <w:rsid w:val="00E5302C"/>
    <w:rsid w:val="00E539AD"/>
    <w:rsid w:val="00E53B81"/>
    <w:rsid w:val="00E56D4C"/>
    <w:rsid w:val="00E615AA"/>
    <w:rsid w:val="00E62BB8"/>
    <w:rsid w:val="00E63061"/>
    <w:rsid w:val="00E64CC1"/>
    <w:rsid w:val="00E70518"/>
    <w:rsid w:val="00E7566A"/>
    <w:rsid w:val="00E76322"/>
    <w:rsid w:val="00E77860"/>
    <w:rsid w:val="00E806FB"/>
    <w:rsid w:val="00E836FE"/>
    <w:rsid w:val="00E8472A"/>
    <w:rsid w:val="00E8498C"/>
    <w:rsid w:val="00E85B67"/>
    <w:rsid w:val="00E906D2"/>
    <w:rsid w:val="00E91602"/>
    <w:rsid w:val="00E924F4"/>
    <w:rsid w:val="00E92679"/>
    <w:rsid w:val="00E927DA"/>
    <w:rsid w:val="00E927DD"/>
    <w:rsid w:val="00E928B3"/>
    <w:rsid w:val="00E92B9B"/>
    <w:rsid w:val="00E92E7E"/>
    <w:rsid w:val="00E975A0"/>
    <w:rsid w:val="00E97756"/>
    <w:rsid w:val="00EA06F6"/>
    <w:rsid w:val="00EA082C"/>
    <w:rsid w:val="00EA095D"/>
    <w:rsid w:val="00EA1BE3"/>
    <w:rsid w:val="00EA4475"/>
    <w:rsid w:val="00EA4AF1"/>
    <w:rsid w:val="00EA639B"/>
    <w:rsid w:val="00EA715E"/>
    <w:rsid w:val="00EB079F"/>
    <w:rsid w:val="00EB1980"/>
    <w:rsid w:val="00EB394A"/>
    <w:rsid w:val="00EB692F"/>
    <w:rsid w:val="00EB765D"/>
    <w:rsid w:val="00EB7B6B"/>
    <w:rsid w:val="00EB7E18"/>
    <w:rsid w:val="00EC1664"/>
    <w:rsid w:val="00EC3E58"/>
    <w:rsid w:val="00EC46AB"/>
    <w:rsid w:val="00ED115B"/>
    <w:rsid w:val="00ED1D1C"/>
    <w:rsid w:val="00ED3E43"/>
    <w:rsid w:val="00ED53B2"/>
    <w:rsid w:val="00ED5CAB"/>
    <w:rsid w:val="00ED5DBF"/>
    <w:rsid w:val="00EE39F8"/>
    <w:rsid w:val="00EE6734"/>
    <w:rsid w:val="00EE75D8"/>
    <w:rsid w:val="00EE7F12"/>
    <w:rsid w:val="00EF2305"/>
    <w:rsid w:val="00EF2ABC"/>
    <w:rsid w:val="00EF4648"/>
    <w:rsid w:val="00EF6B41"/>
    <w:rsid w:val="00EF75C3"/>
    <w:rsid w:val="00F00399"/>
    <w:rsid w:val="00F00633"/>
    <w:rsid w:val="00F00E53"/>
    <w:rsid w:val="00F00F33"/>
    <w:rsid w:val="00F02A56"/>
    <w:rsid w:val="00F07F87"/>
    <w:rsid w:val="00F15F3A"/>
    <w:rsid w:val="00F17E7F"/>
    <w:rsid w:val="00F218BD"/>
    <w:rsid w:val="00F22EE5"/>
    <w:rsid w:val="00F232E4"/>
    <w:rsid w:val="00F23C98"/>
    <w:rsid w:val="00F27108"/>
    <w:rsid w:val="00F271B2"/>
    <w:rsid w:val="00F27840"/>
    <w:rsid w:val="00F325E7"/>
    <w:rsid w:val="00F3698E"/>
    <w:rsid w:val="00F41E48"/>
    <w:rsid w:val="00F42EEE"/>
    <w:rsid w:val="00F469B3"/>
    <w:rsid w:val="00F4766B"/>
    <w:rsid w:val="00F50307"/>
    <w:rsid w:val="00F51EC3"/>
    <w:rsid w:val="00F52A86"/>
    <w:rsid w:val="00F53606"/>
    <w:rsid w:val="00F53960"/>
    <w:rsid w:val="00F54143"/>
    <w:rsid w:val="00F5480D"/>
    <w:rsid w:val="00F54BC7"/>
    <w:rsid w:val="00F551CD"/>
    <w:rsid w:val="00F55C2B"/>
    <w:rsid w:val="00F5694C"/>
    <w:rsid w:val="00F56FC7"/>
    <w:rsid w:val="00F621A7"/>
    <w:rsid w:val="00F62245"/>
    <w:rsid w:val="00F633E1"/>
    <w:rsid w:val="00F660A8"/>
    <w:rsid w:val="00F67BF1"/>
    <w:rsid w:val="00F67ED1"/>
    <w:rsid w:val="00F70668"/>
    <w:rsid w:val="00F72CD6"/>
    <w:rsid w:val="00F733E7"/>
    <w:rsid w:val="00F73A3D"/>
    <w:rsid w:val="00F755DB"/>
    <w:rsid w:val="00F76073"/>
    <w:rsid w:val="00F76D7A"/>
    <w:rsid w:val="00F80D25"/>
    <w:rsid w:val="00F82D78"/>
    <w:rsid w:val="00F8483A"/>
    <w:rsid w:val="00F854C8"/>
    <w:rsid w:val="00F8558B"/>
    <w:rsid w:val="00F90DEE"/>
    <w:rsid w:val="00F91B07"/>
    <w:rsid w:val="00F91B8D"/>
    <w:rsid w:val="00F92AE9"/>
    <w:rsid w:val="00F93277"/>
    <w:rsid w:val="00F93B40"/>
    <w:rsid w:val="00F94454"/>
    <w:rsid w:val="00F94DF4"/>
    <w:rsid w:val="00F96081"/>
    <w:rsid w:val="00F9682C"/>
    <w:rsid w:val="00F9789C"/>
    <w:rsid w:val="00F97D55"/>
    <w:rsid w:val="00F97F66"/>
    <w:rsid w:val="00FA18DA"/>
    <w:rsid w:val="00FA2F0E"/>
    <w:rsid w:val="00FA40B1"/>
    <w:rsid w:val="00FA4B41"/>
    <w:rsid w:val="00FA74BE"/>
    <w:rsid w:val="00FB10B9"/>
    <w:rsid w:val="00FB17D5"/>
    <w:rsid w:val="00FB1B67"/>
    <w:rsid w:val="00FB694A"/>
    <w:rsid w:val="00FB70AA"/>
    <w:rsid w:val="00FC05D2"/>
    <w:rsid w:val="00FC1272"/>
    <w:rsid w:val="00FC3B41"/>
    <w:rsid w:val="00FC5BE6"/>
    <w:rsid w:val="00FC619A"/>
    <w:rsid w:val="00FC6232"/>
    <w:rsid w:val="00FC73FA"/>
    <w:rsid w:val="00FD0062"/>
    <w:rsid w:val="00FD0CB9"/>
    <w:rsid w:val="00FD5A80"/>
    <w:rsid w:val="00FE404C"/>
    <w:rsid w:val="00FE454B"/>
    <w:rsid w:val="00FE7F54"/>
    <w:rsid w:val="00FE7FF7"/>
    <w:rsid w:val="00FF0893"/>
    <w:rsid w:val="00FF26C3"/>
    <w:rsid w:val="00FF72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0BE2A0B-B1E1-4F30-959B-CE49E62E8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37BB"/>
    <w:pPr>
      <w:widowControl w:val="0"/>
      <w:jc w:val="both"/>
    </w:pPr>
  </w:style>
  <w:style w:type="paragraph" w:styleId="1">
    <w:name w:val="heading 1"/>
    <w:basedOn w:val="a"/>
    <w:next w:val="a"/>
    <w:link w:val="1Char"/>
    <w:uiPriority w:val="9"/>
    <w:qFormat/>
    <w:rsid w:val="005E452C"/>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5E452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E452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E452C"/>
    <w:rPr>
      <w:sz w:val="18"/>
      <w:szCs w:val="18"/>
    </w:rPr>
  </w:style>
  <w:style w:type="paragraph" w:styleId="a4">
    <w:name w:val="footer"/>
    <w:basedOn w:val="a"/>
    <w:link w:val="Char0"/>
    <w:uiPriority w:val="99"/>
    <w:unhideWhenUsed/>
    <w:rsid w:val="005E452C"/>
    <w:pPr>
      <w:tabs>
        <w:tab w:val="center" w:pos="4153"/>
        <w:tab w:val="right" w:pos="8306"/>
      </w:tabs>
      <w:snapToGrid w:val="0"/>
      <w:jc w:val="left"/>
    </w:pPr>
    <w:rPr>
      <w:sz w:val="18"/>
      <w:szCs w:val="18"/>
    </w:rPr>
  </w:style>
  <w:style w:type="character" w:customStyle="1" w:styleId="Char0">
    <w:name w:val="页脚 Char"/>
    <w:basedOn w:val="a0"/>
    <w:link w:val="a4"/>
    <w:uiPriority w:val="99"/>
    <w:rsid w:val="005E452C"/>
    <w:rPr>
      <w:sz w:val="18"/>
      <w:szCs w:val="18"/>
    </w:rPr>
  </w:style>
  <w:style w:type="character" w:customStyle="1" w:styleId="1Char">
    <w:name w:val="标题 1 Char"/>
    <w:basedOn w:val="a0"/>
    <w:link w:val="1"/>
    <w:uiPriority w:val="9"/>
    <w:rsid w:val="005E452C"/>
    <w:rPr>
      <w:b/>
      <w:bCs/>
      <w:kern w:val="44"/>
      <w:sz w:val="44"/>
      <w:szCs w:val="44"/>
    </w:rPr>
  </w:style>
  <w:style w:type="paragraph" w:styleId="TOC">
    <w:name w:val="TOC Heading"/>
    <w:basedOn w:val="1"/>
    <w:next w:val="a"/>
    <w:uiPriority w:val="39"/>
    <w:unhideWhenUsed/>
    <w:qFormat/>
    <w:rsid w:val="005E452C"/>
    <w:pPr>
      <w:widowControl/>
      <w:spacing w:before="480" w:after="0" w:line="276"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20">
    <w:name w:val="toc 2"/>
    <w:basedOn w:val="a"/>
    <w:next w:val="a"/>
    <w:autoRedefine/>
    <w:uiPriority w:val="39"/>
    <w:unhideWhenUsed/>
    <w:qFormat/>
    <w:rsid w:val="005E452C"/>
    <w:pPr>
      <w:widowControl/>
      <w:spacing w:after="100" w:line="276" w:lineRule="auto"/>
      <w:ind w:left="220"/>
      <w:jc w:val="left"/>
    </w:pPr>
    <w:rPr>
      <w:kern w:val="0"/>
      <w:sz w:val="22"/>
    </w:rPr>
  </w:style>
  <w:style w:type="paragraph" w:styleId="10">
    <w:name w:val="toc 1"/>
    <w:basedOn w:val="a"/>
    <w:next w:val="a"/>
    <w:autoRedefine/>
    <w:uiPriority w:val="39"/>
    <w:unhideWhenUsed/>
    <w:qFormat/>
    <w:rsid w:val="00462950"/>
    <w:pPr>
      <w:widowControl/>
      <w:tabs>
        <w:tab w:val="right" w:leader="dot" w:pos="8296"/>
      </w:tabs>
      <w:spacing w:after="100" w:line="360" w:lineRule="auto"/>
      <w:jc w:val="left"/>
    </w:pPr>
    <w:rPr>
      <w:rFonts w:asciiTheme="minorEastAsia" w:hAnsiTheme="minorEastAsia"/>
      <w:b/>
      <w:noProof/>
      <w:kern w:val="0"/>
      <w:sz w:val="24"/>
      <w:szCs w:val="24"/>
    </w:rPr>
  </w:style>
  <w:style w:type="paragraph" w:styleId="3">
    <w:name w:val="toc 3"/>
    <w:basedOn w:val="a"/>
    <w:next w:val="a"/>
    <w:autoRedefine/>
    <w:uiPriority w:val="39"/>
    <w:unhideWhenUsed/>
    <w:qFormat/>
    <w:rsid w:val="005E452C"/>
    <w:pPr>
      <w:widowControl/>
      <w:spacing w:after="100" w:line="276" w:lineRule="auto"/>
      <w:ind w:left="440"/>
      <w:jc w:val="left"/>
    </w:pPr>
    <w:rPr>
      <w:kern w:val="0"/>
      <w:sz w:val="22"/>
    </w:rPr>
  </w:style>
  <w:style w:type="character" w:customStyle="1" w:styleId="2Char">
    <w:name w:val="标题 2 Char"/>
    <w:basedOn w:val="a0"/>
    <w:link w:val="2"/>
    <w:uiPriority w:val="9"/>
    <w:rsid w:val="005E452C"/>
    <w:rPr>
      <w:rFonts w:asciiTheme="majorHAnsi" w:eastAsiaTheme="majorEastAsia" w:hAnsiTheme="majorHAnsi" w:cstheme="majorBidi"/>
      <w:b/>
      <w:bCs/>
      <w:sz w:val="32"/>
      <w:szCs w:val="32"/>
    </w:rPr>
  </w:style>
  <w:style w:type="paragraph" w:styleId="a5">
    <w:name w:val="Balloon Text"/>
    <w:basedOn w:val="a"/>
    <w:link w:val="Char1"/>
    <w:uiPriority w:val="99"/>
    <w:semiHidden/>
    <w:unhideWhenUsed/>
    <w:rsid w:val="005E452C"/>
    <w:rPr>
      <w:sz w:val="18"/>
      <w:szCs w:val="18"/>
    </w:rPr>
  </w:style>
  <w:style w:type="character" w:customStyle="1" w:styleId="Char1">
    <w:name w:val="批注框文本 Char"/>
    <w:basedOn w:val="a0"/>
    <w:link w:val="a5"/>
    <w:uiPriority w:val="99"/>
    <w:semiHidden/>
    <w:rsid w:val="005E452C"/>
    <w:rPr>
      <w:sz w:val="18"/>
      <w:szCs w:val="18"/>
    </w:rPr>
  </w:style>
  <w:style w:type="character" w:styleId="a6">
    <w:name w:val="Hyperlink"/>
    <w:basedOn w:val="a0"/>
    <w:uiPriority w:val="99"/>
    <w:unhideWhenUsed/>
    <w:rsid w:val="005E452C"/>
    <w:rPr>
      <w:color w:val="0563C1" w:themeColor="hyperlink"/>
      <w:u w:val="single"/>
    </w:rPr>
  </w:style>
  <w:style w:type="paragraph" w:styleId="a7">
    <w:name w:val="footnote text"/>
    <w:basedOn w:val="a"/>
    <w:link w:val="Char2"/>
    <w:uiPriority w:val="99"/>
    <w:semiHidden/>
    <w:unhideWhenUsed/>
    <w:rsid w:val="00462950"/>
    <w:pPr>
      <w:snapToGrid w:val="0"/>
      <w:jc w:val="left"/>
    </w:pPr>
    <w:rPr>
      <w:sz w:val="18"/>
      <w:szCs w:val="18"/>
    </w:rPr>
  </w:style>
  <w:style w:type="character" w:customStyle="1" w:styleId="Char2">
    <w:name w:val="脚注文本 Char"/>
    <w:basedOn w:val="a0"/>
    <w:link w:val="a7"/>
    <w:uiPriority w:val="99"/>
    <w:semiHidden/>
    <w:rsid w:val="00462950"/>
    <w:rPr>
      <w:sz w:val="18"/>
      <w:szCs w:val="18"/>
    </w:rPr>
  </w:style>
  <w:style w:type="character" w:styleId="a8">
    <w:name w:val="footnote reference"/>
    <w:basedOn w:val="a0"/>
    <w:uiPriority w:val="99"/>
    <w:semiHidden/>
    <w:unhideWhenUsed/>
    <w:rsid w:val="004629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2509">
      <w:bodyDiv w:val="1"/>
      <w:marLeft w:val="0"/>
      <w:marRight w:val="0"/>
      <w:marTop w:val="0"/>
      <w:marBottom w:val="0"/>
      <w:divBdr>
        <w:top w:val="none" w:sz="0" w:space="0" w:color="auto"/>
        <w:left w:val="none" w:sz="0" w:space="0" w:color="auto"/>
        <w:bottom w:val="none" w:sz="0" w:space="0" w:color="auto"/>
        <w:right w:val="none" w:sz="0" w:space="0" w:color="auto"/>
      </w:divBdr>
    </w:div>
    <w:div w:id="108821155">
      <w:bodyDiv w:val="1"/>
      <w:marLeft w:val="0"/>
      <w:marRight w:val="0"/>
      <w:marTop w:val="0"/>
      <w:marBottom w:val="0"/>
      <w:divBdr>
        <w:top w:val="none" w:sz="0" w:space="0" w:color="auto"/>
        <w:left w:val="none" w:sz="0" w:space="0" w:color="auto"/>
        <w:bottom w:val="none" w:sz="0" w:space="0" w:color="auto"/>
        <w:right w:val="none" w:sz="0" w:space="0" w:color="auto"/>
      </w:divBdr>
    </w:div>
    <w:div w:id="109936575">
      <w:bodyDiv w:val="1"/>
      <w:marLeft w:val="0"/>
      <w:marRight w:val="0"/>
      <w:marTop w:val="0"/>
      <w:marBottom w:val="0"/>
      <w:divBdr>
        <w:top w:val="none" w:sz="0" w:space="0" w:color="auto"/>
        <w:left w:val="none" w:sz="0" w:space="0" w:color="auto"/>
        <w:bottom w:val="none" w:sz="0" w:space="0" w:color="auto"/>
        <w:right w:val="none" w:sz="0" w:space="0" w:color="auto"/>
      </w:divBdr>
    </w:div>
    <w:div w:id="130833936">
      <w:bodyDiv w:val="1"/>
      <w:marLeft w:val="0"/>
      <w:marRight w:val="0"/>
      <w:marTop w:val="0"/>
      <w:marBottom w:val="0"/>
      <w:divBdr>
        <w:top w:val="none" w:sz="0" w:space="0" w:color="auto"/>
        <w:left w:val="none" w:sz="0" w:space="0" w:color="auto"/>
        <w:bottom w:val="none" w:sz="0" w:space="0" w:color="auto"/>
        <w:right w:val="none" w:sz="0" w:space="0" w:color="auto"/>
      </w:divBdr>
    </w:div>
    <w:div w:id="131216022">
      <w:bodyDiv w:val="1"/>
      <w:marLeft w:val="0"/>
      <w:marRight w:val="0"/>
      <w:marTop w:val="0"/>
      <w:marBottom w:val="0"/>
      <w:divBdr>
        <w:top w:val="none" w:sz="0" w:space="0" w:color="auto"/>
        <w:left w:val="none" w:sz="0" w:space="0" w:color="auto"/>
        <w:bottom w:val="none" w:sz="0" w:space="0" w:color="auto"/>
        <w:right w:val="none" w:sz="0" w:space="0" w:color="auto"/>
      </w:divBdr>
    </w:div>
    <w:div w:id="138885847">
      <w:bodyDiv w:val="1"/>
      <w:marLeft w:val="0"/>
      <w:marRight w:val="0"/>
      <w:marTop w:val="0"/>
      <w:marBottom w:val="0"/>
      <w:divBdr>
        <w:top w:val="none" w:sz="0" w:space="0" w:color="auto"/>
        <w:left w:val="none" w:sz="0" w:space="0" w:color="auto"/>
        <w:bottom w:val="none" w:sz="0" w:space="0" w:color="auto"/>
        <w:right w:val="none" w:sz="0" w:space="0" w:color="auto"/>
      </w:divBdr>
    </w:div>
    <w:div w:id="178547132">
      <w:bodyDiv w:val="1"/>
      <w:marLeft w:val="0"/>
      <w:marRight w:val="0"/>
      <w:marTop w:val="0"/>
      <w:marBottom w:val="0"/>
      <w:divBdr>
        <w:top w:val="none" w:sz="0" w:space="0" w:color="auto"/>
        <w:left w:val="none" w:sz="0" w:space="0" w:color="auto"/>
        <w:bottom w:val="none" w:sz="0" w:space="0" w:color="auto"/>
        <w:right w:val="none" w:sz="0" w:space="0" w:color="auto"/>
      </w:divBdr>
    </w:div>
    <w:div w:id="214245137">
      <w:bodyDiv w:val="1"/>
      <w:marLeft w:val="0"/>
      <w:marRight w:val="0"/>
      <w:marTop w:val="0"/>
      <w:marBottom w:val="0"/>
      <w:divBdr>
        <w:top w:val="none" w:sz="0" w:space="0" w:color="auto"/>
        <w:left w:val="none" w:sz="0" w:space="0" w:color="auto"/>
        <w:bottom w:val="none" w:sz="0" w:space="0" w:color="auto"/>
        <w:right w:val="none" w:sz="0" w:space="0" w:color="auto"/>
      </w:divBdr>
    </w:div>
    <w:div w:id="217672490">
      <w:bodyDiv w:val="1"/>
      <w:marLeft w:val="0"/>
      <w:marRight w:val="0"/>
      <w:marTop w:val="0"/>
      <w:marBottom w:val="0"/>
      <w:divBdr>
        <w:top w:val="none" w:sz="0" w:space="0" w:color="auto"/>
        <w:left w:val="none" w:sz="0" w:space="0" w:color="auto"/>
        <w:bottom w:val="none" w:sz="0" w:space="0" w:color="auto"/>
        <w:right w:val="none" w:sz="0" w:space="0" w:color="auto"/>
      </w:divBdr>
    </w:div>
    <w:div w:id="230703368">
      <w:bodyDiv w:val="1"/>
      <w:marLeft w:val="0"/>
      <w:marRight w:val="0"/>
      <w:marTop w:val="0"/>
      <w:marBottom w:val="0"/>
      <w:divBdr>
        <w:top w:val="none" w:sz="0" w:space="0" w:color="auto"/>
        <w:left w:val="none" w:sz="0" w:space="0" w:color="auto"/>
        <w:bottom w:val="none" w:sz="0" w:space="0" w:color="auto"/>
        <w:right w:val="none" w:sz="0" w:space="0" w:color="auto"/>
      </w:divBdr>
    </w:div>
    <w:div w:id="265433358">
      <w:bodyDiv w:val="1"/>
      <w:marLeft w:val="0"/>
      <w:marRight w:val="0"/>
      <w:marTop w:val="0"/>
      <w:marBottom w:val="0"/>
      <w:divBdr>
        <w:top w:val="none" w:sz="0" w:space="0" w:color="auto"/>
        <w:left w:val="none" w:sz="0" w:space="0" w:color="auto"/>
        <w:bottom w:val="none" w:sz="0" w:space="0" w:color="auto"/>
        <w:right w:val="none" w:sz="0" w:space="0" w:color="auto"/>
      </w:divBdr>
    </w:div>
    <w:div w:id="269818368">
      <w:bodyDiv w:val="1"/>
      <w:marLeft w:val="0"/>
      <w:marRight w:val="0"/>
      <w:marTop w:val="0"/>
      <w:marBottom w:val="0"/>
      <w:divBdr>
        <w:top w:val="none" w:sz="0" w:space="0" w:color="auto"/>
        <w:left w:val="none" w:sz="0" w:space="0" w:color="auto"/>
        <w:bottom w:val="none" w:sz="0" w:space="0" w:color="auto"/>
        <w:right w:val="none" w:sz="0" w:space="0" w:color="auto"/>
      </w:divBdr>
    </w:div>
    <w:div w:id="286740914">
      <w:bodyDiv w:val="1"/>
      <w:marLeft w:val="0"/>
      <w:marRight w:val="0"/>
      <w:marTop w:val="0"/>
      <w:marBottom w:val="0"/>
      <w:divBdr>
        <w:top w:val="none" w:sz="0" w:space="0" w:color="auto"/>
        <w:left w:val="none" w:sz="0" w:space="0" w:color="auto"/>
        <w:bottom w:val="none" w:sz="0" w:space="0" w:color="auto"/>
        <w:right w:val="none" w:sz="0" w:space="0" w:color="auto"/>
      </w:divBdr>
    </w:div>
    <w:div w:id="293802540">
      <w:bodyDiv w:val="1"/>
      <w:marLeft w:val="0"/>
      <w:marRight w:val="0"/>
      <w:marTop w:val="0"/>
      <w:marBottom w:val="0"/>
      <w:divBdr>
        <w:top w:val="none" w:sz="0" w:space="0" w:color="auto"/>
        <w:left w:val="none" w:sz="0" w:space="0" w:color="auto"/>
        <w:bottom w:val="none" w:sz="0" w:space="0" w:color="auto"/>
        <w:right w:val="none" w:sz="0" w:space="0" w:color="auto"/>
      </w:divBdr>
    </w:div>
    <w:div w:id="294532834">
      <w:bodyDiv w:val="1"/>
      <w:marLeft w:val="0"/>
      <w:marRight w:val="0"/>
      <w:marTop w:val="0"/>
      <w:marBottom w:val="0"/>
      <w:divBdr>
        <w:top w:val="none" w:sz="0" w:space="0" w:color="auto"/>
        <w:left w:val="none" w:sz="0" w:space="0" w:color="auto"/>
        <w:bottom w:val="none" w:sz="0" w:space="0" w:color="auto"/>
        <w:right w:val="none" w:sz="0" w:space="0" w:color="auto"/>
      </w:divBdr>
    </w:div>
    <w:div w:id="341781014">
      <w:bodyDiv w:val="1"/>
      <w:marLeft w:val="0"/>
      <w:marRight w:val="0"/>
      <w:marTop w:val="0"/>
      <w:marBottom w:val="0"/>
      <w:divBdr>
        <w:top w:val="none" w:sz="0" w:space="0" w:color="auto"/>
        <w:left w:val="none" w:sz="0" w:space="0" w:color="auto"/>
        <w:bottom w:val="none" w:sz="0" w:space="0" w:color="auto"/>
        <w:right w:val="none" w:sz="0" w:space="0" w:color="auto"/>
      </w:divBdr>
    </w:div>
    <w:div w:id="369839238">
      <w:bodyDiv w:val="1"/>
      <w:marLeft w:val="0"/>
      <w:marRight w:val="0"/>
      <w:marTop w:val="0"/>
      <w:marBottom w:val="0"/>
      <w:divBdr>
        <w:top w:val="none" w:sz="0" w:space="0" w:color="auto"/>
        <w:left w:val="none" w:sz="0" w:space="0" w:color="auto"/>
        <w:bottom w:val="none" w:sz="0" w:space="0" w:color="auto"/>
        <w:right w:val="none" w:sz="0" w:space="0" w:color="auto"/>
      </w:divBdr>
    </w:div>
    <w:div w:id="448595522">
      <w:bodyDiv w:val="1"/>
      <w:marLeft w:val="0"/>
      <w:marRight w:val="0"/>
      <w:marTop w:val="0"/>
      <w:marBottom w:val="0"/>
      <w:divBdr>
        <w:top w:val="none" w:sz="0" w:space="0" w:color="auto"/>
        <w:left w:val="none" w:sz="0" w:space="0" w:color="auto"/>
        <w:bottom w:val="none" w:sz="0" w:space="0" w:color="auto"/>
        <w:right w:val="none" w:sz="0" w:space="0" w:color="auto"/>
      </w:divBdr>
    </w:div>
    <w:div w:id="569119355">
      <w:bodyDiv w:val="1"/>
      <w:marLeft w:val="0"/>
      <w:marRight w:val="0"/>
      <w:marTop w:val="0"/>
      <w:marBottom w:val="0"/>
      <w:divBdr>
        <w:top w:val="none" w:sz="0" w:space="0" w:color="auto"/>
        <w:left w:val="none" w:sz="0" w:space="0" w:color="auto"/>
        <w:bottom w:val="none" w:sz="0" w:space="0" w:color="auto"/>
        <w:right w:val="none" w:sz="0" w:space="0" w:color="auto"/>
      </w:divBdr>
    </w:div>
    <w:div w:id="576790227">
      <w:bodyDiv w:val="1"/>
      <w:marLeft w:val="0"/>
      <w:marRight w:val="0"/>
      <w:marTop w:val="0"/>
      <w:marBottom w:val="0"/>
      <w:divBdr>
        <w:top w:val="none" w:sz="0" w:space="0" w:color="auto"/>
        <w:left w:val="none" w:sz="0" w:space="0" w:color="auto"/>
        <w:bottom w:val="none" w:sz="0" w:space="0" w:color="auto"/>
        <w:right w:val="none" w:sz="0" w:space="0" w:color="auto"/>
      </w:divBdr>
    </w:div>
    <w:div w:id="608240769">
      <w:bodyDiv w:val="1"/>
      <w:marLeft w:val="0"/>
      <w:marRight w:val="0"/>
      <w:marTop w:val="0"/>
      <w:marBottom w:val="0"/>
      <w:divBdr>
        <w:top w:val="none" w:sz="0" w:space="0" w:color="auto"/>
        <w:left w:val="none" w:sz="0" w:space="0" w:color="auto"/>
        <w:bottom w:val="none" w:sz="0" w:space="0" w:color="auto"/>
        <w:right w:val="none" w:sz="0" w:space="0" w:color="auto"/>
      </w:divBdr>
    </w:div>
    <w:div w:id="623190769">
      <w:bodyDiv w:val="1"/>
      <w:marLeft w:val="0"/>
      <w:marRight w:val="0"/>
      <w:marTop w:val="0"/>
      <w:marBottom w:val="0"/>
      <w:divBdr>
        <w:top w:val="none" w:sz="0" w:space="0" w:color="auto"/>
        <w:left w:val="none" w:sz="0" w:space="0" w:color="auto"/>
        <w:bottom w:val="none" w:sz="0" w:space="0" w:color="auto"/>
        <w:right w:val="none" w:sz="0" w:space="0" w:color="auto"/>
      </w:divBdr>
    </w:div>
    <w:div w:id="749041202">
      <w:bodyDiv w:val="1"/>
      <w:marLeft w:val="0"/>
      <w:marRight w:val="0"/>
      <w:marTop w:val="0"/>
      <w:marBottom w:val="0"/>
      <w:divBdr>
        <w:top w:val="none" w:sz="0" w:space="0" w:color="auto"/>
        <w:left w:val="none" w:sz="0" w:space="0" w:color="auto"/>
        <w:bottom w:val="none" w:sz="0" w:space="0" w:color="auto"/>
        <w:right w:val="none" w:sz="0" w:space="0" w:color="auto"/>
      </w:divBdr>
    </w:div>
    <w:div w:id="757215213">
      <w:bodyDiv w:val="1"/>
      <w:marLeft w:val="0"/>
      <w:marRight w:val="0"/>
      <w:marTop w:val="0"/>
      <w:marBottom w:val="0"/>
      <w:divBdr>
        <w:top w:val="none" w:sz="0" w:space="0" w:color="auto"/>
        <w:left w:val="none" w:sz="0" w:space="0" w:color="auto"/>
        <w:bottom w:val="none" w:sz="0" w:space="0" w:color="auto"/>
        <w:right w:val="none" w:sz="0" w:space="0" w:color="auto"/>
      </w:divBdr>
    </w:div>
    <w:div w:id="780883036">
      <w:bodyDiv w:val="1"/>
      <w:marLeft w:val="0"/>
      <w:marRight w:val="0"/>
      <w:marTop w:val="0"/>
      <w:marBottom w:val="0"/>
      <w:divBdr>
        <w:top w:val="none" w:sz="0" w:space="0" w:color="auto"/>
        <w:left w:val="none" w:sz="0" w:space="0" w:color="auto"/>
        <w:bottom w:val="none" w:sz="0" w:space="0" w:color="auto"/>
        <w:right w:val="none" w:sz="0" w:space="0" w:color="auto"/>
      </w:divBdr>
    </w:div>
    <w:div w:id="896551963">
      <w:bodyDiv w:val="1"/>
      <w:marLeft w:val="0"/>
      <w:marRight w:val="0"/>
      <w:marTop w:val="0"/>
      <w:marBottom w:val="0"/>
      <w:divBdr>
        <w:top w:val="none" w:sz="0" w:space="0" w:color="auto"/>
        <w:left w:val="none" w:sz="0" w:space="0" w:color="auto"/>
        <w:bottom w:val="none" w:sz="0" w:space="0" w:color="auto"/>
        <w:right w:val="none" w:sz="0" w:space="0" w:color="auto"/>
      </w:divBdr>
    </w:div>
    <w:div w:id="913704625">
      <w:bodyDiv w:val="1"/>
      <w:marLeft w:val="0"/>
      <w:marRight w:val="0"/>
      <w:marTop w:val="0"/>
      <w:marBottom w:val="0"/>
      <w:divBdr>
        <w:top w:val="none" w:sz="0" w:space="0" w:color="auto"/>
        <w:left w:val="none" w:sz="0" w:space="0" w:color="auto"/>
        <w:bottom w:val="none" w:sz="0" w:space="0" w:color="auto"/>
        <w:right w:val="none" w:sz="0" w:space="0" w:color="auto"/>
      </w:divBdr>
    </w:div>
    <w:div w:id="927421154">
      <w:bodyDiv w:val="1"/>
      <w:marLeft w:val="0"/>
      <w:marRight w:val="0"/>
      <w:marTop w:val="0"/>
      <w:marBottom w:val="0"/>
      <w:divBdr>
        <w:top w:val="none" w:sz="0" w:space="0" w:color="auto"/>
        <w:left w:val="none" w:sz="0" w:space="0" w:color="auto"/>
        <w:bottom w:val="none" w:sz="0" w:space="0" w:color="auto"/>
        <w:right w:val="none" w:sz="0" w:space="0" w:color="auto"/>
      </w:divBdr>
    </w:div>
    <w:div w:id="976451484">
      <w:bodyDiv w:val="1"/>
      <w:marLeft w:val="0"/>
      <w:marRight w:val="0"/>
      <w:marTop w:val="0"/>
      <w:marBottom w:val="0"/>
      <w:divBdr>
        <w:top w:val="none" w:sz="0" w:space="0" w:color="auto"/>
        <w:left w:val="none" w:sz="0" w:space="0" w:color="auto"/>
        <w:bottom w:val="none" w:sz="0" w:space="0" w:color="auto"/>
        <w:right w:val="none" w:sz="0" w:space="0" w:color="auto"/>
      </w:divBdr>
    </w:div>
    <w:div w:id="1153371772">
      <w:bodyDiv w:val="1"/>
      <w:marLeft w:val="0"/>
      <w:marRight w:val="0"/>
      <w:marTop w:val="0"/>
      <w:marBottom w:val="0"/>
      <w:divBdr>
        <w:top w:val="none" w:sz="0" w:space="0" w:color="auto"/>
        <w:left w:val="none" w:sz="0" w:space="0" w:color="auto"/>
        <w:bottom w:val="none" w:sz="0" w:space="0" w:color="auto"/>
        <w:right w:val="none" w:sz="0" w:space="0" w:color="auto"/>
      </w:divBdr>
    </w:div>
    <w:div w:id="1188131485">
      <w:bodyDiv w:val="1"/>
      <w:marLeft w:val="0"/>
      <w:marRight w:val="0"/>
      <w:marTop w:val="0"/>
      <w:marBottom w:val="0"/>
      <w:divBdr>
        <w:top w:val="none" w:sz="0" w:space="0" w:color="auto"/>
        <w:left w:val="none" w:sz="0" w:space="0" w:color="auto"/>
        <w:bottom w:val="none" w:sz="0" w:space="0" w:color="auto"/>
        <w:right w:val="none" w:sz="0" w:space="0" w:color="auto"/>
      </w:divBdr>
    </w:div>
    <w:div w:id="1225337344">
      <w:bodyDiv w:val="1"/>
      <w:marLeft w:val="0"/>
      <w:marRight w:val="0"/>
      <w:marTop w:val="0"/>
      <w:marBottom w:val="0"/>
      <w:divBdr>
        <w:top w:val="none" w:sz="0" w:space="0" w:color="auto"/>
        <w:left w:val="none" w:sz="0" w:space="0" w:color="auto"/>
        <w:bottom w:val="none" w:sz="0" w:space="0" w:color="auto"/>
        <w:right w:val="none" w:sz="0" w:space="0" w:color="auto"/>
      </w:divBdr>
    </w:div>
    <w:div w:id="1256132537">
      <w:bodyDiv w:val="1"/>
      <w:marLeft w:val="0"/>
      <w:marRight w:val="0"/>
      <w:marTop w:val="0"/>
      <w:marBottom w:val="0"/>
      <w:divBdr>
        <w:top w:val="none" w:sz="0" w:space="0" w:color="auto"/>
        <w:left w:val="none" w:sz="0" w:space="0" w:color="auto"/>
        <w:bottom w:val="none" w:sz="0" w:space="0" w:color="auto"/>
        <w:right w:val="none" w:sz="0" w:space="0" w:color="auto"/>
      </w:divBdr>
    </w:div>
    <w:div w:id="1322269438">
      <w:bodyDiv w:val="1"/>
      <w:marLeft w:val="0"/>
      <w:marRight w:val="0"/>
      <w:marTop w:val="0"/>
      <w:marBottom w:val="0"/>
      <w:divBdr>
        <w:top w:val="none" w:sz="0" w:space="0" w:color="auto"/>
        <w:left w:val="none" w:sz="0" w:space="0" w:color="auto"/>
        <w:bottom w:val="none" w:sz="0" w:space="0" w:color="auto"/>
        <w:right w:val="none" w:sz="0" w:space="0" w:color="auto"/>
      </w:divBdr>
    </w:div>
    <w:div w:id="1409887102">
      <w:bodyDiv w:val="1"/>
      <w:marLeft w:val="0"/>
      <w:marRight w:val="0"/>
      <w:marTop w:val="0"/>
      <w:marBottom w:val="0"/>
      <w:divBdr>
        <w:top w:val="none" w:sz="0" w:space="0" w:color="auto"/>
        <w:left w:val="none" w:sz="0" w:space="0" w:color="auto"/>
        <w:bottom w:val="none" w:sz="0" w:space="0" w:color="auto"/>
        <w:right w:val="none" w:sz="0" w:space="0" w:color="auto"/>
      </w:divBdr>
    </w:div>
    <w:div w:id="1411585563">
      <w:bodyDiv w:val="1"/>
      <w:marLeft w:val="0"/>
      <w:marRight w:val="0"/>
      <w:marTop w:val="0"/>
      <w:marBottom w:val="0"/>
      <w:divBdr>
        <w:top w:val="none" w:sz="0" w:space="0" w:color="auto"/>
        <w:left w:val="none" w:sz="0" w:space="0" w:color="auto"/>
        <w:bottom w:val="none" w:sz="0" w:space="0" w:color="auto"/>
        <w:right w:val="none" w:sz="0" w:space="0" w:color="auto"/>
      </w:divBdr>
    </w:div>
    <w:div w:id="1429153153">
      <w:bodyDiv w:val="1"/>
      <w:marLeft w:val="0"/>
      <w:marRight w:val="0"/>
      <w:marTop w:val="0"/>
      <w:marBottom w:val="0"/>
      <w:divBdr>
        <w:top w:val="none" w:sz="0" w:space="0" w:color="auto"/>
        <w:left w:val="none" w:sz="0" w:space="0" w:color="auto"/>
        <w:bottom w:val="none" w:sz="0" w:space="0" w:color="auto"/>
        <w:right w:val="none" w:sz="0" w:space="0" w:color="auto"/>
      </w:divBdr>
    </w:div>
    <w:div w:id="1514998973">
      <w:bodyDiv w:val="1"/>
      <w:marLeft w:val="0"/>
      <w:marRight w:val="0"/>
      <w:marTop w:val="0"/>
      <w:marBottom w:val="0"/>
      <w:divBdr>
        <w:top w:val="none" w:sz="0" w:space="0" w:color="auto"/>
        <w:left w:val="none" w:sz="0" w:space="0" w:color="auto"/>
        <w:bottom w:val="none" w:sz="0" w:space="0" w:color="auto"/>
        <w:right w:val="none" w:sz="0" w:space="0" w:color="auto"/>
      </w:divBdr>
    </w:div>
    <w:div w:id="1526551817">
      <w:bodyDiv w:val="1"/>
      <w:marLeft w:val="0"/>
      <w:marRight w:val="0"/>
      <w:marTop w:val="0"/>
      <w:marBottom w:val="0"/>
      <w:divBdr>
        <w:top w:val="none" w:sz="0" w:space="0" w:color="auto"/>
        <w:left w:val="none" w:sz="0" w:space="0" w:color="auto"/>
        <w:bottom w:val="none" w:sz="0" w:space="0" w:color="auto"/>
        <w:right w:val="none" w:sz="0" w:space="0" w:color="auto"/>
      </w:divBdr>
    </w:div>
    <w:div w:id="1571619854">
      <w:bodyDiv w:val="1"/>
      <w:marLeft w:val="0"/>
      <w:marRight w:val="0"/>
      <w:marTop w:val="0"/>
      <w:marBottom w:val="0"/>
      <w:divBdr>
        <w:top w:val="none" w:sz="0" w:space="0" w:color="auto"/>
        <w:left w:val="none" w:sz="0" w:space="0" w:color="auto"/>
        <w:bottom w:val="none" w:sz="0" w:space="0" w:color="auto"/>
        <w:right w:val="none" w:sz="0" w:space="0" w:color="auto"/>
      </w:divBdr>
    </w:div>
    <w:div w:id="1578590991">
      <w:bodyDiv w:val="1"/>
      <w:marLeft w:val="0"/>
      <w:marRight w:val="0"/>
      <w:marTop w:val="0"/>
      <w:marBottom w:val="0"/>
      <w:divBdr>
        <w:top w:val="none" w:sz="0" w:space="0" w:color="auto"/>
        <w:left w:val="none" w:sz="0" w:space="0" w:color="auto"/>
        <w:bottom w:val="none" w:sz="0" w:space="0" w:color="auto"/>
        <w:right w:val="none" w:sz="0" w:space="0" w:color="auto"/>
      </w:divBdr>
    </w:div>
    <w:div w:id="1598521314">
      <w:bodyDiv w:val="1"/>
      <w:marLeft w:val="0"/>
      <w:marRight w:val="0"/>
      <w:marTop w:val="0"/>
      <w:marBottom w:val="0"/>
      <w:divBdr>
        <w:top w:val="none" w:sz="0" w:space="0" w:color="auto"/>
        <w:left w:val="none" w:sz="0" w:space="0" w:color="auto"/>
        <w:bottom w:val="none" w:sz="0" w:space="0" w:color="auto"/>
        <w:right w:val="none" w:sz="0" w:space="0" w:color="auto"/>
      </w:divBdr>
    </w:div>
    <w:div w:id="1637106876">
      <w:bodyDiv w:val="1"/>
      <w:marLeft w:val="0"/>
      <w:marRight w:val="0"/>
      <w:marTop w:val="0"/>
      <w:marBottom w:val="0"/>
      <w:divBdr>
        <w:top w:val="none" w:sz="0" w:space="0" w:color="auto"/>
        <w:left w:val="none" w:sz="0" w:space="0" w:color="auto"/>
        <w:bottom w:val="none" w:sz="0" w:space="0" w:color="auto"/>
        <w:right w:val="none" w:sz="0" w:space="0" w:color="auto"/>
      </w:divBdr>
    </w:div>
    <w:div w:id="1672680130">
      <w:bodyDiv w:val="1"/>
      <w:marLeft w:val="0"/>
      <w:marRight w:val="0"/>
      <w:marTop w:val="0"/>
      <w:marBottom w:val="0"/>
      <w:divBdr>
        <w:top w:val="none" w:sz="0" w:space="0" w:color="auto"/>
        <w:left w:val="none" w:sz="0" w:space="0" w:color="auto"/>
        <w:bottom w:val="none" w:sz="0" w:space="0" w:color="auto"/>
        <w:right w:val="none" w:sz="0" w:space="0" w:color="auto"/>
      </w:divBdr>
    </w:div>
    <w:div w:id="1754665537">
      <w:bodyDiv w:val="1"/>
      <w:marLeft w:val="0"/>
      <w:marRight w:val="0"/>
      <w:marTop w:val="0"/>
      <w:marBottom w:val="0"/>
      <w:divBdr>
        <w:top w:val="none" w:sz="0" w:space="0" w:color="auto"/>
        <w:left w:val="none" w:sz="0" w:space="0" w:color="auto"/>
        <w:bottom w:val="none" w:sz="0" w:space="0" w:color="auto"/>
        <w:right w:val="none" w:sz="0" w:space="0" w:color="auto"/>
      </w:divBdr>
    </w:div>
    <w:div w:id="1804232321">
      <w:bodyDiv w:val="1"/>
      <w:marLeft w:val="0"/>
      <w:marRight w:val="0"/>
      <w:marTop w:val="0"/>
      <w:marBottom w:val="0"/>
      <w:divBdr>
        <w:top w:val="none" w:sz="0" w:space="0" w:color="auto"/>
        <w:left w:val="none" w:sz="0" w:space="0" w:color="auto"/>
        <w:bottom w:val="none" w:sz="0" w:space="0" w:color="auto"/>
        <w:right w:val="none" w:sz="0" w:space="0" w:color="auto"/>
      </w:divBdr>
    </w:div>
    <w:div w:id="1818065586">
      <w:bodyDiv w:val="1"/>
      <w:marLeft w:val="0"/>
      <w:marRight w:val="0"/>
      <w:marTop w:val="0"/>
      <w:marBottom w:val="0"/>
      <w:divBdr>
        <w:top w:val="none" w:sz="0" w:space="0" w:color="auto"/>
        <w:left w:val="none" w:sz="0" w:space="0" w:color="auto"/>
        <w:bottom w:val="none" w:sz="0" w:space="0" w:color="auto"/>
        <w:right w:val="none" w:sz="0" w:space="0" w:color="auto"/>
      </w:divBdr>
    </w:div>
    <w:div w:id="1826894159">
      <w:bodyDiv w:val="1"/>
      <w:marLeft w:val="0"/>
      <w:marRight w:val="0"/>
      <w:marTop w:val="0"/>
      <w:marBottom w:val="0"/>
      <w:divBdr>
        <w:top w:val="none" w:sz="0" w:space="0" w:color="auto"/>
        <w:left w:val="none" w:sz="0" w:space="0" w:color="auto"/>
        <w:bottom w:val="none" w:sz="0" w:space="0" w:color="auto"/>
        <w:right w:val="none" w:sz="0" w:space="0" w:color="auto"/>
      </w:divBdr>
    </w:div>
    <w:div w:id="1861820439">
      <w:bodyDiv w:val="1"/>
      <w:marLeft w:val="0"/>
      <w:marRight w:val="0"/>
      <w:marTop w:val="0"/>
      <w:marBottom w:val="0"/>
      <w:divBdr>
        <w:top w:val="none" w:sz="0" w:space="0" w:color="auto"/>
        <w:left w:val="none" w:sz="0" w:space="0" w:color="auto"/>
        <w:bottom w:val="none" w:sz="0" w:space="0" w:color="auto"/>
        <w:right w:val="none" w:sz="0" w:space="0" w:color="auto"/>
      </w:divBdr>
    </w:div>
    <w:div w:id="1922519615">
      <w:bodyDiv w:val="1"/>
      <w:marLeft w:val="0"/>
      <w:marRight w:val="0"/>
      <w:marTop w:val="0"/>
      <w:marBottom w:val="0"/>
      <w:divBdr>
        <w:top w:val="none" w:sz="0" w:space="0" w:color="auto"/>
        <w:left w:val="none" w:sz="0" w:space="0" w:color="auto"/>
        <w:bottom w:val="none" w:sz="0" w:space="0" w:color="auto"/>
        <w:right w:val="none" w:sz="0" w:space="0" w:color="auto"/>
      </w:divBdr>
    </w:div>
    <w:div w:id="1933472945">
      <w:bodyDiv w:val="1"/>
      <w:marLeft w:val="0"/>
      <w:marRight w:val="0"/>
      <w:marTop w:val="0"/>
      <w:marBottom w:val="0"/>
      <w:divBdr>
        <w:top w:val="none" w:sz="0" w:space="0" w:color="auto"/>
        <w:left w:val="none" w:sz="0" w:space="0" w:color="auto"/>
        <w:bottom w:val="none" w:sz="0" w:space="0" w:color="auto"/>
        <w:right w:val="none" w:sz="0" w:space="0" w:color="auto"/>
      </w:divBdr>
    </w:div>
    <w:div w:id="1955939838">
      <w:bodyDiv w:val="1"/>
      <w:marLeft w:val="0"/>
      <w:marRight w:val="0"/>
      <w:marTop w:val="0"/>
      <w:marBottom w:val="0"/>
      <w:divBdr>
        <w:top w:val="none" w:sz="0" w:space="0" w:color="auto"/>
        <w:left w:val="none" w:sz="0" w:space="0" w:color="auto"/>
        <w:bottom w:val="none" w:sz="0" w:space="0" w:color="auto"/>
        <w:right w:val="none" w:sz="0" w:space="0" w:color="auto"/>
      </w:divBdr>
    </w:div>
    <w:div w:id="1997109071">
      <w:bodyDiv w:val="1"/>
      <w:marLeft w:val="0"/>
      <w:marRight w:val="0"/>
      <w:marTop w:val="0"/>
      <w:marBottom w:val="0"/>
      <w:divBdr>
        <w:top w:val="none" w:sz="0" w:space="0" w:color="auto"/>
        <w:left w:val="none" w:sz="0" w:space="0" w:color="auto"/>
        <w:bottom w:val="none" w:sz="0" w:space="0" w:color="auto"/>
        <w:right w:val="none" w:sz="0" w:space="0" w:color="auto"/>
      </w:divBdr>
    </w:div>
    <w:div w:id="2064021599">
      <w:bodyDiv w:val="1"/>
      <w:marLeft w:val="0"/>
      <w:marRight w:val="0"/>
      <w:marTop w:val="0"/>
      <w:marBottom w:val="0"/>
      <w:divBdr>
        <w:top w:val="none" w:sz="0" w:space="0" w:color="auto"/>
        <w:left w:val="none" w:sz="0" w:space="0" w:color="auto"/>
        <w:bottom w:val="none" w:sz="0" w:space="0" w:color="auto"/>
        <w:right w:val="none" w:sz="0" w:space="0" w:color="auto"/>
      </w:divBdr>
    </w:div>
    <w:div w:id="2074766870">
      <w:bodyDiv w:val="1"/>
      <w:marLeft w:val="0"/>
      <w:marRight w:val="0"/>
      <w:marTop w:val="0"/>
      <w:marBottom w:val="0"/>
      <w:divBdr>
        <w:top w:val="none" w:sz="0" w:space="0" w:color="auto"/>
        <w:left w:val="none" w:sz="0" w:space="0" w:color="auto"/>
        <w:bottom w:val="none" w:sz="0" w:space="0" w:color="auto"/>
        <w:right w:val="none" w:sz="0" w:space="0" w:color="auto"/>
      </w:divBdr>
    </w:div>
    <w:div w:id="2077391686">
      <w:bodyDiv w:val="1"/>
      <w:marLeft w:val="0"/>
      <w:marRight w:val="0"/>
      <w:marTop w:val="0"/>
      <w:marBottom w:val="0"/>
      <w:divBdr>
        <w:top w:val="none" w:sz="0" w:space="0" w:color="auto"/>
        <w:left w:val="none" w:sz="0" w:space="0" w:color="auto"/>
        <w:bottom w:val="none" w:sz="0" w:space="0" w:color="auto"/>
        <w:right w:val="none" w:sz="0" w:space="0" w:color="auto"/>
      </w:divBdr>
    </w:div>
    <w:div w:id="2082553872">
      <w:bodyDiv w:val="1"/>
      <w:marLeft w:val="0"/>
      <w:marRight w:val="0"/>
      <w:marTop w:val="0"/>
      <w:marBottom w:val="0"/>
      <w:divBdr>
        <w:top w:val="none" w:sz="0" w:space="0" w:color="auto"/>
        <w:left w:val="none" w:sz="0" w:space="0" w:color="auto"/>
        <w:bottom w:val="none" w:sz="0" w:space="0" w:color="auto"/>
        <w:right w:val="none" w:sz="0" w:space="0" w:color="auto"/>
      </w:divBdr>
    </w:div>
    <w:div w:id="2092197538">
      <w:bodyDiv w:val="1"/>
      <w:marLeft w:val="0"/>
      <w:marRight w:val="0"/>
      <w:marTop w:val="0"/>
      <w:marBottom w:val="0"/>
      <w:divBdr>
        <w:top w:val="none" w:sz="0" w:space="0" w:color="auto"/>
        <w:left w:val="none" w:sz="0" w:space="0" w:color="auto"/>
        <w:bottom w:val="none" w:sz="0" w:space="0" w:color="auto"/>
        <w:right w:val="none" w:sz="0" w:space="0" w:color="auto"/>
      </w:divBdr>
    </w:div>
    <w:div w:id="2125735532">
      <w:bodyDiv w:val="1"/>
      <w:marLeft w:val="0"/>
      <w:marRight w:val="0"/>
      <w:marTop w:val="0"/>
      <w:marBottom w:val="0"/>
      <w:divBdr>
        <w:top w:val="none" w:sz="0" w:space="0" w:color="auto"/>
        <w:left w:val="none" w:sz="0" w:space="0" w:color="auto"/>
        <w:bottom w:val="none" w:sz="0" w:space="0" w:color="auto"/>
        <w:right w:val="none" w:sz="0" w:space="0" w:color="auto"/>
      </w:divBdr>
    </w:div>
    <w:div w:id="2139177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7331C-B126-4AB8-AE25-CE6E941DE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1</Pages>
  <Words>808</Words>
  <Characters>4611</Characters>
  <Application>Microsoft Office Word</Application>
  <DocSecurity>0</DocSecurity>
  <Lines>38</Lines>
  <Paragraphs>10</Paragraphs>
  <ScaleCrop>false</ScaleCrop>
  <Company>china</Company>
  <LinksUpToDate>false</LinksUpToDate>
  <CharactersWithSpaces>5409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刘雯</dc:creator>
  <cp:keywords/>
  <dc:description/>
  <cp:lastModifiedBy>刘雯</cp:lastModifiedBy>
  <cp:revision>47</cp:revision>
  <cp:lastPrinted>2026-04-11T10:18:00Z</cp:lastPrinted>
  <dcterms:created xsi:type="dcterms:W3CDTF">2024-08-05T08:32:00Z</dcterms:created>
  <dcterms:modified xsi:type="dcterms:W3CDTF">2026-10-13T01:27:00Z</dcterms:modified>
</cp:coreProperties>
</file>