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afterLines="50"/>
        <w:rPr>
          <w:bCs/>
        </w:rPr>
      </w:pPr>
      <w:r>
        <w:rPr>
          <w:rFonts w:hint="eastAsia"/>
          <w:bCs/>
        </w:rPr>
        <w:t>证券代码：</w:t>
      </w:r>
      <w:sdt>
        <w:sdtPr>
          <w:rPr>
            <w:rFonts w:hint="eastAsia"/>
            <w:bCs/>
          </w:rPr>
          <w:alias w:val="公司代码"/>
          <w:tag w:val="_GBC_704b7b03ea3f4a93b8d4655a09b2ff61"/>
          <w:id w:val="147470917"/>
          <w:placeholder>
            <w:docPart w:val="GBC22222222222222222222222222222"/>
          </w:placeholder>
        </w:sdtPr>
        <w:sdtEndPr>
          <w:rPr>
            <w:rFonts w:hint="eastAsia"/>
            <w:bCs/>
          </w:rPr>
        </w:sdtEndPr>
        <w:sdtContent>
          <w:r>
            <w:rPr>
              <w:rFonts w:hint="eastAsia"/>
              <w:bCs/>
            </w:rPr>
            <w:t>601860</w:t>
          </w:r>
        </w:sdtContent>
      </w:sdt>
      <w:r>
        <w:rPr>
          <w:rFonts w:hint="eastAsia"/>
          <w:bCs/>
          <w:lang w:val="en-US" w:eastAsia="zh-CN"/>
        </w:rPr>
        <w:t xml:space="preserve">                                                    证</w:t>
      </w:r>
      <w:r>
        <w:rPr>
          <w:rFonts w:hint="eastAsia"/>
          <w:bCs/>
        </w:rPr>
        <w:t>券简称：</w:t>
      </w:r>
      <w:sdt>
        <w:sdtPr>
          <w:rPr>
            <w:rFonts w:hint="eastAsia"/>
            <w:bCs/>
          </w:rPr>
          <w:alias w:val="公司简称"/>
          <w:tag w:val="_GBC_0384ae715a1e4b4894a29e4d27f5bef4"/>
          <w:id w:val="147452064"/>
          <w:placeholder>
            <w:docPart w:val="GBC22222222222222222222222222222"/>
          </w:placeholder>
        </w:sdtPr>
        <w:sdtEndPr>
          <w:rPr>
            <w:rFonts w:hint="eastAsia"/>
            <w:bCs/>
          </w:rPr>
        </w:sdtEndPr>
        <w:sdtContent>
          <w:r>
            <w:rPr>
              <w:rFonts w:hint="eastAsia"/>
              <w:bCs/>
            </w:rPr>
            <w:t>紫金银行</w:t>
          </w:r>
        </w:sdtContent>
      </w:sdt>
    </w:p>
    <w:p>
      <w:pPr>
        <w:rPr>
          <w:sz w:val="24"/>
          <w:szCs w:val="24"/>
        </w:rPr>
      </w:pPr>
    </w:p>
    <w:p>
      <w:pPr>
        <w:jc w:val="center"/>
        <w:rPr>
          <w:rFonts w:ascii="黑体" w:hAnsi="黑体" w:eastAsia="黑体"/>
          <w:b/>
          <w:bCs/>
          <w:color w:val="FF0000"/>
          <w:sz w:val="44"/>
          <w:szCs w:val="44"/>
        </w:rPr>
      </w:pPr>
      <w:sdt>
        <w:sdtPr>
          <w:rPr>
            <w:rFonts w:hint="eastAsia" w:ascii="黑体" w:hAnsi="黑体" w:eastAsia="黑体"/>
            <w:b/>
            <w:bCs/>
            <w:color w:val="FF0000"/>
            <w:sz w:val="44"/>
            <w:szCs w:val="44"/>
          </w:rPr>
          <w:alias w:val="公司法定中文名称"/>
          <w:tag w:val="_GBC_7dd576431127482f91a541ffa1cb6560"/>
          <w:id w:val="147463291"/>
          <w:placeholder>
            <w:docPart w:val="GBC22222222222222222222222222222"/>
          </w:placeholder>
          <w:text/>
        </w:sdtPr>
        <w:sdtEndPr>
          <w:rPr>
            <w:rFonts w:hint="eastAsia" w:ascii="黑体" w:hAnsi="黑体" w:eastAsia="黑体"/>
            <w:b/>
            <w:bCs/>
            <w:color w:val="FF0000"/>
            <w:sz w:val="44"/>
            <w:szCs w:val="44"/>
          </w:rPr>
        </w:sdtEndPr>
        <w:sdtContent>
          <w:r>
            <w:rPr>
              <w:rFonts w:hint="eastAsia" w:ascii="黑体" w:hAnsi="黑体" w:eastAsia="黑体"/>
              <w:b/>
              <w:bCs/>
              <w:color w:val="FF0000"/>
              <w:sz w:val="44"/>
              <w:szCs w:val="44"/>
            </w:rPr>
            <w:t>江苏紫金农村商业银行股份有限公司</w:t>
          </w:r>
        </w:sdtContent>
      </w:sdt>
    </w:p>
    <w:p>
      <w:pPr>
        <w:jc w:val="center"/>
        <w:rPr>
          <w:rFonts w:ascii="黑体" w:hAnsi="黑体" w:eastAsia="黑体"/>
          <w:b/>
          <w:bCs/>
          <w:color w:val="FF0000"/>
          <w:sz w:val="44"/>
          <w:szCs w:val="44"/>
        </w:rPr>
      </w:pPr>
      <w:r>
        <w:rPr>
          <w:rFonts w:ascii="黑体" w:hAnsi="黑体" w:eastAsia="黑体"/>
          <w:b/>
          <w:bCs/>
          <w:color w:val="FF0000"/>
          <w:sz w:val="44"/>
          <w:szCs w:val="44"/>
        </w:rPr>
        <w:t>2026年第</w:t>
      </w:r>
      <w:r>
        <w:rPr>
          <w:rFonts w:hint="eastAsia" w:ascii="黑体" w:hAnsi="黑体" w:eastAsia="黑体"/>
          <w:b/>
          <w:bCs/>
          <w:color w:val="FF0000"/>
          <w:sz w:val="44"/>
          <w:szCs w:val="44"/>
        </w:rPr>
        <w:t>三</w:t>
      </w:r>
      <w:r>
        <w:rPr>
          <w:rFonts w:ascii="黑体" w:hAnsi="黑体" w:eastAsia="黑体"/>
          <w:b/>
          <w:bCs/>
          <w:color w:val="FF0000"/>
          <w:sz w:val="44"/>
          <w:szCs w:val="44"/>
        </w:rPr>
        <w:t>季度报告</w:t>
      </w:r>
    </w:p>
    <w:p/>
    <w:sdt>
      <w:sdtPr>
        <w:alias w:val="选项模块:公司保证公告内容的真实、准确和完整"/>
        <w:tag w:val="_SEC_f4e77842fda94d399e1d84c7eaec4b70"/>
        <w:id w:val="147475690"/>
        <w:placeholder>
          <w:docPart w:val="GBC22222222222222222222222222222"/>
        </w:placeholder>
      </w:sdtPr>
      <w:sdtContent>
        <w:tbl>
          <w:tblPr>
            <w:tblStyle w:val="39"/>
            <w:tblW w:w="494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sdt>
                <w:sdtPr>
                  <w:tag w:val="_PLD_d63fb76916d24b08ad59486348c35180"/>
                  <w:id w:val="147460855"/>
                </w:sdtPr>
                <w:sdtEndPr>
                  <w:rPr>
                    <w:rFonts w:hint="eastAsia"/>
                    <w:sz w:val="24"/>
                    <w:szCs w:val="24"/>
                  </w:rPr>
                </w:sdtEndPr>
                <w:sdtContent>
                  <w:p>
                    <w:pPr>
                      <w:spacing w:line="360" w:lineRule="auto"/>
                      <w:ind w:firstLine="420" w:firstLineChars="200"/>
                      <w:rPr>
                        <w:sz w:val="24"/>
                        <w:szCs w:val="24"/>
                      </w:rPr>
                    </w:pPr>
                    <w:bookmarkStart w:id="0" w:name="_Hlk83213361"/>
                    <w:bookmarkStart w:id="1" w:name="_Hlk83368430"/>
                    <w:r>
                      <w:rPr>
                        <w:rFonts w:hint="eastAsia"/>
                        <w:sz w:val="24"/>
                        <w:szCs w:val="24"/>
                      </w:rPr>
                      <w:t>本公司董事会及全体董事保证本公告内容不存在任何虚假记载、误导性陈述或者重大遗漏，并对其内容的真实性、准确性和完整性承担法律责任。</w:t>
                    </w:r>
                  </w:p>
                </w:sdtContent>
              </w:sdt>
              <w:bookmarkEnd w:id="0"/>
            </w:tc>
          </w:tr>
        </w:tbl>
        <w:p/>
      </w:sdtContent>
    </w:sdt>
    <w:bookmarkEnd w:id="1"/>
    <w:p>
      <w:pPr>
        <w:pStyle w:val="2"/>
        <w:tabs>
          <w:tab w:val="left" w:pos="434"/>
          <w:tab w:val="left" w:pos="882"/>
        </w:tabs>
        <w:spacing w:before="0" w:after="0" w:line="360" w:lineRule="auto"/>
      </w:pPr>
      <w:bookmarkStart w:id="2" w:name="_Toc493166494"/>
      <w:bookmarkStart w:id="3" w:name="_Toc395717681"/>
      <w:r>
        <w:t>重要</w:t>
      </w:r>
      <w:bookmarkEnd w:id="2"/>
      <w:bookmarkEnd w:id="3"/>
      <w:r>
        <w:rPr>
          <w:rFonts w:hint="eastAsia"/>
        </w:rPr>
        <w:t>内容提示</w:t>
      </w:r>
    </w:p>
    <w:sdt>
      <w:sdtPr>
        <w:rPr>
          <w:rFonts w:hAnsi="Times New Roman"/>
          <w:b w:val="0"/>
          <w:bCs w:val="0"/>
        </w:rPr>
        <w:alias w:val="董事会及董事声明"/>
        <w:tag w:val="_GBC_991915e5fc9540338c64b04be2490e26"/>
        <w:id w:val="147481643"/>
        <w:placeholder>
          <w:docPart w:val="GBC22222222222222222222222222222"/>
        </w:placeholder>
      </w:sdtPr>
      <w:sdtEndPr>
        <w:rPr>
          <w:rFonts w:hAnsi="Times New Roman"/>
          <w:b w:val="0"/>
          <w:bCs w:val="0"/>
        </w:rPr>
      </w:sdtEndPr>
      <w:sdtContent>
        <w:p>
          <w:pPr>
            <w:pStyle w:val="3"/>
            <w:spacing w:before="0" w:after="0" w:line="360" w:lineRule="auto"/>
          </w:pPr>
          <w:r>
            <w:rPr>
              <w:rFonts w:hAnsi="Times New Roman"/>
              <w:b w:val="0"/>
              <w:bCs w:val="0"/>
            </w:rPr>
            <w:t>公司董事会及董事、高级管理人员保证季度报告内容的真实、准确、完整，不存在虚假记载、误导性陈述或者重大遗漏，并承担个别和连带的法律责任。</w:t>
          </w:r>
        </w:p>
      </w:sdtContent>
    </w:sdt>
    <w:p>
      <w:bookmarkStart w:id="4" w:name="_Hlk83368637"/>
      <w:bookmarkEnd w:id="4"/>
    </w:p>
    <w:sdt>
      <w:sdtPr>
        <w:tag w:val="_PLD_f09e8fa840644fd19843786f003a4e18"/>
        <w:id w:val="147470121"/>
      </w:sdtPr>
      <w:sdtContent>
        <w:p>
          <w:pPr>
            <w:pStyle w:val="3"/>
            <w:spacing w:before="0" w:after="0" w:line="360" w:lineRule="auto"/>
            <w:rPr>
              <w:rFonts w:hAnsi="Times New Roman"/>
              <w:b w:val="0"/>
              <w:bCs w:val="0"/>
            </w:rPr>
          </w:pPr>
          <w:bookmarkStart w:id="5" w:name="_Hlk83368813"/>
          <w:r>
            <w:rPr>
              <w:rFonts w:hAnsi="Times New Roman"/>
              <w:b w:val="0"/>
              <w:bCs w:val="0"/>
            </w:rPr>
            <w:t>公司负责人、</w:t>
          </w:r>
          <w:r>
            <w:rPr>
              <w:rFonts w:hint="eastAsia" w:hAnsi="Times New Roman"/>
              <w:b w:val="0"/>
              <w:bCs w:val="0"/>
            </w:rPr>
            <w:t>行长、</w:t>
          </w:r>
          <w:r>
            <w:rPr>
              <w:rFonts w:hAnsi="Times New Roman"/>
              <w:b w:val="0"/>
              <w:bCs w:val="0"/>
            </w:rPr>
            <w:t>主管会计工作负责人及会计机构负责人（会计主管人员）保证季度报告中财务</w:t>
          </w:r>
          <w:r>
            <w:rPr>
              <w:rFonts w:hint="eastAsia" w:hAnsi="Times New Roman"/>
              <w:b w:val="0"/>
              <w:bCs w:val="0"/>
            </w:rPr>
            <w:t>信息</w:t>
          </w:r>
          <w:r>
            <w:rPr>
              <w:rFonts w:hAnsi="Times New Roman"/>
              <w:b w:val="0"/>
              <w:bCs w:val="0"/>
            </w:rPr>
            <w:t>的真实、</w:t>
          </w:r>
          <w:r>
            <w:rPr>
              <w:rFonts w:hint="eastAsia" w:hAnsi="Times New Roman"/>
              <w:b w:val="0"/>
              <w:bCs w:val="0"/>
            </w:rPr>
            <w:t>准确、</w:t>
          </w:r>
          <w:r>
            <w:rPr>
              <w:rFonts w:hAnsi="Times New Roman"/>
              <w:b w:val="0"/>
              <w:bCs w:val="0"/>
            </w:rPr>
            <w:t>完整。</w:t>
          </w:r>
        </w:p>
      </w:sdtContent>
    </w:sdt>
    <w:bookmarkEnd w:id="5"/>
    <w:p/>
    <w:p>
      <w:pPr>
        <w:pStyle w:val="3"/>
        <w:spacing w:before="0" w:after="0" w:line="360" w:lineRule="auto"/>
        <w:rPr>
          <w:rFonts w:hAnsi="Times New Roman"/>
          <w:b w:val="0"/>
          <w:bCs w:val="0"/>
        </w:rPr>
      </w:pPr>
      <w:r>
        <w:rPr>
          <w:rFonts w:hint="eastAsia" w:hAnsi="Times New Roman"/>
          <w:b w:val="0"/>
          <w:bCs w:val="0"/>
        </w:rPr>
        <w:t>第三季度财务报表是否经审计</w:t>
      </w:r>
    </w:p>
    <w:sdt>
      <w:sdtPr>
        <w:rPr>
          <w:rFonts w:asciiTheme="minorEastAsia" w:hAnsiTheme="minorEastAsia" w:eastAsiaTheme="minorEastAsia"/>
        </w:rPr>
        <w:alias w:val="是否经审计[双击切换]"/>
        <w:tag w:val="_GBC_ea43ee4d511a43a98012d2d8cea8648a"/>
        <w:id w:val="147454912"/>
        <w:placeholder>
          <w:docPart w:val="GBC22222222222222222222222222222"/>
        </w:placeholder>
      </w:sdtPr>
      <w:sdtEndPr>
        <w:rPr>
          <w:rFonts w:asciiTheme="minorEastAsia" w:hAnsiTheme="minorEastAsia" w:eastAsiaTheme="minorEastAsia"/>
        </w:rPr>
      </w:sdtEndPr>
      <w:sdtContent>
        <w:p>
          <w:pPr>
            <w:spacing w:line="360" w:lineRule="auto"/>
          </w:pP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□是 </w:instrText>
          </w:r>
          <w:r>
            <w:rPr>
              <w:rFonts w:asciiTheme="minorEastAsia" w:hAnsiTheme="minorEastAsia" w:eastAsiaTheme="minorEastAsia"/>
            </w:rPr>
            <w:fldChar w:fldCharType="end"/>
          </w:r>
          <w:r>
            <w:rPr>
              <w:rFonts w:asciiTheme="minorEastAsia" w:hAnsiTheme="minorEastAsia" w:eastAsiaTheme="minorEastAsia"/>
            </w:rPr>
            <w:fldChar w:fldCharType="begin"/>
          </w:r>
          <w:r>
            <w:rPr>
              <w:rFonts w:hint="eastAsia" w:asciiTheme="minorEastAsia" w:hAnsiTheme="minorEastAsia" w:eastAsiaTheme="minorEastAsia"/>
            </w:rPr>
            <w:instrText xml:space="preserve"> MACROBUTTON  SnrToggleCheckbox √否 </w:instrText>
          </w:r>
          <w:r>
            <w:rPr>
              <w:rFonts w:asciiTheme="minorEastAsia" w:hAnsiTheme="minorEastAsia" w:eastAsiaTheme="minorEastAsia"/>
            </w:rPr>
            <w:fldChar w:fldCharType="end"/>
          </w:r>
        </w:p>
      </w:sdtContent>
    </w:sdt>
    <w:p>
      <w:pPr>
        <w:ind w:right="-59" w:rightChars="-28"/>
      </w:pPr>
    </w:p>
    <w:p>
      <w:pPr>
        <w:pStyle w:val="2"/>
        <w:numPr>
          <w:ilvl w:val="0"/>
          <w:numId w:val="1"/>
        </w:numPr>
        <w:tabs>
          <w:tab w:val="left" w:pos="434"/>
          <w:tab w:val="left" w:pos="882"/>
        </w:tabs>
        <w:spacing w:before="0" w:after="0" w:line="360" w:lineRule="auto"/>
      </w:pPr>
      <w:r>
        <w:rPr>
          <w:rFonts w:hint="eastAsia"/>
        </w:rPr>
        <w:t>主要财务数据</w:t>
      </w:r>
    </w:p>
    <w:p>
      <w:pPr>
        <w:pStyle w:val="3"/>
        <w:numPr>
          <w:ilvl w:val="0"/>
          <w:numId w:val="2"/>
        </w:numPr>
        <w:tabs>
          <w:tab w:val="left" w:pos="709"/>
        </w:tabs>
        <w:spacing w:before="0" w:after="0" w:line="360" w:lineRule="auto"/>
        <w:ind w:left="0" w:firstLine="0"/>
        <w:rPr>
          <w:rFonts w:hAnsi="Times New Roman"/>
        </w:rPr>
      </w:pPr>
      <w:r>
        <w:rPr>
          <w:rFonts w:hAnsi="Times New Roman"/>
        </w:rPr>
        <w:t>主要</w:t>
      </w:r>
      <w:r>
        <w:rPr>
          <w:rFonts w:hint="eastAsia" w:hAnsi="Times New Roman"/>
        </w:rPr>
        <w:t>会计数据和财务指标</w:t>
      </w:r>
    </w:p>
    <w:p>
      <w:pPr>
        <w:widowControl w:val="0"/>
        <w:wordWrap w:val="0"/>
        <w:jc w:val="right"/>
      </w:pPr>
      <w:bookmarkStart w:id="6" w:name="_Hlk83369178"/>
      <w:r>
        <w:rPr>
          <w:rFonts w:hint="eastAsia"/>
        </w:rPr>
        <w:t>单位：</w:t>
      </w:r>
      <w:sdt>
        <w:sdtPr>
          <w:rPr>
            <w:rFonts w:hint="eastAsia"/>
          </w:rPr>
          <w:alias w:val="单位_主要财务数据"/>
          <w:tag w:val="_GBC_5826cd2fc1c64079a01395e6ac67a154"/>
          <w:id w:val="1474574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千元</w:t>
          </w:r>
        </w:sdtContent>
      </w:sdt>
      <w:r>
        <w:t xml:space="preserve"> 币种</w:t>
      </w:r>
      <w:r>
        <w:rPr>
          <w:rFonts w:hint="eastAsia"/>
        </w:rPr>
        <w:t>：</w:t>
      </w:r>
      <w:sdt>
        <w:sdtPr>
          <w:rPr>
            <w:rFonts w:hint="eastAsia"/>
          </w:rPr>
          <w:alias w:val="币种_主要会计数据和财务指标"/>
          <w:tag w:val="_GBC_7094e697e4464ff5b2067638adb03980"/>
          <w:id w:val="1474798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8"/>
        <w:tblW w:w="4888"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7"/>
        <w:gridCol w:w="2099"/>
        <w:gridCol w:w="1361"/>
        <w:gridCol w:w="192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ba7cd045f594cbba4a16d454cced920"/>
            <w:id w:val="147460661"/>
          </w:sdtPr>
          <w:sdtContent>
            <w:tc>
              <w:tcPr>
                <w:tcW w:w="2557" w:type="dxa"/>
                <w:vAlign w:val="center"/>
              </w:tcPr>
              <w:p>
                <w:pPr>
                  <w:jc w:val="center"/>
                </w:pPr>
                <w:r>
                  <w:rPr>
                    <w:rFonts w:hint="eastAsia"/>
                  </w:rPr>
                  <w:t>项目</w:t>
                </w:r>
              </w:p>
            </w:tc>
          </w:sdtContent>
        </w:sdt>
        <w:sdt>
          <w:sdtPr>
            <w:tag w:val="_PLD_0ea71b459dae4d918f9e50a54f551bb2"/>
            <w:id w:val="147456243"/>
          </w:sdtPr>
          <w:sdtContent>
            <w:tc>
              <w:tcPr>
                <w:tcW w:w="2099" w:type="dxa"/>
                <w:vAlign w:val="center"/>
              </w:tcPr>
              <w:p>
                <w:pPr>
                  <w:jc w:val="center"/>
                </w:pPr>
                <w:r>
                  <w:rPr>
                    <w:rFonts w:hint="eastAsia"/>
                  </w:rPr>
                  <w:t>本报告期</w:t>
                </w:r>
              </w:p>
            </w:tc>
          </w:sdtContent>
        </w:sdt>
        <w:sdt>
          <w:sdtPr>
            <w:tag w:val="_PLD_d0105e5e85cb4b7fa6e7a98cc04d3dc0"/>
            <w:id w:val="147459676"/>
          </w:sdtPr>
          <w:sdtContent>
            <w:tc>
              <w:tcPr>
                <w:tcW w:w="1361" w:type="dxa"/>
                <w:vAlign w:val="center"/>
              </w:tcPr>
              <w:p>
                <w:pPr>
                  <w:jc w:val="center"/>
                </w:pPr>
                <w:r>
                  <w:rPr>
                    <w:rFonts w:hint="eastAsia"/>
                  </w:rPr>
                  <w:t>本报告期比上年同期增减变动幅度(%)</w:t>
                </w:r>
              </w:p>
            </w:tc>
          </w:sdtContent>
        </w:sdt>
        <w:sdt>
          <w:sdtPr>
            <w:tag w:val="_PLD_70002306676845a7b6f982f424122d50"/>
            <w:id w:val="147460870"/>
          </w:sdtPr>
          <w:sdtContent>
            <w:tc>
              <w:tcPr>
                <w:tcW w:w="1921" w:type="dxa"/>
                <w:vAlign w:val="center"/>
              </w:tcPr>
              <w:p>
                <w:pPr>
                  <w:jc w:val="center"/>
                </w:pPr>
                <w:r>
                  <w:rPr>
                    <w:rFonts w:hint="eastAsia"/>
                  </w:rPr>
                  <w:t>年初至报告期末</w:t>
                </w:r>
              </w:p>
            </w:tc>
          </w:sdtContent>
        </w:sdt>
        <w:sdt>
          <w:sdtPr>
            <w:tag w:val="_PLD_c24ca2f0888e4a92abc63a685425081a"/>
            <w:id w:val="147460334"/>
          </w:sdtPr>
          <w:sdtContent>
            <w:tc>
              <w:tcPr>
                <w:tcW w:w="1418" w:type="dxa"/>
                <w:vAlign w:val="center"/>
              </w:tcPr>
              <w:p>
                <w:pPr>
                  <w:jc w:val="center"/>
                </w:pPr>
                <w:r>
                  <w:rPr>
                    <w:rFonts w:hint="eastAsia"/>
                  </w:rPr>
                  <w:t>年初至报告期末比上年同期增减变动幅度(%)</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7" w:type="dxa"/>
            <w:vAlign w:val="center"/>
          </w:tcPr>
          <w:p>
            <w:r>
              <w:rPr>
                <w:rFonts w:hint="eastAsia"/>
              </w:rPr>
              <w:t>营业收入</w:t>
            </w:r>
          </w:p>
        </w:tc>
        <w:tc>
          <w:tcPr>
            <w:tcW w:w="2099" w:type="dxa"/>
            <w:vAlign w:val="center"/>
          </w:tcPr>
          <w:p>
            <w:pPr>
              <w:jc w:val="right"/>
              <w:textAlignment w:val="center"/>
              <w:rPr>
                <w:rFonts w:ascii="宋体" w:hAnsi="宋体" w:cs="宋体"/>
                <w:color w:val="000000"/>
              </w:rPr>
            </w:pPr>
            <w:r>
              <w:rPr>
                <w:rFonts w:hint="eastAsia" w:ascii="宋体" w:hAnsi="宋体" w:cs="宋体"/>
                <w:color w:val="000000"/>
              </w:rPr>
              <w:t>985,773</w:t>
            </w:r>
          </w:p>
        </w:tc>
        <w:tc>
          <w:tcPr>
            <w:tcW w:w="1361" w:type="dxa"/>
            <w:vAlign w:val="center"/>
          </w:tcPr>
          <w:p>
            <w:pPr>
              <w:jc w:val="right"/>
              <w:textAlignment w:val="center"/>
              <w:rPr>
                <w:rFonts w:ascii="宋体" w:hAnsi="宋体" w:cs="宋体"/>
                <w:color w:val="000000"/>
              </w:rPr>
            </w:pPr>
            <w:r>
              <w:rPr>
                <w:rFonts w:hint="eastAsia" w:ascii="宋体" w:hAnsi="宋体" w:cs="宋体"/>
                <w:color w:val="000000"/>
              </w:rPr>
              <w:t>11.94</w:t>
            </w:r>
          </w:p>
        </w:tc>
        <w:tc>
          <w:tcPr>
            <w:tcW w:w="1921" w:type="dxa"/>
            <w:vAlign w:val="center"/>
          </w:tcPr>
          <w:p>
            <w:pPr>
              <w:jc w:val="right"/>
              <w:textAlignment w:val="center"/>
              <w:rPr>
                <w:rFonts w:ascii="宋体" w:hAnsi="宋体" w:cs="宋体"/>
                <w:color w:val="000000"/>
              </w:rPr>
            </w:pPr>
            <w:r>
              <w:rPr>
                <w:rFonts w:hint="eastAsia" w:ascii="宋体" w:hAnsi="宋体" w:cs="宋体"/>
                <w:color w:val="000000"/>
              </w:rPr>
              <w:t>3,188,527</w:t>
            </w:r>
          </w:p>
        </w:tc>
        <w:tc>
          <w:tcPr>
            <w:tcW w:w="1418" w:type="dxa"/>
            <w:vAlign w:val="center"/>
          </w:tcPr>
          <w:p>
            <w:pPr>
              <w:jc w:val="right"/>
              <w:textAlignment w:val="center"/>
              <w:rPr>
                <w:rFonts w:ascii="宋体" w:hAnsi="宋体" w:cs="宋体"/>
                <w:color w:val="000000"/>
              </w:rPr>
            </w:pPr>
            <w:r>
              <w:rPr>
                <w:rFonts w:hint="eastAsia" w:ascii="宋体" w:hAnsi="宋体" w:cs="宋体"/>
                <w:color w:val="000000"/>
              </w:rPr>
              <w:t>-2.59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7" w:type="dxa"/>
            <w:vAlign w:val="center"/>
          </w:tcPr>
          <w:p>
            <w:r>
              <w:rPr>
                <w:rFonts w:hint="eastAsia"/>
              </w:rPr>
              <w:t>利润总额</w:t>
            </w:r>
          </w:p>
        </w:tc>
        <w:tc>
          <w:tcPr>
            <w:tcW w:w="2099" w:type="dxa"/>
            <w:vAlign w:val="center"/>
          </w:tcPr>
          <w:p>
            <w:pPr>
              <w:jc w:val="right"/>
              <w:textAlignment w:val="center"/>
              <w:rPr>
                <w:rFonts w:ascii="宋体" w:hAnsi="宋体" w:cs="宋体"/>
                <w:color w:val="000000"/>
              </w:rPr>
            </w:pPr>
            <w:r>
              <w:rPr>
                <w:rFonts w:hint="eastAsia" w:ascii="宋体" w:hAnsi="宋体" w:cs="宋体"/>
                <w:color w:val="000000"/>
              </w:rPr>
              <w:t>196,237</w:t>
            </w:r>
          </w:p>
        </w:tc>
        <w:tc>
          <w:tcPr>
            <w:tcW w:w="1361" w:type="dxa"/>
            <w:vAlign w:val="center"/>
          </w:tcPr>
          <w:p>
            <w:pPr>
              <w:jc w:val="right"/>
              <w:textAlignment w:val="center"/>
              <w:rPr>
                <w:rFonts w:ascii="宋体" w:hAnsi="宋体" w:cs="宋体"/>
                <w:color w:val="000000"/>
              </w:rPr>
            </w:pPr>
            <w:r>
              <w:rPr>
                <w:rFonts w:hint="eastAsia" w:ascii="宋体" w:hAnsi="宋体" w:cs="宋体"/>
                <w:color w:val="000000"/>
              </w:rPr>
              <w:t>-44.22</w:t>
            </w:r>
          </w:p>
        </w:tc>
        <w:tc>
          <w:tcPr>
            <w:tcW w:w="1921" w:type="dxa"/>
            <w:vAlign w:val="center"/>
          </w:tcPr>
          <w:p>
            <w:pPr>
              <w:jc w:val="right"/>
              <w:textAlignment w:val="center"/>
              <w:rPr>
                <w:rFonts w:ascii="宋体" w:hAnsi="宋体" w:cs="宋体"/>
                <w:color w:val="000000"/>
              </w:rPr>
            </w:pPr>
            <w:r>
              <w:rPr>
                <w:rFonts w:hint="eastAsia" w:ascii="宋体" w:hAnsi="宋体" w:cs="宋体"/>
                <w:color w:val="000000"/>
              </w:rPr>
              <w:t>1,250,776</w:t>
            </w:r>
          </w:p>
        </w:tc>
        <w:tc>
          <w:tcPr>
            <w:tcW w:w="1418" w:type="dxa"/>
            <w:vAlign w:val="center"/>
          </w:tcPr>
          <w:p>
            <w:pPr>
              <w:jc w:val="right"/>
              <w:textAlignment w:val="center"/>
              <w:rPr>
                <w:rFonts w:ascii="宋体" w:hAnsi="宋体" w:cs="宋体"/>
                <w:color w:val="000000"/>
              </w:rPr>
            </w:pPr>
            <w:r>
              <w:rPr>
                <w:rFonts w:hint="eastAsia" w:ascii="宋体" w:hAnsi="宋体" w:cs="宋体"/>
                <w:color w:val="000000"/>
              </w:rPr>
              <w:t>-11.7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7" w:type="dxa"/>
            <w:vAlign w:val="center"/>
          </w:tcPr>
          <w:p>
            <w:r>
              <w:rPr>
                <w:rFonts w:hint="eastAsia"/>
              </w:rPr>
              <w:t>归属于上市公司股东的净利润</w:t>
            </w:r>
          </w:p>
        </w:tc>
        <w:tc>
          <w:tcPr>
            <w:tcW w:w="2099" w:type="dxa"/>
            <w:vAlign w:val="center"/>
          </w:tcPr>
          <w:p>
            <w:pPr>
              <w:jc w:val="right"/>
              <w:textAlignment w:val="center"/>
              <w:rPr>
                <w:rFonts w:ascii="宋体" w:hAnsi="宋体" w:cs="宋体"/>
                <w:color w:val="000000"/>
              </w:rPr>
            </w:pPr>
            <w:r>
              <w:rPr>
                <w:rFonts w:hint="eastAsia" w:ascii="宋体" w:hAnsi="宋体" w:cs="宋体"/>
                <w:color w:val="000000"/>
              </w:rPr>
              <w:t>204,334</w:t>
            </w:r>
          </w:p>
        </w:tc>
        <w:tc>
          <w:tcPr>
            <w:tcW w:w="1361" w:type="dxa"/>
            <w:vAlign w:val="center"/>
          </w:tcPr>
          <w:p>
            <w:pPr>
              <w:jc w:val="right"/>
              <w:textAlignment w:val="center"/>
              <w:rPr>
                <w:rFonts w:ascii="宋体" w:hAnsi="宋体" w:cs="宋体"/>
                <w:color w:val="000000"/>
              </w:rPr>
            </w:pPr>
            <w:r>
              <w:rPr>
                <w:rFonts w:hint="eastAsia" w:ascii="宋体" w:hAnsi="宋体" w:cs="宋体"/>
                <w:color w:val="000000"/>
              </w:rPr>
              <w:t>-29.88</w:t>
            </w:r>
          </w:p>
        </w:tc>
        <w:tc>
          <w:tcPr>
            <w:tcW w:w="1921" w:type="dxa"/>
            <w:vAlign w:val="center"/>
          </w:tcPr>
          <w:p>
            <w:pPr>
              <w:jc w:val="right"/>
              <w:textAlignment w:val="center"/>
              <w:rPr>
                <w:rFonts w:ascii="宋体" w:hAnsi="宋体" w:cs="宋体"/>
                <w:color w:val="000000"/>
              </w:rPr>
            </w:pPr>
            <w:r>
              <w:rPr>
                <w:rFonts w:hint="eastAsia" w:ascii="宋体" w:hAnsi="宋体" w:cs="宋体"/>
                <w:color w:val="000000"/>
              </w:rPr>
              <w:t>1,147,230</w:t>
            </w:r>
          </w:p>
        </w:tc>
        <w:tc>
          <w:tcPr>
            <w:tcW w:w="1418" w:type="dxa"/>
            <w:vAlign w:val="center"/>
          </w:tcPr>
          <w:p>
            <w:pPr>
              <w:jc w:val="right"/>
              <w:textAlignment w:val="center"/>
              <w:rPr>
                <w:rFonts w:ascii="宋体" w:hAnsi="宋体" w:cs="宋体"/>
                <w:color w:val="000000"/>
              </w:rPr>
            </w:pPr>
            <w:r>
              <w:rPr>
                <w:rFonts w:hint="eastAsia" w:ascii="宋体" w:hAnsi="宋体" w:cs="宋体"/>
                <w:color w:val="000000"/>
              </w:rPr>
              <w:t>-4.71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7" w:type="dxa"/>
            <w:shd w:val="clear" w:color="auto" w:fill="auto"/>
            <w:vAlign w:val="center"/>
          </w:tcPr>
          <w:p>
            <w:pPr>
              <w:rPr>
                <w:color w:val="auto"/>
              </w:rPr>
            </w:pPr>
            <w:r>
              <w:rPr>
                <w:rFonts w:hint="eastAsia"/>
                <w:color w:val="auto"/>
              </w:rPr>
              <w:t>归属于上市公司股东的扣除非经常性损益的净利润</w:t>
            </w:r>
          </w:p>
        </w:tc>
        <w:tc>
          <w:tcPr>
            <w:tcW w:w="2099" w:type="dxa"/>
            <w:shd w:val="clear" w:color="auto" w:fill="auto"/>
            <w:vAlign w:val="center"/>
          </w:tcPr>
          <w:p>
            <w:pPr>
              <w:jc w:val="right"/>
              <w:textAlignment w:val="center"/>
              <w:rPr>
                <w:rFonts w:ascii="宋体" w:hAnsi="宋体" w:cs="宋体"/>
                <w:color w:val="auto"/>
              </w:rPr>
            </w:pPr>
            <w:r>
              <w:rPr>
                <w:rFonts w:hint="eastAsia" w:ascii="宋体" w:hAnsi="宋体" w:cs="宋体"/>
                <w:color w:val="auto"/>
              </w:rPr>
              <w:t>206,001</w:t>
            </w:r>
          </w:p>
        </w:tc>
        <w:tc>
          <w:tcPr>
            <w:tcW w:w="1361" w:type="dxa"/>
            <w:shd w:val="clear" w:color="auto" w:fill="auto"/>
            <w:vAlign w:val="center"/>
          </w:tcPr>
          <w:p>
            <w:pPr>
              <w:jc w:val="right"/>
              <w:textAlignment w:val="center"/>
              <w:rPr>
                <w:rFonts w:ascii="宋体" w:hAnsi="宋体" w:cs="宋体"/>
                <w:color w:val="auto"/>
              </w:rPr>
            </w:pPr>
            <w:r>
              <w:rPr>
                <w:rFonts w:hint="eastAsia" w:ascii="宋体" w:hAnsi="宋体" w:cs="宋体"/>
                <w:color w:val="auto"/>
              </w:rPr>
              <w:t>-29.83</w:t>
            </w:r>
          </w:p>
        </w:tc>
        <w:tc>
          <w:tcPr>
            <w:tcW w:w="1921" w:type="dxa"/>
            <w:shd w:val="clear" w:color="auto" w:fill="auto"/>
            <w:vAlign w:val="center"/>
          </w:tcPr>
          <w:p>
            <w:pPr>
              <w:jc w:val="right"/>
              <w:textAlignment w:val="center"/>
              <w:rPr>
                <w:rFonts w:ascii="宋体" w:hAnsi="宋体" w:cs="宋体"/>
                <w:color w:val="auto"/>
              </w:rPr>
            </w:pPr>
            <w:r>
              <w:rPr>
                <w:rFonts w:hint="eastAsia" w:ascii="宋体" w:hAnsi="宋体" w:cs="宋体"/>
                <w:color w:val="auto"/>
              </w:rPr>
              <w:t>1,142,341</w:t>
            </w:r>
          </w:p>
        </w:tc>
        <w:tc>
          <w:tcPr>
            <w:tcW w:w="1418" w:type="dxa"/>
            <w:shd w:val="clear" w:color="auto" w:fill="auto"/>
            <w:vAlign w:val="center"/>
          </w:tcPr>
          <w:p>
            <w:pPr>
              <w:jc w:val="right"/>
              <w:textAlignment w:val="center"/>
              <w:rPr>
                <w:rFonts w:ascii="宋体" w:hAnsi="宋体" w:cs="宋体"/>
                <w:color w:val="auto"/>
              </w:rPr>
            </w:pPr>
            <w:r>
              <w:rPr>
                <w:rFonts w:hint="eastAsia" w:ascii="宋体" w:hAnsi="宋体" w:cs="宋体"/>
                <w:color w:val="auto"/>
              </w:rPr>
              <w:t>-4.94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7" w:type="dxa"/>
            <w:shd w:val="clear" w:color="auto" w:fill="auto"/>
            <w:vAlign w:val="center"/>
          </w:tcPr>
          <w:p>
            <w:pPr>
              <w:rPr>
                <w:color w:val="auto"/>
              </w:rPr>
            </w:pPr>
            <w:r>
              <w:rPr>
                <w:rFonts w:hint="eastAsia"/>
                <w:color w:val="auto"/>
              </w:rPr>
              <w:t>经营活动产生的现金流量净额</w:t>
            </w:r>
          </w:p>
        </w:tc>
        <w:tc>
          <w:tcPr>
            <w:tcW w:w="2099" w:type="dxa"/>
            <w:shd w:val="clear" w:color="auto" w:fill="auto"/>
            <w:vAlign w:val="center"/>
          </w:tcPr>
          <w:p>
            <w:pPr>
              <w:jc w:val="center"/>
              <w:rPr>
                <w:color w:val="auto"/>
                <w:highlight w:val="none"/>
              </w:rPr>
            </w:pPr>
            <w:r>
              <w:rPr>
                <w:rFonts w:hint="eastAsia"/>
                <w:color w:val="auto"/>
                <w:highlight w:val="none"/>
              </w:rPr>
              <w:t>不适用</w:t>
            </w:r>
          </w:p>
        </w:tc>
        <w:tc>
          <w:tcPr>
            <w:tcW w:w="1361" w:type="dxa"/>
            <w:shd w:val="clear" w:color="auto" w:fill="auto"/>
            <w:vAlign w:val="center"/>
          </w:tcPr>
          <w:p>
            <w:pPr>
              <w:jc w:val="center"/>
              <w:rPr>
                <w:color w:val="auto"/>
                <w:highlight w:val="none"/>
              </w:rPr>
            </w:pPr>
            <w:r>
              <w:rPr>
                <w:rFonts w:hint="eastAsia"/>
                <w:color w:val="auto"/>
                <w:highlight w:val="none"/>
              </w:rPr>
              <w:t>不适用</w:t>
            </w:r>
          </w:p>
        </w:tc>
        <w:tc>
          <w:tcPr>
            <w:tcW w:w="1921" w:type="dxa"/>
            <w:shd w:val="clear" w:color="auto" w:fill="auto"/>
            <w:vAlign w:val="center"/>
          </w:tcPr>
          <w:p>
            <w:pPr>
              <w:jc w:val="right"/>
              <w:textAlignment w:val="center"/>
              <w:rPr>
                <w:rFonts w:hint="eastAsia" w:ascii="宋体" w:hAnsi="宋体" w:cs="宋体"/>
                <w:color w:val="auto"/>
              </w:rPr>
            </w:pPr>
            <w:r>
              <w:rPr>
                <w:rFonts w:hint="eastAsia" w:ascii="宋体" w:hAnsi="宋体" w:cs="宋体"/>
                <w:color w:val="auto"/>
              </w:rPr>
              <w:t>3,596,592</w:t>
            </w:r>
          </w:p>
        </w:tc>
        <w:tc>
          <w:tcPr>
            <w:tcW w:w="1418" w:type="dxa"/>
            <w:shd w:val="clear" w:color="auto" w:fill="auto"/>
            <w:vAlign w:val="center"/>
          </w:tcPr>
          <w:p>
            <w:pPr>
              <w:jc w:val="right"/>
              <w:textAlignment w:val="center"/>
              <w:rPr>
                <w:rFonts w:hint="eastAsia" w:ascii="宋体" w:hAnsi="宋体" w:cs="宋体"/>
                <w:color w:val="auto"/>
              </w:rPr>
            </w:pPr>
            <w:r>
              <w:rPr>
                <w:rFonts w:hint="eastAsia" w:ascii="宋体" w:hAnsi="宋体" w:cs="宋体"/>
                <w:color w:val="auto"/>
              </w:rPr>
              <w:t>-84.84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57" w:type="dxa"/>
            <w:shd w:val="clear" w:color="auto" w:fill="auto"/>
            <w:vAlign w:val="center"/>
          </w:tcPr>
          <w:p>
            <w:bookmarkStart w:id="35" w:name="_GoBack" w:colFirst="1" w:colLast="2"/>
            <w:r>
              <w:rPr>
                <w:rFonts w:hint="eastAsia"/>
              </w:rPr>
              <w:t>基本每股收益（元/股）</w:t>
            </w:r>
          </w:p>
        </w:tc>
        <w:tc>
          <w:tcPr>
            <w:tcW w:w="2099" w:type="dxa"/>
            <w:shd w:val="clear" w:color="auto" w:fill="auto"/>
            <w:vAlign w:val="top"/>
          </w:tcPr>
          <w:p>
            <w:pPr>
              <w:keepNext w:val="0"/>
              <w:keepLines w:val="0"/>
              <w:widowControl/>
              <w:suppressLineNumbers w:val="0"/>
              <w:jc w:val="right"/>
              <w:textAlignment w:val="top"/>
              <w:rPr>
                <w:rFonts w:ascii="宋体" w:hAnsi="宋体" w:cs="宋体"/>
                <w:color w:val="000000"/>
                <w:highlight w:val="none"/>
              </w:rPr>
            </w:pPr>
            <w:r>
              <w:rPr>
                <w:rFonts w:hint="eastAsia" w:ascii="宋体" w:hAnsi="宋体" w:eastAsia="宋体" w:cs="宋体"/>
                <w:i w:val="0"/>
                <w:iCs w:val="0"/>
                <w:color w:val="000000"/>
                <w:kern w:val="0"/>
                <w:sz w:val="21"/>
                <w:szCs w:val="21"/>
                <w:highlight w:val="none"/>
                <w:u w:val="none"/>
                <w:lang w:val="en-US" w:eastAsia="zh-CN" w:bidi="ar"/>
              </w:rPr>
              <w:t>0.06</w:t>
            </w:r>
          </w:p>
        </w:tc>
        <w:tc>
          <w:tcPr>
            <w:tcW w:w="1361" w:type="dxa"/>
            <w:shd w:val="clear" w:color="auto" w:fill="auto"/>
            <w:vAlign w:val="top"/>
          </w:tcPr>
          <w:p>
            <w:pPr>
              <w:keepNext w:val="0"/>
              <w:keepLines w:val="0"/>
              <w:widowControl/>
              <w:suppressLineNumbers w:val="0"/>
              <w:jc w:val="right"/>
              <w:textAlignment w:val="top"/>
              <w:rPr>
                <w:rFonts w:ascii="宋体" w:hAnsi="宋体" w:cs="宋体"/>
                <w:color w:val="000000"/>
                <w:highlight w:val="none"/>
              </w:rPr>
            </w:pPr>
            <w:r>
              <w:rPr>
                <w:rFonts w:hint="eastAsia" w:ascii="宋体" w:hAnsi="宋体" w:eastAsia="宋体" w:cs="宋体"/>
                <w:i w:val="0"/>
                <w:iCs w:val="0"/>
                <w:color w:val="000000"/>
                <w:kern w:val="0"/>
                <w:sz w:val="21"/>
                <w:szCs w:val="21"/>
                <w:highlight w:val="none"/>
                <w:u w:val="none"/>
                <w:lang w:val="en-US" w:eastAsia="zh-CN" w:bidi="ar"/>
              </w:rPr>
              <w:t>-25</w:t>
            </w:r>
          </w:p>
        </w:tc>
        <w:tc>
          <w:tcPr>
            <w:tcW w:w="1921"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0.31</w:t>
            </w:r>
          </w:p>
        </w:tc>
        <w:tc>
          <w:tcPr>
            <w:tcW w:w="1418"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7" w:type="dxa"/>
            <w:shd w:val="clear" w:color="auto" w:fill="auto"/>
            <w:vAlign w:val="center"/>
          </w:tcPr>
          <w:p>
            <w:r>
              <w:rPr>
                <w:rFonts w:hint="eastAsia"/>
              </w:rPr>
              <w:t>稀释每股收益（元/股）</w:t>
            </w:r>
          </w:p>
        </w:tc>
        <w:tc>
          <w:tcPr>
            <w:tcW w:w="2099" w:type="dxa"/>
            <w:shd w:val="clear" w:color="auto" w:fill="auto"/>
            <w:vAlign w:val="top"/>
          </w:tcPr>
          <w:p>
            <w:pPr>
              <w:keepNext w:val="0"/>
              <w:keepLines w:val="0"/>
              <w:widowControl/>
              <w:suppressLineNumbers w:val="0"/>
              <w:jc w:val="right"/>
              <w:textAlignment w:val="top"/>
              <w:rPr>
                <w:rFonts w:ascii="宋体" w:hAnsi="宋体" w:cs="宋体"/>
                <w:color w:val="000000"/>
                <w:highlight w:val="none"/>
              </w:rPr>
            </w:pPr>
            <w:r>
              <w:rPr>
                <w:rFonts w:hint="eastAsia" w:ascii="宋体" w:hAnsi="宋体" w:eastAsia="宋体" w:cs="宋体"/>
                <w:i w:val="0"/>
                <w:iCs w:val="0"/>
                <w:color w:val="000000"/>
                <w:kern w:val="0"/>
                <w:sz w:val="21"/>
                <w:szCs w:val="21"/>
                <w:highlight w:val="none"/>
                <w:u w:val="none"/>
                <w:lang w:val="en-US" w:eastAsia="zh-CN" w:bidi="ar"/>
              </w:rPr>
              <w:t>0.06</w:t>
            </w:r>
          </w:p>
        </w:tc>
        <w:tc>
          <w:tcPr>
            <w:tcW w:w="1361" w:type="dxa"/>
            <w:shd w:val="clear" w:color="auto" w:fill="auto"/>
            <w:vAlign w:val="top"/>
          </w:tcPr>
          <w:p>
            <w:pPr>
              <w:keepNext w:val="0"/>
              <w:keepLines w:val="0"/>
              <w:widowControl/>
              <w:suppressLineNumbers w:val="0"/>
              <w:jc w:val="right"/>
              <w:textAlignment w:val="top"/>
              <w:rPr>
                <w:rFonts w:ascii="宋体" w:hAnsi="宋体" w:cs="宋体"/>
                <w:color w:val="000000"/>
                <w:highlight w:val="none"/>
              </w:rPr>
            </w:pPr>
            <w:r>
              <w:rPr>
                <w:rFonts w:hint="eastAsia" w:ascii="宋体" w:hAnsi="宋体" w:eastAsia="宋体" w:cs="宋体"/>
                <w:i w:val="0"/>
                <w:iCs w:val="0"/>
                <w:color w:val="000000"/>
                <w:kern w:val="0"/>
                <w:sz w:val="21"/>
                <w:szCs w:val="21"/>
                <w:highlight w:val="none"/>
                <w:u w:val="none"/>
                <w:lang w:val="en-US" w:eastAsia="zh-CN" w:bidi="ar"/>
              </w:rPr>
              <w:t>-14.29</w:t>
            </w:r>
          </w:p>
        </w:tc>
        <w:tc>
          <w:tcPr>
            <w:tcW w:w="1921"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0.25</w:t>
            </w:r>
          </w:p>
        </w:tc>
        <w:tc>
          <w:tcPr>
            <w:tcW w:w="1418"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-13.79</w:t>
            </w:r>
          </w:p>
        </w:tc>
      </w:tr>
      <w:bookmarkEnd w:id="3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7" w:type="dxa"/>
            <w:shd w:val="clear" w:color="auto" w:fill="auto"/>
            <w:vAlign w:val="center"/>
          </w:tcPr>
          <w:p>
            <w:r>
              <w:rPr>
                <w:rFonts w:hint="eastAsia"/>
              </w:rPr>
              <w:t>加权平均净资产收益率</w:t>
            </w:r>
            <w:r>
              <w:t>（</w:t>
            </w:r>
            <w:r>
              <w:rPr>
                <w:rFonts w:hint="eastAsia"/>
              </w:rPr>
              <w:t>%</w:t>
            </w:r>
            <w:r>
              <w:t>）</w:t>
            </w:r>
          </w:p>
        </w:tc>
        <w:tc>
          <w:tcPr>
            <w:tcW w:w="2099" w:type="dxa"/>
            <w:shd w:val="clear" w:color="auto" w:fill="auto"/>
            <w:vAlign w:val="center"/>
          </w:tcPr>
          <w:p>
            <w:pPr>
              <w:jc w:val="right"/>
              <w:textAlignment w:val="center"/>
              <w:rPr>
                <w:rFonts w:hint="eastAsia" w:ascii="宋体" w:hAnsi="宋体" w:cs="宋体"/>
                <w:color w:val="000000"/>
              </w:rPr>
            </w:pPr>
            <w:r>
              <w:rPr>
                <w:rFonts w:hint="eastAsia" w:ascii="宋体" w:hAnsi="宋体" w:cs="宋体"/>
                <w:color w:val="000000"/>
              </w:rPr>
              <w:t>0.96</w:t>
            </w:r>
          </w:p>
        </w:tc>
        <w:tc>
          <w:tcPr>
            <w:tcW w:w="1361" w:type="dxa"/>
            <w:shd w:val="clear" w:color="auto" w:fill="auto"/>
            <w:vAlign w:val="center"/>
          </w:tcPr>
          <w:p>
            <w:pPr>
              <w:jc w:val="right"/>
              <w:textAlignment w:val="center"/>
              <w:rPr>
                <w:rFonts w:hint="eastAsia" w:ascii="宋体" w:hAnsi="宋体" w:cs="宋体"/>
                <w:color w:val="000000"/>
              </w:rPr>
            </w:pPr>
            <w:r>
              <w:rPr>
                <w:rFonts w:hint="eastAsia" w:ascii="宋体" w:hAnsi="宋体" w:cs="宋体"/>
                <w:color w:val="000000"/>
              </w:rPr>
              <w:t>减少0.47个百分点</w:t>
            </w:r>
          </w:p>
        </w:tc>
        <w:tc>
          <w:tcPr>
            <w:tcW w:w="1921" w:type="dxa"/>
            <w:shd w:val="clear" w:color="auto" w:fill="auto"/>
            <w:vAlign w:val="center"/>
          </w:tcPr>
          <w:p>
            <w:pPr>
              <w:jc w:val="right"/>
              <w:textAlignment w:val="center"/>
              <w:rPr>
                <w:rFonts w:hint="eastAsia" w:ascii="宋体" w:hAnsi="宋体" w:cs="宋体"/>
                <w:color w:val="000000"/>
              </w:rPr>
            </w:pPr>
            <w:r>
              <w:rPr>
                <w:rFonts w:hint="eastAsia" w:ascii="宋体" w:hAnsi="宋体" w:cs="宋体"/>
                <w:color w:val="000000"/>
              </w:rPr>
              <w:t>5.47</w:t>
            </w:r>
          </w:p>
        </w:tc>
        <w:tc>
          <w:tcPr>
            <w:tcW w:w="1418" w:type="dxa"/>
            <w:shd w:val="clear" w:color="auto" w:fill="auto"/>
            <w:vAlign w:val="center"/>
          </w:tcPr>
          <w:p>
            <w:pPr>
              <w:jc w:val="right"/>
              <w:textAlignment w:val="center"/>
              <w:rPr>
                <w:rFonts w:hint="eastAsia" w:ascii="宋体" w:hAnsi="宋体" w:cs="宋体"/>
                <w:color w:val="000000"/>
              </w:rPr>
            </w:pPr>
            <w:r>
              <w:rPr>
                <w:rFonts w:hint="eastAsia" w:ascii="宋体" w:hAnsi="宋体" w:cs="宋体"/>
                <w:color w:val="000000"/>
              </w:rPr>
              <w:t>减少0.49个百分点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7" w:type="dxa"/>
            <w:vAlign w:val="center"/>
          </w:tcPr>
          <w:p/>
        </w:tc>
        <w:sdt>
          <w:sdtPr>
            <w:tag w:val="_PLD_bf7aac0454b94e13b5fcd848ef0c47bf"/>
            <w:id w:val="147454932"/>
          </w:sdtPr>
          <w:sdtContent>
            <w:tc>
              <w:tcPr>
                <w:tcW w:w="2099" w:type="dxa"/>
                <w:vAlign w:val="center"/>
              </w:tcPr>
              <w:p>
                <w:pPr>
                  <w:jc w:val="center"/>
                </w:pPr>
                <w:r>
                  <w:rPr>
                    <w:rFonts w:hint="eastAsia"/>
                  </w:rPr>
                  <w:t>本报告期末</w:t>
                </w:r>
              </w:p>
            </w:tc>
          </w:sdtContent>
        </w:sdt>
        <w:sdt>
          <w:sdtPr>
            <w:tag w:val="_PLD_d8ba1d1fdf1f4045b51d0e4f5b3cbb9c"/>
            <w:id w:val="147469397"/>
          </w:sdtPr>
          <w:sdtContent>
            <w:tc>
              <w:tcPr>
                <w:tcW w:w="3282" w:type="dxa"/>
                <w:gridSpan w:val="2"/>
                <w:vAlign w:val="center"/>
              </w:tcPr>
              <w:p>
                <w:pPr>
                  <w:jc w:val="center"/>
                </w:pPr>
                <w:r>
                  <w:rPr>
                    <w:rFonts w:hint="eastAsia"/>
                  </w:rPr>
                  <w:t>上年度末</w:t>
                </w:r>
              </w:p>
            </w:tc>
          </w:sdtContent>
        </w:sdt>
        <w:sdt>
          <w:sdtPr>
            <w:tag w:val="_PLD_480bc9ae9f9e49ee9d72c22d3bf3c801"/>
            <w:id w:val="147483142"/>
          </w:sdtPr>
          <w:sdtContent>
            <w:tc>
              <w:tcPr>
                <w:tcW w:w="1418" w:type="dxa"/>
                <w:vAlign w:val="center"/>
              </w:tcPr>
              <w:p>
                <w:pPr>
                  <w:jc w:val="center"/>
                </w:pPr>
                <w:r>
                  <w:rPr>
                    <w:rFonts w:hint="eastAsia"/>
                  </w:rPr>
                  <w:t>本报告期末比上年度末增减变动幅度(%)</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7" w:type="dxa"/>
            <w:vAlign w:val="center"/>
          </w:tcPr>
          <w:p>
            <w:r>
              <w:rPr>
                <w:rFonts w:hint="eastAsia"/>
              </w:rPr>
              <w:t>总资产</w:t>
            </w:r>
          </w:p>
        </w:tc>
        <w:tc>
          <w:tcPr>
            <w:tcW w:w="2099" w:type="dxa"/>
            <w:vAlign w:val="center"/>
          </w:tcPr>
          <w:p>
            <w:pPr>
              <w:jc w:val="right"/>
              <w:textAlignment w:val="center"/>
              <w:rPr>
                <w:rFonts w:ascii="宋体" w:hAnsi="宋体" w:cs="宋体"/>
                <w:color w:val="000000"/>
              </w:rPr>
            </w:pPr>
            <w:r>
              <w:rPr>
                <w:rFonts w:hint="eastAsia" w:ascii="宋体" w:hAnsi="宋体" w:cs="宋体"/>
                <w:color w:val="000000"/>
              </w:rPr>
              <w:t>302,593,877</w:t>
            </w:r>
          </w:p>
        </w:tc>
        <w:tc>
          <w:tcPr>
            <w:tcW w:w="3282" w:type="dxa"/>
            <w:gridSpan w:val="2"/>
            <w:vAlign w:val="center"/>
          </w:tcPr>
          <w:p>
            <w:pPr>
              <w:jc w:val="right"/>
              <w:textAlignment w:val="center"/>
              <w:rPr>
                <w:rFonts w:ascii="宋体" w:hAnsi="宋体" w:cs="宋体"/>
                <w:color w:val="000000"/>
              </w:rPr>
            </w:pPr>
            <w:r>
              <w:rPr>
                <w:rFonts w:hint="eastAsia" w:ascii="宋体" w:hAnsi="宋体" w:cs="宋体"/>
                <w:color w:val="000000"/>
              </w:rPr>
              <w:t>290,343,059</w:t>
            </w:r>
          </w:p>
        </w:tc>
        <w:tc>
          <w:tcPr>
            <w:tcW w:w="1418" w:type="dxa"/>
            <w:vAlign w:val="center"/>
          </w:tcPr>
          <w:p>
            <w:pPr>
              <w:jc w:val="right"/>
              <w:textAlignment w:val="center"/>
              <w:rPr>
                <w:rFonts w:ascii="宋体" w:hAnsi="宋体" w:cs="宋体"/>
                <w:color w:val="000000"/>
              </w:rPr>
            </w:pPr>
            <w:r>
              <w:rPr>
                <w:rFonts w:hint="eastAsia" w:ascii="宋体" w:hAnsi="宋体" w:cs="宋体"/>
                <w:color w:val="000000"/>
              </w:rPr>
              <w:t>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7" w:type="dxa"/>
            <w:vAlign w:val="center"/>
          </w:tcPr>
          <w:p>
            <w:r>
              <w:rPr>
                <w:rFonts w:hint="eastAsia"/>
              </w:rPr>
              <w:t>归属于上市公司股东的所有者权益</w:t>
            </w:r>
          </w:p>
        </w:tc>
        <w:tc>
          <w:tcPr>
            <w:tcW w:w="2099" w:type="dxa"/>
            <w:vAlign w:val="center"/>
          </w:tcPr>
          <w:p>
            <w:pPr>
              <w:jc w:val="right"/>
              <w:textAlignment w:val="center"/>
              <w:rPr>
                <w:rFonts w:ascii="宋体" w:hAnsi="宋体" w:cs="宋体"/>
                <w:color w:val="000000"/>
              </w:rPr>
            </w:pPr>
            <w:r>
              <w:rPr>
                <w:rFonts w:hint="eastAsia" w:ascii="宋体" w:hAnsi="宋体" w:cs="宋体"/>
                <w:color w:val="000000"/>
              </w:rPr>
              <w:t>21,386,227</w:t>
            </w:r>
          </w:p>
        </w:tc>
        <w:tc>
          <w:tcPr>
            <w:tcW w:w="3282" w:type="dxa"/>
            <w:gridSpan w:val="2"/>
            <w:vAlign w:val="center"/>
          </w:tcPr>
          <w:p>
            <w:pPr>
              <w:jc w:val="right"/>
              <w:textAlignment w:val="center"/>
              <w:rPr>
                <w:rFonts w:ascii="宋体" w:hAnsi="宋体" w:cs="宋体"/>
                <w:color w:val="000000"/>
              </w:rPr>
            </w:pPr>
            <w:r>
              <w:rPr>
                <w:rFonts w:hint="eastAsia" w:ascii="宋体" w:hAnsi="宋体" w:cs="宋体"/>
                <w:color w:val="000000"/>
              </w:rPr>
              <w:t>20,300,789</w:t>
            </w:r>
          </w:p>
        </w:tc>
        <w:tc>
          <w:tcPr>
            <w:tcW w:w="1418" w:type="dxa"/>
            <w:vAlign w:val="center"/>
          </w:tcPr>
          <w:p>
            <w:pPr>
              <w:jc w:val="right"/>
              <w:textAlignment w:val="center"/>
              <w:rPr>
                <w:rFonts w:ascii="宋体" w:hAnsi="宋体" w:cs="宋体"/>
                <w:color w:val="000000"/>
              </w:rPr>
            </w:pPr>
            <w:r>
              <w:rPr>
                <w:rFonts w:hint="eastAsia" w:ascii="宋体" w:hAnsi="宋体" w:cs="宋体"/>
                <w:color w:val="000000"/>
              </w:rPr>
              <w:t>5.35</w:t>
            </w:r>
          </w:p>
        </w:tc>
      </w:tr>
    </w:tbl>
    <w:p>
      <w:r>
        <w:rPr>
          <w:rFonts w:hint="eastAsia" w:cs="宋体"/>
        </w:rPr>
        <w:t>注:“本报告期”指本季度初至本季度末3个月期间，下同。</w:t>
      </w:r>
    </w:p>
    <w:bookmarkEnd w:id="6"/>
    <w:p>
      <w:bookmarkStart w:id="7" w:name="_Hlk177562136"/>
      <w:bookmarkEnd w:id="7"/>
      <w:bookmarkStart w:id="8" w:name="_Hlk83629595"/>
    </w:p>
    <w:bookmarkEnd w:id="8"/>
    <w:p>
      <w:pPr>
        <w:pStyle w:val="3"/>
        <w:numPr>
          <w:ilvl w:val="0"/>
          <w:numId w:val="2"/>
        </w:numPr>
        <w:tabs>
          <w:tab w:val="left" w:pos="360"/>
          <w:tab w:val="left" w:pos="728"/>
        </w:tabs>
        <w:spacing w:before="0" w:after="0" w:line="360" w:lineRule="auto"/>
        <w:ind w:left="0" w:firstLine="0"/>
        <w:rPr>
          <w:rFonts w:hAnsi="Times New Roman"/>
        </w:rPr>
      </w:pPr>
      <w:bookmarkStart w:id="9" w:name="_Hlk41554412"/>
      <w:bookmarkStart w:id="10" w:name="_Hlk177137165"/>
      <w:bookmarkStart w:id="11" w:name="_Hlk177137425"/>
      <w:bookmarkStart w:id="12" w:name="_Hlk176867619"/>
      <w:bookmarkStart w:id="13" w:name="_Hlk41554482"/>
      <w:bookmarkStart w:id="14" w:name="_Hlk176955633"/>
      <w:r>
        <w:rPr>
          <w:rFonts w:hint="eastAsia" w:hAnsi="Times New Roman"/>
        </w:rPr>
        <w:t>非经常性损益项目和金额</w:t>
      </w:r>
    </w:p>
    <w:sdt>
      <w:sdtPr>
        <w:alias w:val="是否适用：扣除非经常性损益项目和金额[双击切换]"/>
        <w:tag w:val="_GBC_2aa427ddf60e4e2581bdf148dab71079"/>
        <w:id w:val="147458793"/>
        <w:placeholder>
          <w:docPart w:val="GBC22222222222222222222222222222"/>
        </w:placeholder>
      </w:sdtPr>
      <w:sdtContent>
        <w:p>
          <w:r>
            <w:rPr>
              <w:rFonts w:ascii="宋体" w:hAnsi="宋体"/>
            </w:rPr>
            <w:fldChar w:fldCharType="begin"/>
          </w:r>
          <w:r>
            <w:rPr>
              <w:rFonts w:hint="eastAsia" w:ascii="宋体" w:hAnsi="宋体"/>
            </w:rPr>
            <w:instrText xml:space="preserve">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p>
      <w:pPr>
        <w:jc w:val="right"/>
      </w:pPr>
      <w:r>
        <w:rPr>
          <w:rFonts w:hint="eastAsia"/>
        </w:rPr>
        <w:t>单位：</w:t>
      </w:r>
      <w:sdt>
        <w:sdtPr>
          <w:rPr>
            <w:rFonts w:hint="eastAsia"/>
          </w:rPr>
          <w:alias w:val="单位：扣除非经常性损益项目和金额"/>
          <w:tag w:val="_GBC_b487b51f3790434dbc46c20b568ff4c2"/>
          <w:id w:val="14745693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千元</w:t>
          </w:r>
        </w:sdtContent>
      </w:sdt>
      <w:r>
        <w:rPr>
          <w:rFonts w:hint="eastAsia"/>
        </w:rPr>
        <w:t xml:space="preserve"> 币种：</w:t>
      </w:r>
      <w:sdt>
        <w:sdtPr>
          <w:rPr>
            <w:rFonts w:hint="eastAsia"/>
          </w:rPr>
          <w:alias w:val="币种：扣除非经常性损益项目和金额"/>
          <w:tag w:val="_GBC_74d3ba32c7474d7a837fbc09b778e55b"/>
          <w:id w:val="14748141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39"/>
        <w:tblW w:w="4889"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47"/>
        <w:gridCol w:w="2027"/>
        <w:gridCol w:w="1801"/>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c27a680ddcc48ad9b66e1d3fa215ed9"/>
            <w:id w:val="147460798"/>
          </w:sdtPr>
          <w:sdtContent>
            <w:tc>
              <w:tcPr>
                <w:tcW w:w="1948" w:type="pct"/>
                <w:vAlign w:val="center"/>
              </w:tcPr>
              <w:p>
                <w:pPr>
                  <w:pStyle w:val="62"/>
                  <w:ind w:firstLine="0" w:firstLineChars="0"/>
                  <w:jc w:val="center"/>
                </w:pPr>
                <w:r>
                  <w:rPr>
                    <w:rFonts w:hint="eastAsia"/>
                  </w:rPr>
                  <w:t>非经常性损益项目</w:t>
                </w:r>
              </w:p>
            </w:tc>
          </w:sdtContent>
        </w:sdt>
        <w:sdt>
          <w:sdtPr>
            <w:tag w:val="_PLD_5582322e8b42450ca6693a09f65d50b4"/>
            <w:id w:val="147478023"/>
          </w:sdtPr>
          <w:sdtContent>
            <w:tc>
              <w:tcPr>
                <w:tcW w:w="1083" w:type="pct"/>
                <w:vAlign w:val="center"/>
              </w:tcPr>
              <w:p>
                <w:pPr>
                  <w:pStyle w:val="62"/>
                  <w:ind w:firstLine="0" w:firstLineChars="0"/>
                  <w:jc w:val="center"/>
                </w:pPr>
                <w:r>
                  <w:rPr>
                    <w:rFonts w:hint="eastAsia"/>
                  </w:rPr>
                  <w:t>本期金额</w:t>
                </w:r>
              </w:p>
            </w:tc>
          </w:sdtContent>
        </w:sdt>
        <w:tc>
          <w:tcPr>
            <w:tcW w:w="962" w:type="pct"/>
            <w:vAlign w:val="center"/>
          </w:tcPr>
          <w:sdt>
            <w:sdtPr>
              <w:tag w:val="_PLD_644df5f67e8c4d928741d9c96c0d33c0"/>
              <w:id w:val="147464514"/>
            </w:sdtPr>
            <w:sdtContent>
              <w:p>
                <w:pPr>
                  <w:pStyle w:val="62"/>
                  <w:ind w:firstLine="0" w:firstLineChars="0"/>
                  <w:jc w:val="center"/>
                </w:pPr>
                <w:r>
                  <w:rPr>
                    <w:rFonts w:hint="eastAsia"/>
                  </w:rPr>
                  <w:t>年初至报告期末金额</w:t>
                </w:r>
              </w:p>
            </w:sdtContent>
          </w:sdt>
        </w:tc>
        <w:sdt>
          <w:sdtPr>
            <w:tag w:val="_PLD_4369d793f3d64921bbc62bae2842866c"/>
            <w:id w:val="147464545"/>
          </w:sdtPr>
          <w:sdtContent>
            <w:tc>
              <w:tcPr>
                <w:tcW w:w="1006" w:type="pct"/>
                <w:vAlign w:val="center"/>
              </w:tcPr>
              <w:p>
                <w:pPr>
                  <w:pStyle w:val="62"/>
                  <w:ind w:firstLine="0" w:firstLineChars="0"/>
                  <w:jc w:val="center"/>
                </w:pPr>
                <w:r>
                  <w:rPr>
                    <w:rFonts w:hint="eastAsia"/>
                  </w:rPr>
                  <w:t>说明</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pct"/>
            <w:vAlign w:val="center"/>
          </w:tcPr>
          <w:p>
            <w:pPr>
              <w:pStyle w:val="62"/>
              <w:ind w:firstLine="0" w:firstLineChars="0"/>
            </w:pPr>
            <w:r>
              <w:t>非流动</w:t>
            </w:r>
            <w:r>
              <w:rPr>
                <w:rFonts w:hint="eastAsia"/>
              </w:rPr>
              <w:t>性</w:t>
            </w:r>
            <w:r>
              <w:t>资产处置损益</w:t>
            </w:r>
            <w:r>
              <w:rPr>
                <w:rFonts w:hint="eastAsia"/>
              </w:rPr>
              <w:t>，包括已计提资产减值准备的冲销部分</w:t>
            </w:r>
          </w:p>
        </w:tc>
        <w:tc>
          <w:tcPr>
            <w:tcW w:w="1083" w:type="pct"/>
            <w:vAlign w:val="center"/>
          </w:tcPr>
          <w:p>
            <w:pPr>
              <w:jc w:val="right"/>
              <w:textAlignment w:val="center"/>
              <w:rPr>
                <w:rFonts w:ascii="宋体" w:hAnsi="宋体" w:cs="宋体"/>
                <w:color w:val="000000"/>
              </w:rPr>
            </w:pPr>
            <w:r>
              <w:rPr>
                <w:rFonts w:hint="eastAsia" w:ascii="宋体" w:hAnsi="宋体" w:cs="宋体"/>
                <w:color w:val="000000"/>
              </w:rPr>
              <w:t>0</w:t>
            </w:r>
          </w:p>
        </w:tc>
        <w:tc>
          <w:tcPr>
            <w:tcW w:w="962" w:type="pct"/>
            <w:vAlign w:val="center"/>
          </w:tcPr>
          <w:p>
            <w:pPr>
              <w:jc w:val="right"/>
              <w:textAlignment w:val="center"/>
              <w:rPr>
                <w:rFonts w:ascii="宋体" w:hAnsi="宋体" w:cs="宋体"/>
                <w:color w:val="000000"/>
              </w:rPr>
            </w:pPr>
            <w:r>
              <w:rPr>
                <w:rFonts w:hint="eastAsia" w:ascii="宋体" w:hAnsi="宋体" w:cs="宋体"/>
                <w:color w:val="000000"/>
              </w:rPr>
              <w:t>2,446</w:t>
            </w:r>
          </w:p>
        </w:tc>
        <w:tc>
          <w:tcPr>
            <w:tcW w:w="1006" w:type="pc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pct"/>
            <w:vAlign w:val="center"/>
          </w:tcPr>
          <w:p>
            <w:pPr>
              <w:pStyle w:val="62"/>
              <w:ind w:firstLine="0" w:firstLineChars="0"/>
            </w:pPr>
            <w:r>
              <w:t>计入当期损益的政府补助</w:t>
            </w:r>
            <w:r>
              <w:rPr>
                <w:rFonts w:hint="eastAsia"/>
              </w:rPr>
              <w:t>，但与公司正常经营业务密切相关、符合国家政策规定、按照确定的标准享有、对公司损益产生持续影响的政府补助除外</w:t>
            </w:r>
          </w:p>
        </w:tc>
        <w:tc>
          <w:tcPr>
            <w:tcW w:w="1083" w:type="pct"/>
            <w:vAlign w:val="center"/>
          </w:tcPr>
          <w:p>
            <w:pPr>
              <w:jc w:val="right"/>
              <w:textAlignment w:val="center"/>
              <w:rPr>
                <w:rFonts w:ascii="宋体" w:hAnsi="宋体" w:cs="宋体"/>
                <w:color w:val="000000"/>
              </w:rPr>
            </w:pPr>
            <w:r>
              <w:rPr>
                <w:rFonts w:hint="eastAsia" w:ascii="宋体" w:hAnsi="宋体" w:cs="宋体"/>
                <w:color w:val="000000"/>
              </w:rPr>
              <w:t>0</w:t>
            </w:r>
          </w:p>
        </w:tc>
        <w:tc>
          <w:tcPr>
            <w:tcW w:w="962" w:type="pct"/>
            <w:vAlign w:val="center"/>
          </w:tcPr>
          <w:p>
            <w:pPr>
              <w:jc w:val="right"/>
              <w:textAlignment w:val="center"/>
              <w:rPr>
                <w:rFonts w:ascii="宋体" w:hAnsi="宋体" w:cs="宋体"/>
                <w:color w:val="000000"/>
              </w:rPr>
            </w:pPr>
            <w:r>
              <w:rPr>
                <w:rFonts w:hint="eastAsia" w:ascii="宋体" w:hAnsi="宋体" w:cs="宋体"/>
                <w:color w:val="000000"/>
              </w:rPr>
              <w:t>4,657</w:t>
            </w:r>
          </w:p>
        </w:tc>
        <w:tc>
          <w:tcPr>
            <w:tcW w:w="1006" w:type="pc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48" w:type="pct"/>
            <w:vAlign w:val="center"/>
          </w:tcPr>
          <w:p>
            <w:pPr>
              <w:pStyle w:val="62"/>
              <w:ind w:firstLine="0" w:firstLineChars="0"/>
            </w:pPr>
            <w:r>
              <w:t>除上述各项之外的其他营业外收入和支出</w:t>
            </w:r>
          </w:p>
        </w:tc>
        <w:tc>
          <w:tcPr>
            <w:tcW w:w="1083" w:type="pct"/>
            <w:vAlign w:val="center"/>
          </w:tcPr>
          <w:p>
            <w:pPr>
              <w:jc w:val="right"/>
              <w:textAlignment w:val="center"/>
              <w:rPr>
                <w:rFonts w:ascii="宋体" w:hAnsi="宋体" w:cs="宋体"/>
                <w:color w:val="000000"/>
              </w:rPr>
            </w:pPr>
            <w:r>
              <w:rPr>
                <w:rFonts w:hint="eastAsia" w:ascii="宋体" w:hAnsi="宋体" w:cs="宋体"/>
                <w:color w:val="000000"/>
              </w:rPr>
              <w:t>-1,436</w:t>
            </w:r>
          </w:p>
        </w:tc>
        <w:tc>
          <w:tcPr>
            <w:tcW w:w="962" w:type="pct"/>
            <w:vAlign w:val="center"/>
          </w:tcPr>
          <w:p>
            <w:pPr>
              <w:jc w:val="right"/>
              <w:textAlignment w:val="center"/>
              <w:rPr>
                <w:rFonts w:ascii="宋体" w:hAnsi="宋体" w:cs="宋体"/>
                <w:color w:val="000000"/>
              </w:rPr>
            </w:pPr>
            <w:r>
              <w:rPr>
                <w:rFonts w:hint="eastAsia" w:ascii="宋体" w:hAnsi="宋体" w:cs="宋体"/>
                <w:color w:val="000000"/>
              </w:rPr>
              <w:t>170</w:t>
            </w:r>
          </w:p>
        </w:tc>
        <w:tc>
          <w:tcPr>
            <w:tcW w:w="1006" w:type="pc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pct"/>
            <w:vAlign w:val="center"/>
          </w:tcPr>
          <w:p>
            <w:pPr>
              <w:pStyle w:val="62"/>
              <w:ind w:firstLine="0" w:firstLineChars="0"/>
            </w:pPr>
            <w:r>
              <w:rPr>
                <w:rFonts w:hint="eastAsia"/>
              </w:rPr>
              <w:t>减：</w:t>
            </w:r>
            <w:r>
              <w:t>所得税影响额</w:t>
            </w:r>
          </w:p>
        </w:tc>
        <w:tc>
          <w:tcPr>
            <w:tcW w:w="1083" w:type="pct"/>
            <w:shd w:val="clear" w:color="auto" w:fill="auto"/>
            <w:vAlign w:val="center"/>
          </w:tcPr>
          <w:p>
            <w:pPr>
              <w:jc w:val="right"/>
              <w:textAlignment w:val="center"/>
              <w:rPr>
                <w:rFonts w:hint="eastAsia" w:ascii="宋体" w:hAnsi="宋体" w:cs="宋体"/>
                <w:color w:val="000000"/>
              </w:rPr>
            </w:pPr>
            <w:r>
              <w:rPr>
                <w:rFonts w:hint="eastAsia" w:ascii="宋体" w:hAnsi="宋体" w:cs="宋体"/>
                <w:color w:val="000000"/>
              </w:rPr>
              <w:t>231</w:t>
            </w:r>
          </w:p>
        </w:tc>
        <w:tc>
          <w:tcPr>
            <w:tcW w:w="962" w:type="pct"/>
            <w:shd w:val="clear" w:color="auto" w:fill="auto"/>
            <w:vAlign w:val="center"/>
          </w:tcPr>
          <w:p>
            <w:pPr>
              <w:jc w:val="right"/>
              <w:textAlignment w:val="center"/>
              <w:rPr>
                <w:rFonts w:hint="eastAsia" w:ascii="宋体" w:hAnsi="宋体" w:cs="宋体"/>
                <w:color w:val="000000"/>
              </w:rPr>
            </w:pPr>
            <w:r>
              <w:rPr>
                <w:rFonts w:hint="eastAsia" w:ascii="宋体" w:hAnsi="宋体" w:cs="宋体"/>
                <w:color w:val="000000"/>
              </w:rPr>
              <w:t>2,384</w:t>
            </w:r>
          </w:p>
        </w:tc>
        <w:tc>
          <w:tcPr>
            <w:tcW w:w="1006" w:type="pct"/>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pct"/>
            <w:vAlign w:val="center"/>
          </w:tcPr>
          <w:p>
            <w:pPr>
              <w:pStyle w:val="62"/>
              <w:ind w:firstLine="0" w:firstLineChars="0"/>
              <w:jc w:val="center"/>
            </w:pPr>
            <w:r>
              <w:t>合计</w:t>
            </w:r>
          </w:p>
        </w:tc>
        <w:tc>
          <w:tcPr>
            <w:tcW w:w="1083" w:type="pct"/>
            <w:shd w:val="clear" w:color="auto" w:fill="auto"/>
            <w:vAlign w:val="center"/>
          </w:tcPr>
          <w:p>
            <w:pPr>
              <w:jc w:val="right"/>
              <w:textAlignment w:val="center"/>
              <w:rPr>
                <w:rFonts w:hint="eastAsia" w:ascii="宋体" w:hAnsi="宋体" w:cs="宋体"/>
                <w:color w:val="000000"/>
              </w:rPr>
            </w:pPr>
            <w:r>
              <w:rPr>
                <w:rFonts w:hint="eastAsia" w:ascii="宋体" w:hAnsi="宋体" w:cs="宋体"/>
                <w:color w:val="000000"/>
              </w:rPr>
              <w:t>-1,667</w:t>
            </w:r>
          </w:p>
        </w:tc>
        <w:tc>
          <w:tcPr>
            <w:tcW w:w="962" w:type="pct"/>
            <w:shd w:val="clear" w:color="auto" w:fill="auto"/>
            <w:vAlign w:val="center"/>
          </w:tcPr>
          <w:p>
            <w:pPr>
              <w:jc w:val="right"/>
              <w:textAlignment w:val="center"/>
              <w:rPr>
                <w:rFonts w:hint="eastAsia" w:ascii="宋体" w:hAnsi="宋体" w:cs="宋体"/>
                <w:color w:val="000000"/>
              </w:rPr>
            </w:pPr>
            <w:r>
              <w:rPr>
                <w:rFonts w:hint="eastAsia" w:ascii="宋体" w:hAnsi="宋体" w:cs="宋体"/>
                <w:color w:val="000000"/>
              </w:rPr>
              <w:t>4,889</w:t>
            </w:r>
          </w:p>
        </w:tc>
        <w:tc>
          <w:tcPr>
            <w:tcW w:w="1006" w:type="pct"/>
            <w:vAlign w:val="center"/>
          </w:tcPr>
          <w:p/>
        </w:tc>
      </w:tr>
    </w:tbl>
    <w:p/>
    <w:bookmarkEnd w:id="9"/>
    <w:bookmarkEnd w:id="10"/>
    <w:bookmarkEnd w:id="11"/>
    <w:bookmarkEnd w:id="12"/>
    <w:p>
      <w:pPr>
        <w:pStyle w:val="22"/>
        <w:adjustRightInd w:val="0"/>
        <w:snapToGrid w:val="0"/>
        <w:spacing w:line="200" w:lineRule="atLeast"/>
        <w:rPr>
          <w:rFonts w:hint="default" w:hAnsi="Times New Roman"/>
          <w:kern w:val="0"/>
          <w:sz w:val="21"/>
        </w:rPr>
      </w:pPr>
      <w:bookmarkStart w:id="15" w:name="_Hlk89096484"/>
      <w:bookmarkStart w:id="16" w:name="_Hlk41379873"/>
      <w:bookmarkStart w:id="17" w:name="_Hlk176869835"/>
      <w:r>
        <w:rPr>
          <w:rFonts w:hAnsi="Times New Roman" w:cs="宋体"/>
          <w:kern w:val="0"/>
          <w:sz w:val="21"/>
        </w:rPr>
        <w:t>对公司</w:t>
      </w:r>
      <w:r>
        <w:rPr>
          <w:rFonts w:hAnsi="Times New Roman"/>
          <w:sz w:val="21"/>
        </w:rPr>
        <w:t>将《公开发行证券的公司信息披露解释性公告第1号——非经常性损益》未列举的项目认定为非经常性损益项目且金额重大的，以及将《公开发行证券的公司信息披露解释性公告第1号——非经常性损益》中列举的非经常性损益项目界定为经常性损益的项目，</w:t>
      </w:r>
      <w:r>
        <w:rPr>
          <w:rFonts w:hAnsi="Times New Roman" w:cs="宋体"/>
          <w:kern w:val="0"/>
          <w:sz w:val="21"/>
        </w:rPr>
        <w:t>应说明原因。</w:t>
      </w:r>
    </w:p>
    <w:sdt>
      <w:sdtPr>
        <w:alias w:val="是否适用：将非经常性损益项目界定为经常性损益项目[双击切换]"/>
        <w:tag w:val="_GBC_c26689ee8db84807b73d7ed77620e8e6"/>
        <w:id w:val="147478624"/>
        <w:placeholder>
          <w:docPart w:val="GBC22222222222222222222222222222"/>
        </w:placeholder>
      </w:sdtPr>
      <w:sdtContent>
        <w:p>
          <w:r>
            <w:fldChar w:fldCharType="begin"/>
          </w:r>
          <w:r>
            <w:rPr>
              <w:rFonts w:hint="eastAsia"/>
            </w:rPr>
            <w:instrText xml:space="preserve"> MACROBUTTON  SnrToggleCheckbox □适用 </w:instrText>
          </w:r>
          <w:r>
            <w:fldChar w:fldCharType="end"/>
          </w:r>
          <w:r>
            <w:fldChar w:fldCharType="begin"/>
          </w:r>
          <w:r>
            <w:rPr>
              <w:rFonts w:hint="eastAsia"/>
            </w:rPr>
            <w:instrText xml:space="preserve"> MACROBUTTON  SnrToggleCheckbox √不适用 </w:instrText>
          </w:r>
          <w:r>
            <w:fldChar w:fldCharType="end"/>
          </w:r>
        </w:p>
      </w:sdtContent>
    </w:sdt>
    <w:bookmarkEnd w:id="13"/>
    <w:bookmarkEnd w:id="14"/>
    <w:bookmarkEnd w:id="15"/>
    <w:bookmarkEnd w:id="16"/>
    <w:bookmarkEnd w:id="17"/>
    <w:p>
      <w:pPr>
        <w:pStyle w:val="3"/>
        <w:numPr>
          <w:ilvl w:val="0"/>
          <w:numId w:val="2"/>
        </w:numPr>
        <w:tabs>
          <w:tab w:val="left" w:pos="709"/>
        </w:tabs>
        <w:spacing w:before="0" w:after="0" w:line="360" w:lineRule="auto"/>
        <w:ind w:left="0" w:firstLine="0"/>
        <w:rPr>
          <w:rFonts w:hAnsi="Times New Roman"/>
        </w:rPr>
      </w:pPr>
      <w:bookmarkStart w:id="18" w:name="_Hlk41380468"/>
      <w:bookmarkEnd w:id="18"/>
      <w:bookmarkStart w:id="19" w:name="_Hlk83369588"/>
      <w:r>
        <w:rPr>
          <w:rFonts w:hint="eastAsia" w:hAnsi="Times New Roman"/>
        </w:rPr>
        <w:t>主要会计数据、财务指标发生变动的情况、原因</w:t>
      </w:r>
    </w:p>
    <w:sdt>
      <w:sdtPr>
        <w:rPr>
          <w:szCs w:val="21"/>
        </w:rPr>
        <w:alias w:val="是否适用：主要会计数据、财务指标发生变动的情况、原因[双击切换]"/>
        <w:tag w:val="_GBC_eca4787514fe400f9c4ab3dde50f13ee"/>
        <w:id w:val="147457526"/>
        <w:placeholder>
          <w:docPart w:val="GBC22222222222222222222222222222"/>
        </w:placeholder>
      </w:sdtPr>
      <w:sdtEndPr>
        <w:rPr>
          <w:szCs w:val="21"/>
        </w:rPr>
      </w:sdtEndPr>
      <w:sdtContent>
        <w:p>
          <w:pPr>
            <w:pStyle w:val="85"/>
            <w:spacing w:afterLines="50"/>
            <w:rPr>
              <w:szCs w:val="21"/>
            </w:rPr>
          </w:pPr>
          <w:r>
            <w:rPr>
              <w:rFonts w:ascii="宋体" w:hAnsi="宋体"/>
              <w:szCs w:val="21"/>
            </w:rPr>
            <w:fldChar w:fldCharType="begin"/>
          </w:r>
          <w:r>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tbl>
      <w:tblPr>
        <w:tblStyle w:val="38"/>
        <w:tblW w:w="4888"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3"/>
        <w:gridCol w:w="1688"/>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ebfbbbd0c3c4814bb4bf98d9fe7950c"/>
            <w:id w:val="147478614"/>
          </w:sdtPr>
          <w:sdtContent>
            <w:tc>
              <w:tcPr>
                <w:tcW w:w="1818" w:type="pct"/>
                <w:vAlign w:val="center"/>
              </w:tcPr>
              <w:p>
                <w:pPr>
                  <w:jc w:val="center"/>
                </w:pPr>
                <w:r>
                  <w:rPr>
                    <w:rFonts w:hint="eastAsia"/>
                  </w:rPr>
                  <w:t>项目名称</w:t>
                </w:r>
              </w:p>
            </w:tc>
          </w:sdtContent>
        </w:sdt>
        <w:sdt>
          <w:sdtPr>
            <w:tag w:val="_PLD_ad8a19e6e13a4d0e9050e912694c9bda"/>
            <w:id w:val="147472847"/>
          </w:sdtPr>
          <w:sdtContent>
            <w:tc>
              <w:tcPr>
                <w:tcW w:w="902" w:type="pct"/>
                <w:vAlign w:val="center"/>
              </w:tcPr>
              <w:p>
                <w:pPr>
                  <w:jc w:val="center"/>
                </w:pPr>
                <w:r>
                  <w:rPr>
                    <w:rFonts w:hint="eastAsia"/>
                  </w:rPr>
                  <w:t>变动比例（%）</w:t>
                </w:r>
              </w:p>
            </w:tc>
          </w:sdtContent>
        </w:sdt>
        <w:tc>
          <w:tcPr>
            <w:tcW w:w="2279" w:type="pct"/>
            <w:vAlign w:val="center"/>
          </w:tcPr>
          <w:sdt>
            <w:sdtPr>
              <w:tag w:val="_PLD_abe91942ec3b4ea0888d971168c9835c"/>
              <w:id w:val="147461931"/>
            </w:sdtPr>
            <w:sdtContent>
              <w:p>
                <w:pPr>
                  <w:jc w:val="center"/>
                </w:pPr>
                <w:r>
                  <w:rPr>
                    <w:rFonts w:hint="eastAsia"/>
                  </w:rPr>
                  <w:t>主要原因</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textAlignment w:val="center"/>
            </w:pPr>
            <w:r>
              <w:rPr>
                <w:rFonts w:hint="eastAsia" w:ascii="宋体" w:hAnsi="宋体" w:cs="宋体"/>
                <w:color w:val="000000"/>
              </w:rPr>
              <w:t>买入返售金融资产</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64.37</w:t>
            </w:r>
          </w:p>
        </w:tc>
        <w:tc>
          <w:tcPr>
            <w:tcW w:w="2279" w:type="pct"/>
            <w:vAlign w:val="center"/>
          </w:tcPr>
          <w:p>
            <w:r>
              <w:rPr>
                <w:rFonts w:hint="eastAsia" w:ascii="宋体" w:hAnsi="宋体" w:cs="宋体"/>
                <w:color w:val="000000"/>
              </w:rPr>
              <w:t>买入返售债券业务增加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18" w:type="pct"/>
            <w:vAlign w:val="center"/>
          </w:tcPr>
          <w:p>
            <w:pPr>
              <w:textAlignment w:val="center"/>
            </w:pPr>
            <w:r>
              <w:rPr>
                <w:rFonts w:hint="eastAsia" w:ascii="宋体" w:hAnsi="宋体" w:cs="宋体"/>
                <w:color w:val="000000"/>
              </w:rPr>
              <w:t>交易性金融资产</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930.40</w:t>
            </w:r>
          </w:p>
        </w:tc>
        <w:tc>
          <w:tcPr>
            <w:tcW w:w="2279" w:type="pct"/>
            <w:vAlign w:val="center"/>
          </w:tcPr>
          <w:p>
            <w:r>
              <w:rPr>
                <w:rFonts w:hint="eastAsia" w:ascii="宋体" w:hAnsi="宋体" w:cs="宋体"/>
                <w:color w:val="000000"/>
              </w:rPr>
              <w:t>同业存单增加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textAlignment w:val="center"/>
            </w:pPr>
            <w:r>
              <w:rPr>
                <w:rFonts w:hint="eastAsia"/>
              </w:rPr>
              <w:t>向中央银行借款</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33.20</w:t>
            </w:r>
          </w:p>
        </w:tc>
        <w:tc>
          <w:tcPr>
            <w:tcW w:w="2279" w:type="pct"/>
            <w:vAlign w:val="center"/>
          </w:tcPr>
          <w:p>
            <w:r>
              <w:rPr>
                <w:rFonts w:hint="eastAsia"/>
              </w:rPr>
              <w:t>再贷款业务增加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textAlignment w:val="center"/>
            </w:pPr>
            <w:r>
              <w:rPr>
                <w:rFonts w:hint="eastAsia" w:ascii="宋体" w:hAnsi="宋体" w:cs="宋体"/>
                <w:color w:val="000000"/>
              </w:rPr>
              <w:t>同业及其他金融机构存放款项</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54.15</w:t>
            </w:r>
          </w:p>
        </w:tc>
        <w:tc>
          <w:tcPr>
            <w:tcW w:w="2279" w:type="pct"/>
            <w:vAlign w:val="center"/>
          </w:tcPr>
          <w:p>
            <w:r>
              <w:rPr>
                <w:rFonts w:hint="eastAsia" w:ascii="宋体" w:hAnsi="宋体" w:cs="宋体"/>
                <w:color w:val="000000"/>
              </w:rPr>
              <w:t>同业存入资金增加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18" w:type="pct"/>
            <w:vAlign w:val="center"/>
          </w:tcPr>
          <w:p>
            <w:pPr>
              <w:textAlignment w:val="center"/>
            </w:pPr>
            <w:r>
              <w:rPr>
                <w:rFonts w:hint="eastAsia" w:ascii="宋体" w:hAnsi="宋体" w:cs="宋体"/>
                <w:color w:val="000000"/>
              </w:rPr>
              <w:t>卖出回购金融资产款</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-34.06</w:t>
            </w:r>
          </w:p>
        </w:tc>
        <w:tc>
          <w:tcPr>
            <w:tcW w:w="2279" w:type="pct"/>
            <w:vAlign w:val="center"/>
          </w:tcPr>
          <w:p>
            <w:r>
              <w:rPr>
                <w:rFonts w:hint="eastAsia" w:ascii="宋体" w:hAnsi="宋体" w:cs="宋体"/>
                <w:color w:val="000000"/>
              </w:rPr>
              <w:t>卖出回购债券业务减少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textAlignment w:val="center"/>
            </w:pPr>
            <w:r>
              <w:rPr>
                <w:rFonts w:hint="eastAsia"/>
              </w:rPr>
              <w:t>应付职工薪酬</w:t>
            </w:r>
          </w:p>
        </w:tc>
        <w:tc>
          <w:tcPr>
            <w:tcW w:w="902" w:type="pct"/>
            <w:shd w:val="clear" w:color="auto" w:fill="auto"/>
            <w:vAlign w:val="center"/>
          </w:tcPr>
          <w:p>
            <w:pPr>
              <w:jc w:val="right"/>
              <w:textAlignment w:val="center"/>
              <w:rPr>
                <w:rFonts w:ascii="宋体" w:hAnsi="宋体" w:cs="宋体"/>
                <w:color w:val="000000"/>
              </w:rPr>
            </w:pPr>
            <w:r>
              <w:rPr>
                <w:rFonts w:hint="eastAsia" w:ascii="宋体" w:hAnsi="宋体" w:cs="宋体"/>
                <w:color w:val="000000"/>
              </w:rPr>
              <w:t>-69.82</w:t>
            </w:r>
          </w:p>
        </w:tc>
        <w:tc>
          <w:tcPr>
            <w:tcW w:w="2279" w:type="pct"/>
            <w:shd w:val="clear" w:color="auto" w:fill="auto"/>
            <w:vAlign w:val="center"/>
          </w:tcPr>
          <w:p>
            <w:r>
              <w:rPr>
                <w:rFonts w:hint="eastAsia"/>
                <w:shd w:val="clear"/>
              </w:rPr>
              <w:t>优化绩效薪酬发放频率，由按季发放改为按月发放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textAlignment w:val="center"/>
            </w:pPr>
            <w:r>
              <w:rPr>
                <w:rFonts w:hint="eastAsia" w:ascii="宋体" w:hAnsi="宋体" w:cs="宋体"/>
                <w:color w:val="000000"/>
              </w:rPr>
              <w:t>递延所得税负债</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77.56</w:t>
            </w:r>
          </w:p>
        </w:tc>
        <w:tc>
          <w:tcPr>
            <w:tcW w:w="2279" w:type="pct"/>
            <w:vAlign w:val="center"/>
          </w:tcPr>
          <w:p>
            <w:r>
              <w:rPr>
                <w:rFonts w:hint="eastAsia" w:ascii="宋体" w:hAnsi="宋体" w:cs="宋体"/>
                <w:color w:val="000000"/>
              </w:rPr>
              <w:t>其他债权投资公允价值变动对应的递延所得税负债增加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18" w:type="pct"/>
            <w:vAlign w:val="center"/>
          </w:tcPr>
          <w:p>
            <w:pPr>
              <w:textAlignment w:val="center"/>
            </w:pPr>
            <w:r>
              <w:rPr>
                <w:rFonts w:hint="eastAsia"/>
              </w:rPr>
              <w:t>其他权益工具</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-100.00</w:t>
            </w:r>
          </w:p>
        </w:tc>
        <w:tc>
          <w:tcPr>
            <w:tcW w:w="2279" w:type="pct"/>
            <w:vAlign w:val="center"/>
          </w:tcPr>
          <w:p>
            <w:r>
              <w:rPr>
                <w:rFonts w:hint="eastAsia"/>
              </w:rPr>
              <w:t>可转债到期兑付对应权益部分转出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textAlignment w:val="center"/>
            </w:pPr>
            <w:r>
              <w:rPr>
                <w:rFonts w:hint="eastAsia" w:ascii="宋体" w:hAnsi="宋体" w:cs="宋体"/>
                <w:color w:val="000000"/>
              </w:rPr>
              <w:t>其他综合收益</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108.98</w:t>
            </w:r>
          </w:p>
        </w:tc>
        <w:tc>
          <w:tcPr>
            <w:tcW w:w="2279" w:type="pct"/>
            <w:vAlign w:val="center"/>
          </w:tcPr>
          <w:p>
            <w:r>
              <w:rPr>
                <w:rFonts w:hint="eastAsia" w:ascii="宋体" w:hAnsi="宋体" w:cs="宋体"/>
                <w:color w:val="000000"/>
              </w:rPr>
              <w:t>将重分类进损益的其他综合收益-其他债权投资公允价值变动增加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textAlignment w:val="center"/>
            </w:pPr>
            <w:r>
              <w:rPr>
                <w:rFonts w:hint="eastAsia" w:ascii="宋体" w:hAnsi="宋体" w:cs="宋体"/>
                <w:color w:val="000000"/>
              </w:rPr>
              <w:t>手续费及佣金支出</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-37.50</w:t>
            </w:r>
          </w:p>
        </w:tc>
        <w:tc>
          <w:tcPr>
            <w:tcW w:w="2279" w:type="pct"/>
            <w:vAlign w:val="center"/>
          </w:tcPr>
          <w:p>
            <w:r>
              <w:rPr>
                <w:rFonts w:hint="eastAsia" w:ascii="宋体" w:hAnsi="宋体" w:cs="宋体"/>
                <w:color w:val="000000"/>
              </w:rPr>
              <w:t>手续费及佣金支出减少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18" w:type="pct"/>
            <w:vAlign w:val="center"/>
          </w:tcPr>
          <w:p>
            <w:pPr>
              <w:textAlignment w:val="center"/>
            </w:pPr>
            <w:r>
              <w:rPr>
                <w:rFonts w:hint="eastAsia" w:ascii="宋体" w:hAnsi="宋体" w:cs="宋体"/>
                <w:color w:val="000000"/>
              </w:rPr>
              <w:t>其他收益</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653.56</w:t>
            </w:r>
          </w:p>
        </w:tc>
        <w:tc>
          <w:tcPr>
            <w:tcW w:w="2279" w:type="pct"/>
            <w:vAlign w:val="center"/>
          </w:tcPr>
          <w:p>
            <w:r>
              <w:rPr>
                <w:rFonts w:hint="eastAsia" w:ascii="宋体" w:hAnsi="宋体" w:cs="宋体"/>
                <w:color w:val="000000"/>
              </w:rPr>
              <w:t>其他收益增加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textAlignment w:val="center"/>
            </w:pPr>
            <w:r>
              <w:rPr>
                <w:rFonts w:hint="eastAsia" w:ascii="宋体" w:hAnsi="宋体" w:cs="宋体"/>
                <w:color w:val="000000"/>
              </w:rPr>
              <w:t>资产处置收益</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-65.27</w:t>
            </w:r>
          </w:p>
        </w:tc>
        <w:tc>
          <w:tcPr>
            <w:tcW w:w="2279" w:type="pct"/>
            <w:vAlign w:val="center"/>
          </w:tcPr>
          <w:p>
            <w:r>
              <w:rPr>
                <w:rFonts w:hint="eastAsia" w:ascii="宋体" w:hAnsi="宋体" w:cs="宋体"/>
                <w:color w:val="000000"/>
              </w:rPr>
              <w:t>资产清理收益减少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textAlignment w:val="center"/>
            </w:pPr>
            <w:r>
              <w:rPr>
                <w:rFonts w:hint="eastAsia" w:ascii="宋体" w:hAnsi="宋体" w:cs="宋体"/>
                <w:color w:val="000000"/>
              </w:rPr>
              <w:t>营业外支出</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-32.49</w:t>
            </w:r>
          </w:p>
        </w:tc>
        <w:tc>
          <w:tcPr>
            <w:tcW w:w="2279" w:type="pct"/>
            <w:vAlign w:val="center"/>
          </w:tcPr>
          <w:p>
            <w:r>
              <w:rPr>
                <w:rFonts w:hint="eastAsia"/>
              </w:rPr>
              <w:t>赔款或罚款支出减少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18" w:type="pct"/>
            <w:vAlign w:val="center"/>
          </w:tcPr>
          <w:p>
            <w:r>
              <w:rPr>
                <w:rFonts w:hint="eastAsia"/>
              </w:rPr>
              <w:t>所得税费用</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-51.31</w:t>
            </w:r>
          </w:p>
        </w:tc>
        <w:tc>
          <w:tcPr>
            <w:tcW w:w="2279" w:type="pct"/>
            <w:vAlign w:val="center"/>
          </w:tcPr>
          <w:p>
            <w:r>
              <w:rPr>
                <w:rFonts w:hint="eastAsia"/>
              </w:rPr>
              <w:t>所得税费用减少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pPr>
              <w:textAlignment w:val="center"/>
            </w:pPr>
            <w:r>
              <w:rPr>
                <w:rFonts w:hint="eastAsia" w:ascii="宋体" w:hAnsi="宋体" w:cs="宋体"/>
                <w:color w:val="000000"/>
              </w:rPr>
              <w:t>经营活动产生的现金流量净额</w:t>
            </w:r>
            <w:r>
              <w:rPr>
                <w:rFonts w:hint="eastAsia"/>
              </w:rPr>
              <w:t>_年初至报告期末</w:t>
            </w:r>
          </w:p>
        </w:tc>
        <w:tc>
          <w:tcPr>
            <w:tcW w:w="902" w:type="pct"/>
            <w:vAlign w:val="center"/>
          </w:tcPr>
          <w:p>
            <w:pPr>
              <w:jc w:val="right"/>
              <w:textAlignment w:val="center"/>
              <w:rPr>
                <w:rFonts w:ascii="宋体" w:hAnsi="宋体" w:cs="宋体"/>
                <w:color w:val="000000"/>
              </w:rPr>
            </w:pPr>
            <w:r>
              <w:rPr>
                <w:rFonts w:hint="eastAsia" w:ascii="宋体" w:hAnsi="宋体" w:cs="宋体"/>
                <w:color w:val="000000"/>
                <w:shd w:val="clear"/>
              </w:rPr>
              <w:t>-84.84</w:t>
            </w:r>
          </w:p>
        </w:tc>
        <w:tc>
          <w:tcPr>
            <w:tcW w:w="2279" w:type="pct"/>
            <w:vAlign w:val="center"/>
          </w:tcPr>
          <w:p>
            <w:pPr>
              <w:textAlignment w:val="center"/>
            </w:pPr>
            <w:r>
              <w:rPr>
                <w:rFonts w:hint="eastAsia"/>
              </w:rPr>
              <w:t>回购业务资金净额减少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8" w:type="pct"/>
            <w:vAlign w:val="center"/>
          </w:tcPr>
          <w:p>
            <w:r>
              <w:rPr>
                <w:rFonts w:hint="eastAsia"/>
              </w:rPr>
              <w:t>利润总额_本报告期</w:t>
            </w:r>
          </w:p>
        </w:tc>
        <w:tc>
          <w:tcPr>
            <w:tcW w:w="902" w:type="pct"/>
            <w:vAlign w:val="center"/>
          </w:tcPr>
          <w:p>
            <w:pPr>
              <w:jc w:val="right"/>
              <w:textAlignment w:val="center"/>
              <w:rPr>
                <w:rFonts w:ascii="宋体" w:hAnsi="宋体" w:cs="宋体"/>
                <w:color w:val="000000"/>
              </w:rPr>
            </w:pPr>
            <w:r>
              <w:rPr>
                <w:rFonts w:hint="eastAsia" w:ascii="宋体" w:hAnsi="宋体" w:cs="宋体"/>
                <w:color w:val="000000"/>
              </w:rPr>
              <w:t>-44.22</w:t>
            </w:r>
          </w:p>
        </w:tc>
        <w:tc>
          <w:tcPr>
            <w:tcW w:w="2279" w:type="pct"/>
            <w:vAlign w:val="center"/>
          </w:tcPr>
          <w:p>
            <w:r>
              <w:rPr>
                <w:rFonts w:hint="eastAsia"/>
              </w:rPr>
              <w:t>信用减值损失增加</w:t>
            </w:r>
          </w:p>
        </w:tc>
      </w:tr>
    </w:tbl>
    <w:p>
      <w:pPr>
        <w:pStyle w:val="22"/>
        <w:adjustRightInd w:val="0"/>
        <w:snapToGrid w:val="0"/>
        <w:rPr>
          <w:rFonts w:hint="default" w:hAnsi="Times New Roman"/>
          <w:kern w:val="0"/>
          <w:sz w:val="21"/>
        </w:rPr>
      </w:pPr>
    </w:p>
    <w:bookmarkEnd w:id="19"/>
    <w:p>
      <w:pPr>
        <w:pStyle w:val="2"/>
        <w:numPr>
          <w:ilvl w:val="0"/>
          <w:numId w:val="1"/>
        </w:numPr>
        <w:tabs>
          <w:tab w:val="left" w:pos="434"/>
          <w:tab w:val="left" w:pos="882"/>
        </w:tabs>
        <w:spacing w:before="0" w:after="0" w:line="360" w:lineRule="auto"/>
      </w:pPr>
      <w:r>
        <w:t>股东信息</w:t>
      </w:r>
    </w:p>
    <w:p>
      <w:pPr>
        <w:pStyle w:val="3"/>
        <w:numPr>
          <w:ilvl w:val="0"/>
          <w:numId w:val="3"/>
        </w:numPr>
        <w:tabs>
          <w:tab w:val="left" w:pos="709"/>
        </w:tabs>
        <w:spacing w:before="0" w:after="0" w:line="360" w:lineRule="auto"/>
        <w:ind w:left="0" w:firstLine="0"/>
        <w:rPr>
          <w:rStyle w:val="47"/>
          <w:rFonts w:ascii="Times New Roman" w:hAnsi="Times New Roman"/>
        </w:rPr>
      </w:pPr>
      <w:bookmarkStart w:id="20" w:name="_Hlk83369742"/>
      <w:bookmarkStart w:id="21" w:name="_Hlk41062485"/>
      <w:r>
        <w:rPr>
          <w:rStyle w:val="47"/>
          <w:rFonts w:hint="eastAsia" w:ascii="Times New Roman" w:hAnsi="Times New Roman"/>
        </w:rPr>
        <w:t>普通股股东总数和表决权恢复的优先股股东数量及前十名股东持股情况表</w:t>
      </w:r>
    </w:p>
    <w:p>
      <w:pPr>
        <w:ind w:right="210"/>
        <w:jc w:val="right"/>
        <w:rPr>
          <w:bCs/>
        </w:rPr>
      </w:pPr>
      <w:r>
        <w:rPr>
          <w:rFonts w:hint="eastAsia"/>
          <w:bCs/>
        </w:rPr>
        <w:t>单位：</w:t>
      </w:r>
      <w:sdt>
        <w:sdtPr>
          <w:rPr>
            <w:rFonts w:hint="eastAsia"/>
            <w:bCs/>
          </w:rPr>
          <w:alias w:val="单位_报告期末股东总人数及前十名流通股东（或无限售条件股东）持股情况"/>
          <w:tag w:val="_GBC_4f06b1a16c3a4551aa1c48b8dfa345f8"/>
          <w:id w:val="147457803"/>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rPr>
            <w:rFonts w:hint="eastAsia"/>
            <w:bCs/>
          </w:rPr>
        </w:sdtEndPr>
        <w:sdtContent>
          <w:r>
            <w:rPr>
              <w:rFonts w:hint="eastAsia"/>
              <w:bCs/>
            </w:rPr>
            <w:t>股</w:t>
          </w:r>
        </w:sdtContent>
      </w:sdt>
    </w:p>
    <w:tbl>
      <w:tblPr>
        <w:tblStyle w:val="38"/>
        <w:tblW w:w="4888"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1"/>
        <w:gridCol w:w="1334"/>
        <w:gridCol w:w="1439"/>
        <w:gridCol w:w="780"/>
        <w:gridCol w:w="1512"/>
        <w:gridCol w:w="689"/>
        <w:gridCol w:w="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6cdf8e4acc18411fbe478938d378755b"/>
            <w:id w:val="147470237"/>
          </w:sdtPr>
          <w:sdtContent>
            <w:tc>
              <w:tcPr>
                <w:tcW w:w="1513" w:type="pct"/>
                <w:vAlign w:val="center"/>
              </w:tcPr>
              <w:p>
                <w:pPr>
                  <w:pStyle w:val="17"/>
                  <w:jc w:val="left"/>
                </w:pPr>
                <w:bookmarkStart w:id="22" w:name="_Hlk83220795"/>
                <w:r>
                  <w:rPr>
                    <w:rFonts w:hint="eastAsia"/>
                  </w:rPr>
                  <w:t>报告期末普通股股东总数</w:t>
                </w:r>
              </w:p>
            </w:tc>
          </w:sdtContent>
        </w:sdt>
        <w:sdt>
          <w:sdtPr>
            <w:alias w:val="报告期末股东总数"/>
            <w:tag w:val="_GBC_1f6295ac935b48e29ceae86e1d54f7a9"/>
            <w:id w:val="147453218"/>
          </w:sdtPr>
          <w:sdtContent>
            <w:tc>
              <w:tcPr>
                <w:tcW w:w="713" w:type="pct"/>
                <w:vAlign w:val="center"/>
              </w:tcPr>
              <w:p>
                <w:pPr>
                  <w:pStyle w:val="17"/>
                  <w:jc w:val="right"/>
                </w:pPr>
                <w:r>
                  <w:rPr>
                    <w:rFonts w:hint="eastAsia" w:asciiTheme="minorEastAsia" w:hAnsiTheme="minorEastAsia" w:eastAsiaTheme="minorEastAsia" w:cstheme="minorEastAsia"/>
                  </w:rPr>
                  <w:t>59,652</w:t>
                </w:r>
              </w:p>
            </w:tc>
          </w:sdtContent>
        </w:sdt>
        <w:sdt>
          <w:sdtPr>
            <w:tag w:val="_PLD_9f6238c9331c4c35bffc8a124fac6aaf"/>
            <w:id w:val="147464052"/>
          </w:sdtPr>
          <w:sdtContent>
            <w:tc>
              <w:tcPr>
                <w:tcW w:w="1994" w:type="pct"/>
                <w:gridSpan w:val="3"/>
                <w:vAlign w:val="center"/>
              </w:tcPr>
              <w:p>
                <w:pPr>
                  <w:pStyle w:val="17"/>
                  <w:jc w:val="left"/>
                </w:pPr>
                <w:r>
                  <w:rPr>
                    <w:rFonts w:hint="eastAsia" w:cs="宋体"/>
                    <w:kern w:val="0"/>
                  </w:rPr>
                  <w:t>报告期末表决权恢复的优先股股东总数（如有）</w:t>
                </w:r>
              </w:p>
            </w:tc>
          </w:sdtContent>
        </w:sdt>
        <w:sdt>
          <w:sdtPr>
            <w:alias w:val="报告期末表决权恢复的优先股股东总数"/>
            <w:tag w:val="_GBC_6fcd00abc86d41ada6c018ca429a4a5f"/>
            <w:id w:val="147473968"/>
          </w:sdtPr>
          <w:sdtContent>
            <w:tc>
              <w:tcPr>
                <w:tcW w:w="778" w:type="pct"/>
                <w:gridSpan w:val="2"/>
                <w:vAlign w:val="center"/>
              </w:tcPr>
              <w:p>
                <w:pPr>
                  <w:pStyle w:val="17"/>
                  <w:jc w:val="right"/>
                </w:pPr>
                <w:r>
                  <w:rPr>
                    <w:rFonts w:hint="eastAsia"/>
                  </w:rPr>
                  <w:t>0</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b38e2aa737a549ab9905b3f2856683ef"/>
            <w:id w:val="147469815"/>
          </w:sdtPr>
          <w:sdtContent>
            <w:tc>
              <w:tcPr>
                <w:tcW w:w="5000" w:type="pct"/>
                <w:gridSpan w:val="7"/>
                <w:vAlign w:val="center"/>
              </w:tcPr>
              <w:p>
                <w:pPr>
                  <w:pStyle w:val="17"/>
                  <w:jc w:val="center"/>
                </w:pPr>
                <w:r>
                  <w:t>前</w:t>
                </w:r>
                <w:r>
                  <w:rPr>
                    <w:rFonts w:hint="eastAsia"/>
                  </w:rPr>
                  <w:t>1</w:t>
                </w:r>
                <w:r>
                  <w:t>0名股东持股情况</w:t>
                </w:r>
                <w:r>
                  <w:rPr>
                    <w:rFonts w:hint="eastAsia"/>
                  </w:rPr>
                  <w:t>（不含通过转融通出借股份）</w:t>
                </w:r>
              </w:p>
            </w:tc>
          </w:sdtContent>
        </w:sdt>
      </w:tr>
      <w:bookmarkEnd w:id="2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sdt>
          <w:sdtPr>
            <w:tag w:val="_PLD_4e820805b96d4dafa815610a45082a54"/>
            <w:id w:val="147454852"/>
          </w:sdtPr>
          <w:sdtContent>
            <w:tc>
              <w:tcPr>
                <w:tcW w:w="1513" w:type="pct"/>
                <w:vMerge w:val="restart"/>
                <w:vAlign w:val="center"/>
              </w:tcPr>
              <w:p>
                <w:pPr>
                  <w:jc w:val="center"/>
                </w:pPr>
                <w:r>
                  <w:t>股东名称</w:t>
                </w:r>
              </w:p>
            </w:tc>
          </w:sdtContent>
        </w:sdt>
        <w:sdt>
          <w:sdtPr>
            <w:tag w:val="_PLD_aecefc66805a488886e6f53f28322c7d"/>
            <w:id w:val="147483077"/>
          </w:sdtPr>
          <w:sdtContent>
            <w:tc>
              <w:tcPr>
                <w:tcW w:w="713" w:type="pct"/>
                <w:vMerge w:val="restart"/>
                <w:vAlign w:val="center"/>
              </w:tcPr>
              <w:p>
                <w:pPr>
                  <w:jc w:val="center"/>
                </w:pPr>
                <w:r>
                  <w:t>股东性质</w:t>
                </w:r>
              </w:p>
            </w:tc>
          </w:sdtContent>
        </w:sdt>
        <w:tc>
          <w:tcPr>
            <w:tcW w:w="769" w:type="pct"/>
            <w:vMerge w:val="restart"/>
            <w:vAlign w:val="center"/>
          </w:tcPr>
          <w:sdt>
            <w:sdtPr>
              <w:tag w:val="_PLD_cef84f92e0854385af40ba329a880004"/>
              <w:id w:val="147466644"/>
            </w:sdtPr>
            <w:sdtEndPr>
              <w:rPr>
                <w:rFonts w:hint="eastAsia"/>
                <w:szCs w:val="20"/>
              </w:rPr>
            </w:sdtEndPr>
            <w:sdtContent>
              <w:p>
                <w:pPr>
                  <w:jc w:val="center"/>
                </w:pPr>
                <w:r>
                  <w:t>持股数量</w:t>
                </w:r>
              </w:p>
            </w:sdtContent>
          </w:sdt>
        </w:tc>
        <w:sdt>
          <w:sdtPr>
            <w:tag w:val="_PLD_75bdc5fe39d9475d8ceb0ace62aa33a6"/>
            <w:id w:val="147469437"/>
          </w:sdtPr>
          <w:sdtContent>
            <w:tc>
              <w:tcPr>
                <w:tcW w:w="416" w:type="pct"/>
                <w:vMerge w:val="restart"/>
                <w:vAlign w:val="center"/>
              </w:tcPr>
              <w:p>
                <w:pPr>
                  <w:jc w:val="center"/>
                </w:pPr>
                <w:r>
                  <w:rPr>
                    <w:rFonts w:hint="eastAsia"/>
                  </w:rPr>
                  <w:t>持股</w:t>
                </w:r>
                <w:r>
                  <w:t>比例(%)</w:t>
                </w:r>
              </w:p>
            </w:tc>
          </w:sdtContent>
        </w:sdt>
        <w:sdt>
          <w:sdtPr>
            <w:tag w:val="_PLD_c0367bf9f0594af1a8ccc8ac1c3973a2"/>
            <w:id w:val="147469968"/>
          </w:sdtPr>
          <w:sdtContent>
            <w:tc>
              <w:tcPr>
                <w:tcW w:w="808" w:type="pct"/>
                <w:vMerge w:val="restart"/>
                <w:vAlign w:val="center"/>
              </w:tcPr>
              <w:p>
                <w:pPr>
                  <w:pStyle w:val="12"/>
                  <w:rPr>
                    <w:bCs/>
                    <w:color w:val="00B050"/>
                  </w:rPr>
                </w:pPr>
                <w:r>
                  <w:rPr>
                    <w:bCs/>
                  </w:rPr>
                  <w:t>持有有限售条件股份数量</w:t>
                </w:r>
              </w:p>
            </w:tc>
          </w:sdtContent>
        </w:sdt>
        <w:tc>
          <w:tcPr>
            <w:tcW w:w="778" w:type="pct"/>
            <w:gridSpan w:val="2"/>
            <w:vAlign w:val="center"/>
          </w:tcPr>
          <w:sdt>
            <w:sdtPr>
              <w:tag w:val="_PLD_6c53c0945c5a49e183a4227f2e577924"/>
              <w:id w:val="147456640"/>
            </w:sdtPr>
            <w:sdtContent>
              <w:p>
                <w:pPr>
                  <w:jc w:val="center"/>
                </w:pPr>
                <w:r>
                  <w:t>质押</w:t>
                </w:r>
                <w:r>
                  <w:rPr>
                    <w:rFonts w:hint="eastAsia"/>
                  </w:rPr>
                  <w:t>、标记</w:t>
                </w:r>
                <w:r>
                  <w:t>或冻结情</w:t>
                </w:r>
                <w:r>
                  <w:rPr>
                    <w:rFonts w:hint="eastAsia"/>
                  </w:rPr>
                  <w:t>况</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513" w:type="pct"/>
            <w:vMerge w:val="continue"/>
            <w:vAlign w:val="center"/>
          </w:tcPr>
          <w:p>
            <w:pPr>
              <w:jc w:val="center"/>
            </w:pPr>
          </w:p>
        </w:tc>
        <w:tc>
          <w:tcPr>
            <w:tcW w:w="713" w:type="pct"/>
            <w:vMerge w:val="continue"/>
            <w:vAlign w:val="center"/>
          </w:tcPr>
          <w:p>
            <w:pPr>
              <w:jc w:val="center"/>
            </w:pPr>
          </w:p>
        </w:tc>
        <w:tc>
          <w:tcPr>
            <w:tcW w:w="769" w:type="pct"/>
            <w:vMerge w:val="continue"/>
            <w:vAlign w:val="center"/>
          </w:tcPr>
          <w:p>
            <w:pPr>
              <w:jc w:val="center"/>
            </w:pPr>
          </w:p>
        </w:tc>
        <w:tc>
          <w:tcPr>
            <w:tcW w:w="416" w:type="pct"/>
            <w:vMerge w:val="continue"/>
            <w:vAlign w:val="center"/>
          </w:tcPr>
          <w:p>
            <w:pPr>
              <w:jc w:val="center"/>
            </w:pPr>
          </w:p>
        </w:tc>
        <w:tc>
          <w:tcPr>
            <w:tcW w:w="808" w:type="pct"/>
            <w:vMerge w:val="continue"/>
            <w:vAlign w:val="center"/>
          </w:tcPr>
          <w:p>
            <w:pPr>
              <w:pStyle w:val="12"/>
            </w:pPr>
          </w:p>
        </w:tc>
        <w:tc>
          <w:tcPr>
            <w:tcW w:w="368" w:type="pct"/>
            <w:vAlign w:val="center"/>
          </w:tcPr>
          <w:sdt>
            <w:sdtPr>
              <w:tag w:val="_PLD_5d6b4761c14743189fbf372de9f040f5"/>
              <w:id w:val="147470473"/>
            </w:sdtPr>
            <w:sdtContent>
              <w:p>
                <w:pPr>
                  <w:jc w:val="center"/>
                </w:pPr>
                <w:r>
                  <w:t>股份状态</w:t>
                </w:r>
              </w:p>
            </w:sdtContent>
          </w:sdt>
        </w:tc>
        <w:tc>
          <w:tcPr>
            <w:tcW w:w="409" w:type="pct"/>
            <w:vAlign w:val="center"/>
          </w:tcPr>
          <w:sdt>
            <w:sdtPr>
              <w:tag w:val="_PLD_aab32442dbe64225a0df99d0496edc36"/>
              <w:id w:val="147478517"/>
            </w:sdtPr>
            <w:sdtContent>
              <w:p>
                <w:pPr>
                  <w:jc w:val="center"/>
                </w:pPr>
                <w:r>
                  <w:rPr>
                    <w:rFonts w:hint="eastAsia"/>
                  </w:rPr>
                  <w:t>数量</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南京紫金投资集团有限责任公司</w:t>
            </w:r>
          </w:p>
        </w:tc>
        <w:sdt>
          <w:sdtPr>
            <w:alias w:val="前十名股东的股东性质"/>
            <w:tag w:val="_GBC_84b497b2374546778d7295b82439a99e"/>
            <w:id w:val="147474412"/>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713" w:type="pct"/>
                <w:vAlign w:val="center"/>
              </w:tcPr>
              <w:p>
                <w:pPr>
                  <w:jc w:val="center"/>
                  <w:rPr>
                    <w:color w:val="FF9900"/>
                  </w:rPr>
                </w:pPr>
                <w:r>
                  <w:t>国有法人</w:t>
                </w:r>
              </w:p>
            </w:tc>
          </w:sdtContent>
        </w:sdt>
        <w:tc>
          <w:tcPr>
            <w:tcW w:w="769" w:type="pct"/>
            <w:vAlign w:val="center"/>
          </w:tcPr>
          <w:p>
            <w:pPr>
              <w:jc w:val="right"/>
              <w:textAlignment w:val="center"/>
            </w:pPr>
            <w:r>
              <w:rPr>
                <w:rFonts w:hint="eastAsia" w:ascii="宋体" w:hAnsi="宋体" w:cs="宋体"/>
                <w:color w:val="000000"/>
              </w:rPr>
              <w:t xml:space="preserve">328,129,524 </w:t>
            </w:r>
          </w:p>
        </w:tc>
        <w:tc>
          <w:tcPr>
            <w:tcW w:w="416" w:type="pct"/>
            <w:vAlign w:val="center"/>
          </w:tcPr>
          <w:p>
            <w:pPr>
              <w:jc w:val="right"/>
              <w:textAlignment w:val="center"/>
            </w:pPr>
            <w:r>
              <w:rPr>
                <w:rFonts w:hint="eastAsia" w:ascii="宋体" w:hAnsi="宋体" w:cs="宋体"/>
                <w:color w:val="000000"/>
              </w:rPr>
              <w:t>8.96</w:t>
            </w:r>
          </w:p>
        </w:tc>
        <w:tc>
          <w:tcPr>
            <w:tcW w:w="808" w:type="pct"/>
            <w:vAlign w:val="center"/>
          </w:tcPr>
          <w:p>
            <w:pPr>
              <w:jc w:val="right"/>
              <w:textAlignment w:val="center"/>
              <w:rPr>
                <w:rFonts w:ascii="宋体" w:hAnsi="宋体" w:cs="宋体"/>
                <w:color w:val="000000"/>
              </w:rPr>
            </w:pPr>
            <w:r>
              <w:rPr>
                <w:rFonts w:hint="eastAsia" w:ascii="宋体" w:hAnsi="宋体" w:cs="宋体"/>
                <w:color w:val="000000"/>
              </w:rPr>
              <w:t>0</w:t>
            </w:r>
          </w:p>
        </w:tc>
        <w:sdt>
          <w:sdtPr>
            <w:rPr>
              <w:rFonts w:hint="eastAsia" w:ascii="宋体" w:hAnsi="宋体" w:cs="宋体"/>
              <w:color w:val="000000"/>
            </w:rPr>
            <w:alias w:val="前十名股东持有股份状态"/>
            <w:tag w:val="_GBC_0c9fd99717cf4cd09ff5bd29e068c6fc"/>
            <w:id w:val="147461345"/>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rFonts w:hint="eastAsia" w:ascii="宋体" w:hAnsi="宋体" w:cs="宋体"/>
              <w:color w:val="000000"/>
            </w:rPr>
          </w:sdtEndPr>
          <w:sdtContent>
            <w:tc>
              <w:tcPr>
                <w:tcW w:w="368" w:type="pct"/>
                <w:vAlign w:val="center"/>
              </w:tcPr>
              <w:p>
                <w:pPr>
                  <w:jc w:val="right"/>
                  <w:textAlignment w:val="center"/>
                  <w:rPr>
                    <w:rFonts w:ascii="宋体" w:hAnsi="宋体" w:cs="宋体"/>
                    <w:color w:val="000000"/>
                  </w:rPr>
                </w:pPr>
                <w:r>
                  <w:rPr>
                    <w:rFonts w:hint="eastAsia" w:ascii="宋体" w:hAnsi="宋体" w:cs="宋体"/>
                    <w:color w:val="000000"/>
                  </w:rPr>
                  <w:t>无</w:t>
                </w:r>
              </w:p>
            </w:tc>
          </w:sdtContent>
        </w:sdt>
        <w:tc>
          <w:tcPr>
            <w:tcW w:w="409" w:type="pct"/>
            <w:vAlign w:val="center"/>
          </w:tcPr>
          <w:p>
            <w:pPr>
              <w:jc w:val="right"/>
              <w:textAlignment w:val="center"/>
              <w:rPr>
                <w:rFonts w:ascii="宋体" w:hAnsi="宋体" w:cs="宋体"/>
                <w:color w:val="000000"/>
              </w:rPr>
            </w:pPr>
            <w:r>
              <w:rPr>
                <w:rFonts w:hint="eastAsia" w:ascii="宋体" w:hAnsi="宋体" w:cs="宋体"/>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江苏省国信集团有限公司</w:t>
            </w:r>
          </w:p>
        </w:tc>
        <w:sdt>
          <w:sdtPr>
            <w:alias w:val="前十名股东的股东性质"/>
            <w:tag w:val="_GBC_84b497b2374546778d7295b82439a99e"/>
            <w:id w:val="147456197"/>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713" w:type="pct"/>
                <w:vAlign w:val="center"/>
              </w:tcPr>
              <w:p>
                <w:pPr>
                  <w:jc w:val="center"/>
                  <w:rPr>
                    <w:color w:val="FF9900"/>
                  </w:rPr>
                </w:pPr>
                <w:r>
                  <w:t>国有法人</w:t>
                </w:r>
              </w:p>
            </w:tc>
          </w:sdtContent>
        </w:sdt>
        <w:tc>
          <w:tcPr>
            <w:tcW w:w="769" w:type="pct"/>
            <w:vAlign w:val="center"/>
          </w:tcPr>
          <w:p>
            <w:pPr>
              <w:jc w:val="right"/>
              <w:textAlignment w:val="center"/>
            </w:pPr>
            <w:r>
              <w:rPr>
                <w:rFonts w:hint="eastAsia" w:ascii="宋体" w:hAnsi="宋体" w:cs="宋体"/>
                <w:color w:val="000000"/>
              </w:rPr>
              <w:t xml:space="preserve">267,852,322 </w:t>
            </w:r>
          </w:p>
        </w:tc>
        <w:tc>
          <w:tcPr>
            <w:tcW w:w="416" w:type="pct"/>
            <w:vAlign w:val="center"/>
          </w:tcPr>
          <w:p>
            <w:pPr>
              <w:jc w:val="right"/>
              <w:textAlignment w:val="center"/>
            </w:pPr>
            <w:r>
              <w:rPr>
                <w:rFonts w:hint="eastAsia" w:ascii="宋体" w:hAnsi="宋体" w:cs="宋体"/>
                <w:color w:val="000000"/>
              </w:rPr>
              <w:t>7.32</w:t>
            </w:r>
          </w:p>
        </w:tc>
        <w:tc>
          <w:tcPr>
            <w:tcW w:w="808" w:type="pct"/>
            <w:vAlign w:val="center"/>
          </w:tcPr>
          <w:p>
            <w:pPr>
              <w:jc w:val="right"/>
              <w:textAlignment w:val="center"/>
              <w:rPr>
                <w:rFonts w:ascii="宋体" w:hAnsi="宋体" w:cs="宋体"/>
                <w:color w:val="000000"/>
              </w:rPr>
            </w:pPr>
            <w:r>
              <w:rPr>
                <w:rFonts w:hint="eastAsia" w:ascii="宋体" w:hAnsi="宋体" w:cs="宋体"/>
                <w:color w:val="000000"/>
              </w:rPr>
              <w:t>0</w:t>
            </w:r>
          </w:p>
        </w:tc>
        <w:sdt>
          <w:sdtPr>
            <w:rPr>
              <w:rFonts w:hint="eastAsia" w:ascii="宋体" w:hAnsi="宋体" w:cs="宋体"/>
              <w:color w:val="000000"/>
            </w:rPr>
            <w:alias w:val="前十名股东持有股份状态"/>
            <w:tag w:val="_GBC_0c9fd99717cf4cd09ff5bd29e068c6fc"/>
            <w:id w:val="147458276"/>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rFonts w:hint="eastAsia" w:ascii="宋体" w:hAnsi="宋体" w:cs="宋体"/>
              <w:color w:val="000000"/>
            </w:rPr>
          </w:sdtEndPr>
          <w:sdtContent>
            <w:tc>
              <w:tcPr>
                <w:tcW w:w="368" w:type="pct"/>
                <w:vAlign w:val="center"/>
              </w:tcPr>
              <w:p>
                <w:pPr>
                  <w:jc w:val="right"/>
                  <w:textAlignment w:val="center"/>
                  <w:rPr>
                    <w:rFonts w:ascii="宋体" w:hAnsi="宋体" w:cs="宋体"/>
                    <w:color w:val="000000"/>
                  </w:rPr>
                </w:pPr>
                <w:r>
                  <w:rPr>
                    <w:rFonts w:hint="eastAsia" w:ascii="宋体" w:hAnsi="宋体" w:cs="宋体"/>
                    <w:color w:val="000000"/>
                  </w:rPr>
                  <w:t>无</w:t>
                </w:r>
              </w:p>
            </w:tc>
          </w:sdtContent>
        </w:sdt>
        <w:tc>
          <w:tcPr>
            <w:tcW w:w="409" w:type="pct"/>
            <w:vAlign w:val="center"/>
          </w:tcPr>
          <w:p>
            <w:pPr>
              <w:jc w:val="right"/>
              <w:textAlignment w:val="center"/>
              <w:rPr>
                <w:rFonts w:ascii="宋体" w:hAnsi="宋体" w:cs="宋体"/>
                <w:color w:val="000000"/>
              </w:rPr>
            </w:pPr>
            <w:r>
              <w:rPr>
                <w:rFonts w:hint="eastAsia" w:ascii="宋体" w:hAnsi="宋体" w:cs="宋体"/>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江苏苏豪投资集团有限公司</w:t>
            </w:r>
          </w:p>
        </w:tc>
        <w:sdt>
          <w:sdtPr>
            <w:alias w:val="前十名股东的股东性质"/>
            <w:tag w:val="_GBC_84b497b2374546778d7295b82439a99e"/>
            <w:id w:val="147456247"/>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713" w:type="pct"/>
                <w:vAlign w:val="center"/>
              </w:tcPr>
              <w:p>
                <w:pPr>
                  <w:jc w:val="center"/>
                  <w:rPr>
                    <w:color w:val="FF9900"/>
                  </w:rPr>
                </w:pPr>
                <w:r>
                  <w:t>国有法人</w:t>
                </w:r>
              </w:p>
            </w:tc>
          </w:sdtContent>
        </w:sdt>
        <w:tc>
          <w:tcPr>
            <w:tcW w:w="769" w:type="pct"/>
            <w:vAlign w:val="center"/>
          </w:tcPr>
          <w:p>
            <w:pPr>
              <w:jc w:val="right"/>
              <w:textAlignment w:val="center"/>
            </w:pPr>
            <w:r>
              <w:rPr>
                <w:rFonts w:hint="eastAsia" w:ascii="宋体" w:hAnsi="宋体" w:cs="宋体"/>
                <w:color w:val="000000"/>
              </w:rPr>
              <w:t xml:space="preserve">233,042,759 </w:t>
            </w:r>
          </w:p>
        </w:tc>
        <w:tc>
          <w:tcPr>
            <w:tcW w:w="416" w:type="pct"/>
            <w:vAlign w:val="center"/>
          </w:tcPr>
          <w:p>
            <w:pPr>
              <w:jc w:val="right"/>
              <w:textAlignment w:val="center"/>
            </w:pPr>
            <w:r>
              <w:rPr>
                <w:rFonts w:hint="eastAsia" w:ascii="宋体" w:hAnsi="宋体" w:cs="宋体"/>
                <w:color w:val="000000"/>
              </w:rPr>
              <w:t>6.37</w:t>
            </w:r>
          </w:p>
        </w:tc>
        <w:tc>
          <w:tcPr>
            <w:tcW w:w="808" w:type="pct"/>
            <w:vAlign w:val="center"/>
          </w:tcPr>
          <w:p>
            <w:pPr>
              <w:jc w:val="right"/>
              <w:textAlignment w:val="center"/>
              <w:rPr>
                <w:rFonts w:ascii="宋体" w:hAnsi="宋体" w:cs="宋体"/>
                <w:color w:val="000000"/>
              </w:rPr>
            </w:pPr>
            <w:r>
              <w:rPr>
                <w:rFonts w:hint="eastAsia" w:ascii="宋体" w:hAnsi="宋体" w:cs="宋体"/>
                <w:color w:val="000000"/>
              </w:rPr>
              <w:t>0</w:t>
            </w:r>
          </w:p>
        </w:tc>
        <w:sdt>
          <w:sdtPr>
            <w:rPr>
              <w:rFonts w:hint="eastAsia" w:ascii="宋体" w:hAnsi="宋体" w:cs="宋体"/>
              <w:color w:val="000000"/>
            </w:rPr>
            <w:alias w:val="前十名股东持有股份状态"/>
            <w:tag w:val="_GBC_0c9fd99717cf4cd09ff5bd29e068c6fc"/>
            <w:id w:val="147475454"/>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rFonts w:hint="eastAsia" w:ascii="宋体" w:hAnsi="宋体" w:cs="宋体"/>
              <w:color w:val="000000"/>
            </w:rPr>
          </w:sdtEndPr>
          <w:sdtContent>
            <w:tc>
              <w:tcPr>
                <w:tcW w:w="368" w:type="pct"/>
                <w:vAlign w:val="center"/>
              </w:tcPr>
              <w:p>
                <w:pPr>
                  <w:jc w:val="right"/>
                  <w:textAlignment w:val="center"/>
                  <w:rPr>
                    <w:rFonts w:ascii="宋体" w:hAnsi="宋体" w:cs="宋体"/>
                    <w:color w:val="000000"/>
                  </w:rPr>
                </w:pPr>
                <w:r>
                  <w:rPr>
                    <w:rFonts w:hint="eastAsia" w:ascii="宋体" w:hAnsi="宋体" w:cs="宋体"/>
                    <w:color w:val="000000"/>
                  </w:rPr>
                  <w:t>无</w:t>
                </w:r>
              </w:p>
            </w:tc>
          </w:sdtContent>
        </w:sdt>
        <w:tc>
          <w:tcPr>
            <w:tcW w:w="409" w:type="pct"/>
            <w:vAlign w:val="center"/>
          </w:tcPr>
          <w:p>
            <w:pPr>
              <w:jc w:val="right"/>
              <w:textAlignment w:val="center"/>
              <w:rPr>
                <w:rFonts w:ascii="宋体" w:hAnsi="宋体" w:cs="宋体"/>
                <w:color w:val="000000"/>
              </w:rPr>
            </w:pPr>
            <w:r>
              <w:rPr>
                <w:rFonts w:hint="eastAsia" w:ascii="宋体" w:hAnsi="宋体" w:cs="宋体"/>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南京市河西新城区国有资产经营控股（集团）有限责任公司</w:t>
            </w:r>
          </w:p>
        </w:tc>
        <w:sdt>
          <w:sdtPr>
            <w:alias w:val="前十名股东的股东性质"/>
            <w:tag w:val="_GBC_84b497b2374546778d7295b82439a99e"/>
            <w:id w:val="14748146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713" w:type="pct"/>
                <w:vAlign w:val="center"/>
              </w:tcPr>
              <w:p>
                <w:pPr>
                  <w:jc w:val="center"/>
                  <w:rPr>
                    <w:color w:val="FF9900"/>
                  </w:rPr>
                </w:pPr>
                <w:r>
                  <w:t>国有法人</w:t>
                </w:r>
              </w:p>
            </w:tc>
          </w:sdtContent>
        </w:sdt>
        <w:tc>
          <w:tcPr>
            <w:tcW w:w="769" w:type="pct"/>
            <w:vAlign w:val="center"/>
          </w:tcPr>
          <w:p>
            <w:pPr>
              <w:jc w:val="right"/>
              <w:textAlignment w:val="center"/>
            </w:pPr>
            <w:r>
              <w:rPr>
                <w:rFonts w:hint="eastAsia" w:ascii="宋体" w:hAnsi="宋体" w:cs="宋体"/>
                <w:color w:val="000000"/>
              </w:rPr>
              <w:t xml:space="preserve">93,232,360 </w:t>
            </w:r>
          </w:p>
        </w:tc>
        <w:tc>
          <w:tcPr>
            <w:tcW w:w="416" w:type="pct"/>
            <w:vAlign w:val="center"/>
          </w:tcPr>
          <w:p>
            <w:pPr>
              <w:jc w:val="right"/>
              <w:textAlignment w:val="center"/>
            </w:pPr>
            <w:r>
              <w:rPr>
                <w:rFonts w:hint="eastAsia" w:ascii="宋体" w:hAnsi="宋体" w:cs="宋体"/>
                <w:color w:val="000000"/>
              </w:rPr>
              <w:t>2.55</w:t>
            </w:r>
          </w:p>
        </w:tc>
        <w:tc>
          <w:tcPr>
            <w:tcW w:w="808" w:type="pct"/>
            <w:vAlign w:val="center"/>
          </w:tcPr>
          <w:p>
            <w:pPr>
              <w:jc w:val="right"/>
              <w:textAlignment w:val="center"/>
              <w:rPr>
                <w:rFonts w:ascii="宋体" w:hAnsi="宋体" w:cs="宋体"/>
                <w:color w:val="000000"/>
              </w:rPr>
            </w:pPr>
            <w:r>
              <w:rPr>
                <w:rFonts w:hint="eastAsia" w:ascii="宋体" w:hAnsi="宋体" w:cs="宋体"/>
                <w:color w:val="000000"/>
              </w:rPr>
              <w:t>0</w:t>
            </w:r>
          </w:p>
        </w:tc>
        <w:sdt>
          <w:sdtPr>
            <w:rPr>
              <w:rFonts w:hint="eastAsia" w:ascii="宋体" w:hAnsi="宋体" w:cs="宋体"/>
              <w:color w:val="000000"/>
            </w:rPr>
            <w:alias w:val="前十名股东持有股份状态"/>
            <w:tag w:val="_GBC_0c9fd99717cf4cd09ff5bd29e068c6fc"/>
            <w:id w:val="147471470"/>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rFonts w:hint="eastAsia" w:ascii="宋体" w:hAnsi="宋体" w:cs="宋体"/>
              <w:color w:val="000000"/>
            </w:rPr>
          </w:sdtEndPr>
          <w:sdtContent>
            <w:tc>
              <w:tcPr>
                <w:tcW w:w="368" w:type="pct"/>
                <w:vAlign w:val="center"/>
              </w:tcPr>
              <w:p>
                <w:pPr>
                  <w:jc w:val="right"/>
                  <w:textAlignment w:val="center"/>
                  <w:rPr>
                    <w:rFonts w:ascii="宋体" w:hAnsi="宋体" w:cs="宋体"/>
                    <w:color w:val="000000"/>
                  </w:rPr>
                </w:pPr>
                <w:r>
                  <w:rPr>
                    <w:rFonts w:hint="eastAsia" w:ascii="宋体" w:hAnsi="宋体" w:cs="宋体"/>
                    <w:color w:val="000000"/>
                  </w:rPr>
                  <w:t>无</w:t>
                </w:r>
              </w:p>
            </w:tc>
          </w:sdtContent>
        </w:sdt>
        <w:tc>
          <w:tcPr>
            <w:tcW w:w="409" w:type="pct"/>
            <w:vAlign w:val="center"/>
          </w:tcPr>
          <w:p>
            <w:pPr>
              <w:jc w:val="right"/>
              <w:textAlignment w:val="center"/>
              <w:rPr>
                <w:rFonts w:ascii="宋体" w:hAnsi="宋体" w:cs="宋体"/>
                <w:color w:val="000000"/>
              </w:rPr>
            </w:pPr>
            <w:r>
              <w:rPr>
                <w:rFonts w:hint="eastAsia" w:ascii="宋体" w:hAnsi="宋体" w:cs="宋体"/>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香港中央结算有限公司</w:t>
            </w:r>
          </w:p>
        </w:tc>
        <w:sdt>
          <w:sdtPr>
            <w:alias w:val="前十名股东的股东性质"/>
            <w:tag w:val="_GBC_84b497b2374546778d7295b82439a99e"/>
            <w:id w:val="147454001"/>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713" w:type="pct"/>
                <w:vAlign w:val="center"/>
              </w:tcPr>
              <w:p>
                <w:pPr>
                  <w:jc w:val="center"/>
                  <w:rPr>
                    <w:color w:val="FF9900"/>
                  </w:rPr>
                </w:pPr>
                <w:r>
                  <w:t>境内非国有法人</w:t>
                </w:r>
              </w:p>
            </w:tc>
          </w:sdtContent>
        </w:sdt>
        <w:tc>
          <w:tcPr>
            <w:tcW w:w="769" w:type="pct"/>
            <w:vAlign w:val="center"/>
          </w:tcPr>
          <w:p>
            <w:pPr>
              <w:jc w:val="right"/>
              <w:textAlignment w:val="center"/>
            </w:pPr>
            <w:r>
              <w:rPr>
                <w:rFonts w:hint="eastAsia" w:ascii="宋体" w:hAnsi="宋体" w:cs="宋体"/>
                <w:color w:val="000000"/>
              </w:rPr>
              <w:t xml:space="preserve">70,991,772 </w:t>
            </w:r>
          </w:p>
        </w:tc>
        <w:tc>
          <w:tcPr>
            <w:tcW w:w="416" w:type="pct"/>
            <w:vAlign w:val="center"/>
          </w:tcPr>
          <w:p>
            <w:pPr>
              <w:jc w:val="right"/>
              <w:textAlignment w:val="center"/>
            </w:pPr>
            <w:r>
              <w:rPr>
                <w:rFonts w:hint="eastAsia" w:ascii="宋体" w:hAnsi="宋体" w:cs="宋体"/>
                <w:color w:val="000000"/>
              </w:rPr>
              <w:t>1.94</w:t>
            </w:r>
          </w:p>
        </w:tc>
        <w:tc>
          <w:tcPr>
            <w:tcW w:w="808" w:type="pct"/>
            <w:vAlign w:val="center"/>
          </w:tcPr>
          <w:p>
            <w:pPr>
              <w:jc w:val="right"/>
              <w:textAlignment w:val="center"/>
              <w:rPr>
                <w:rFonts w:ascii="宋体" w:hAnsi="宋体" w:cs="宋体"/>
                <w:color w:val="000000"/>
              </w:rPr>
            </w:pPr>
            <w:r>
              <w:rPr>
                <w:rFonts w:hint="eastAsia" w:ascii="宋体" w:hAnsi="宋体" w:cs="宋体"/>
                <w:color w:val="000000"/>
              </w:rPr>
              <w:t>0</w:t>
            </w:r>
          </w:p>
        </w:tc>
        <w:sdt>
          <w:sdtPr>
            <w:rPr>
              <w:rFonts w:hint="eastAsia" w:ascii="宋体" w:hAnsi="宋体" w:cs="宋体"/>
              <w:color w:val="000000"/>
            </w:rPr>
            <w:alias w:val="前十名股东持有股份状态"/>
            <w:tag w:val="_GBC_0c9fd99717cf4cd09ff5bd29e068c6fc"/>
            <w:id w:val="147473026"/>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rFonts w:hint="eastAsia" w:ascii="宋体" w:hAnsi="宋体" w:cs="宋体"/>
              <w:color w:val="000000"/>
            </w:rPr>
          </w:sdtEndPr>
          <w:sdtContent>
            <w:tc>
              <w:tcPr>
                <w:tcW w:w="368" w:type="pct"/>
                <w:vAlign w:val="center"/>
              </w:tcPr>
              <w:p>
                <w:pPr>
                  <w:jc w:val="right"/>
                  <w:textAlignment w:val="center"/>
                  <w:rPr>
                    <w:rFonts w:ascii="宋体" w:hAnsi="宋体" w:cs="宋体"/>
                    <w:color w:val="000000"/>
                  </w:rPr>
                </w:pPr>
                <w:r>
                  <w:rPr>
                    <w:rFonts w:hint="eastAsia" w:ascii="宋体" w:hAnsi="宋体" w:cs="宋体"/>
                    <w:color w:val="000000"/>
                  </w:rPr>
                  <w:t>无</w:t>
                </w:r>
              </w:p>
            </w:tc>
          </w:sdtContent>
        </w:sdt>
        <w:tc>
          <w:tcPr>
            <w:tcW w:w="409" w:type="pct"/>
            <w:vAlign w:val="center"/>
          </w:tcPr>
          <w:p>
            <w:pPr>
              <w:jc w:val="right"/>
              <w:textAlignment w:val="center"/>
              <w:rPr>
                <w:rFonts w:ascii="宋体" w:hAnsi="宋体" w:cs="宋体"/>
                <w:color w:val="000000"/>
              </w:rPr>
            </w:pPr>
            <w:r>
              <w:rPr>
                <w:rFonts w:hint="eastAsia" w:ascii="宋体" w:hAnsi="宋体" w:cs="宋体"/>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胡永堂</w:t>
            </w:r>
          </w:p>
        </w:tc>
        <w:sdt>
          <w:sdtPr>
            <w:alias w:val="前十名股东的股东性质"/>
            <w:tag w:val="_GBC_84b497b2374546778d7295b82439a99e"/>
            <w:id w:val="147469841"/>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713" w:type="pct"/>
                <w:vAlign w:val="center"/>
              </w:tcPr>
              <w:p>
                <w:pPr>
                  <w:jc w:val="center"/>
                  <w:rPr>
                    <w:color w:val="FF9900"/>
                  </w:rPr>
                </w:pPr>
                <w:r>
                  <w:t>境内自然人</w:t>
                </w:r>
              </w:p>
            </w:tc>
          </w:sdtContent>
        </w:sdt>
        <w:tc>
          <w:tcPr>
            <w:tcW w:w="769" w:type="pct"/>
            <w:vAlign w:val="center"/>
          </w:tcPr>
          <w:p>
            <w:pPr>
              <w:jc w:val="right"/>
              <w:textAlignment w:val="center"/>
            </w:pPr>
            <w:r>
              <w:rPr>
                <w:rFonts w:hint="eastAsia" w:ascii="宋体" w:hAnsi="宋体" w:cs="宋体"/>
                <w:color w:val="000000"/>
              </w:rPr>
              <w:t xml:space="preserve">53,178,000 </w:t>
            </w:r>
          </w:p>
        </w:tc>
        <w:tc>
          <w:tcPr>
            <w:tcW w:w="416" w:type="pct"/>
            <w:vAlign w:val="center"/>
          </w:tcPr>
          <w:p>
            <w:pPr>
              <w:jc w:val="right"/>
              <w:textAlignment w:val="center"/>
            </w:pPr>
            <w:r>
              <w:rPr>
                <w:rFonts w:hint="eastAsia" w:ascii="宋体" w:hAnsi="宋体" w:cs="宋体"/>
                <w:color w:val="000000"/>
              </w:rPr>
              <w:t>1.45</w:t>
            </w:r>
          </w:p>
        </w:tc>
        <w:tc>
          <w:tcPr>
            <w:tcW w:w="808" w:type="pct"/>
            <w:vAlign w:val="center"/>
          </w:tcPr>
          <w:p>
            <w:pPr>
              <w:jc w:val="right"/>
              <w:textAlignment w:val="center"/>
              <w:rPr>
                <w:rFonts w:ascii="宋体" w:hAnsi="宋体" w:cs="宋体"/>
                <w:color w:val="000000"/>
              </w:rPr>
            </w:pPr>
            <w:r>
              <w:rPr>
                <w:rFonts w:hint="eastAsia" w:ascii="宋体" w:hAnsi="宋体" w:cs="宋体"/>
                <w:color w:val="000000"/>
              </w:rPr>
              <w:t>0</w:t>
            </w:r>
          </w:p>
        </w:tc>
        <w:sdt>
          <w:sdtPr>
            <w:rPr>
              <w:rFonts w:hint="eastAsia" w:ascii="宋体" w:hAnsi="宋体" w:cs="宋体"/>
              <w:color w:val="000000"/>
            </w:rPr>
            <w:alias w:val="前十名股东持有股份状态"/>
            <w:tag w:val="_GBC_0c9fd99717cf4cd09ff5bd29e068c6fc"/>
            <w:id w:val="147472883"/>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rFonts w:hint="eastAsia" w:ascii="宋体" w:hAnsi="宋体" w:cs="宋体"/>
              <w:color w:val="000000"/>
            </w:rPr>
          </w:sdtEndPr>
          <w:sdtContent>
            <w:tc>
              <w:tcPr>
                <w:tcW w:w="368" w:type="pct"/>
                <w:vAlign w:val="center"/>
              </w:tcPr>
              <w:p>
                <w:pPr>
                  <w:jc w:val="right"/>
                  <w:textAlignment w:val="center"/>
                  <w:rPr>
                    <w:rFonts w:ascii="宋体" w:hAnsi="宋体" w:cs="宋体"/>
                    <w:color w:val="000000"/>
                  </w:rPr>
                </w:pPr>
                <w:r>
                  <w:rPr>
                    <w:rFonts w:hint="eastAsia" w:ascii="宋体" w:hAnsi="宋体" w:cs="宋体"/>
                    <w:color w:val="000000"/>
                  </w:rPr>
                  <w:t>无</w:t>
                </w:r>
              </w:p>
            </w:tc>
          </w:sdtContent>
        </w:sdt>
        <w:tc>
          <w:tcPr>
            <w:tcW w:w="409" w:type="pct"/>
            <w:vAlign w:val="center"/>
          </w:tcPr>
          <w:p>
            <w:pPr>
              <w:jc w:val="right"/>
              <w:textAlignment w:val="center"/>
              <w:rPr>
                <w:rFonts w:ascii="宋体" w:hAnsi="宋体" w:cs="宋体"/>
                <w:color w:val="000000"/>
              </w:rPr>
            </w:pPr>
            <w:r>
              <w:rPr>
                <w:rFonts w:hint="eastAsia" w:ascii="宋体" w:hAnsi="宋体" w:cs="宋体"/>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南京凤南投资实业有限公司</w:t>
            </w:r>
          </w:p>
        </w:tc>
        <w:sdt>
          <w:sdtPr>
            <w:alias w:val="前十名股东的股东性质"/>
            <w:tag w:val="_GBC_84b497b2374546778d7295b82439a99e"/>
            <w:id w:val="147460206"/>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713" w:type="pct"/>
                <w:vAlign w:val="center"/>
              </w:tcPr>
              <w:p>
                <w:pPr>
                  <w:jc w:val="center"/>
                  <w:rPr>
                    <w:color w:val="FF9900"/>
                  </w:rPr>
                </w:pPr>
                <w:r>
                  <w:t>境内非国有法人</w:t>
                </w:r>
              </w:p>
            </w:tc>
          </w:sdtContent>
        </w:sdt>
        <w:tc>
          <w:tcPr>
            <w:tcW w:w="769" w:type="pct"/>
            <w:vAlign w:val="center"/>
          </w:tcPr>
          <w:p>
            <w:pPr>
              <w:jc w:val="right"/>
              <w:textAlignment w:val="center"/>
            </w:pPr>
            <w:r>
              <w:rPr>
                <w:rFonts w:hint="eastAsia" w:ascii="宋体" w:hAnsi="宋体" w:cs="宋体"/>
                <w:color w:val="000000"/>
              </w:rPr>
              <w:t xml:space="preserve">42,805,041 </w:t>
            </w:r>
          </w:p>
        </w:tc>
        <w:tc>
          <w:tcPr>
            <w:tcW w:w="416" w:type="pct"/>
            <w:vAlign w:val="center"/>
          </w:tcPr>
          <w:p>
            <w:pPr>
              <w:jc w:val="right"/>
              <w:textAlignment w:val="center"/>
            </w:pPr>
            <w:r>
              <w:rPr>
                <w:rFonts w:hint="eastAsia" w:ascii="宋体" w:hAnsi="宋体" w:cs="宋体"/>
                <w:color w:val="000000"/>
              </w:rPr>
              <w:t>1.17</w:t>
            </w:r>
          </w:p>
        </w:tc>
        <w:tc>
          <w:tcPr>
            <w:tcW w:w="808" w:type="pct"/>
            <w:vAlign w:val="center"/>
          </w:tcPr>
          <w:p>
            <w:pPr>
              <w:jc w:val="right"/>
              <w:textAlignment w:val="center"/>
              <w:rPr>
                <w:rFonts w:ascii="宋体" w:hAnsi="宋体" w:cs="宋体"/>
                <w:color w:val="000000"/>
              </w:rPr>
            </w:pPr>
            <w:r>
              <w:rPr>
                <w:rFonts w:hint="eastAsia" w:ascii="宋体" w:hAnsi="宋体" w:cs="宋体"/>
                <w:color w:val="000000"/>
              </w:rPr>
              <w:t>0</w:t>
            </w:r>
          </w:p>
        </w:tc>
        <w:sdt>
          <w:sdtPr>
            <w:rPr>
              <w:rFonts w:hint="eastAsia" w:ascii="宋体" w:hAnsi="宋体" w:cs="宋体"/>
              <w:color w:val="000000"/>
            </w:rPr>
            <w:alias w:val="前十名股东持有股份状态"/>
            <w:tag w:val="_GBC_0c9fd99717cf4cd09ff5bd29e068c6fc"/>
            <w:id w:val="147463464"/>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rFonts w:hint="eastAsia" w:ascii="宋体" w:hAnsi="宋体" w:cs="宋体"/>
              <w:color w:val="000000"/>
            </w:rPr>
          </w:sdtEndPr>
          <w:sdtContent>
            <w:tc>
              <w:tcPr>
                <w:tcW w:w="368" w:type="pct"/>
                <w:vAlign w:val="center"/>
              </w:tcPr>
              <w:p>
                <w:pPr>
                  <w:jc w:val="right"/>
                  <w:textAlignment w:val="center"/>
                  <w:rPr>
                    <w:rFonts w:ascii="宋体" w:hAnsi="宋体" w:cs="宋体"/>
                    <w:color w:val="000000"/>
                  </w:rPr>
                </w:pPr>
                <w:r>
                  <w:rPr>
                    <w:rFonts w:hint="eastAsia" w:ascii="宋体" w:hAnsi="宋体" w:cs="宋体"/>
                    <w:color w:val="000000"/>
                  </w:rPr>
                  <w:t>无</w:t>
                </w:r>
              </w:p>
            </w:tc>
          </w:sdtContent>
        </w:sdt>
        <w:tc>
          <w:tcPr>
            <w:tcW w:w="409" w:type="pct"/>
            <w:vAlign w:val="center"/>
          </w:tcPr>
          <w:p>
            <w:pPr>
              <w:jc w:val="right"/>
              <w:textAlignment w:val="center"/>
              <w:rPr>
                <w:rFonts w:ascii="宋体" w:hAnsi="宋体" w:cs="宋体"/>
                <w:color w:val="000000"/>
              </w:rPr>
            </w:pPr>
            <w:r>
              <w:rPr>
                <w:rFonts w:hint="eastAsia" w:ascii="宋体" w:hAnsi="宋体" w:cs="宋体"/>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南京天朝投资有限公司</w:t>
            </w:r>
          </w:p>
        </w:tc>
        <w:sdt>
          <w:sdtPr>
            <w:alias w:val="前十名股东的股东性质"/>
            <w:tag w:val="_GBC_84b497b2374546778d7295b82439a99e"/>
            <w:id w:val="147481295"/>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713" w:type="pct"/>
                <w:vAlign w:val="center"/>
              </w:tcPr>
              <w:p>
                <w:pPr>
                  <w:jc w:val="center"/>
                  <w:rPr>
                    <w:color w:val="FF9900"/>
                  </w:rPr>
                </w:pPr>
                <w:r>
                  <w:t>境内非国有法人</w:t>
                </w:r>
              </w:p>
            </w:tc>
          </w:sdtContent>
        </w:sdt>
        <w:tc>
          <w:tcPr>
            <w:tcW w:w="769" w:type="pct"/>
            <w:vAlign w:val="center"/>
          </w:tcPr>
          <w:p>
            <w:pPr>
              <w:jc w:val="right"/>
              <w:textAlignment w:val="center"/>
            </w:pPr>
            <w:r>
              <w:rPr>
                <w:rFonts w:hint="eastAsia" w:ascii="宋体" w:hAnsi="宋体" w:cs="宋体"/>
                <w:color w:val="000000"/>
              </w:rPr>
              <w:t xml:space="preserve">41,126,285 </w:t>
            </w:r>
          </w:p>
        </w:tc>
        <w:tc>
          <w:tcPr>
            <w:tcW w:w="416" w:type="pct"/>
            <w:vAlign w:val="center"/>
          </w:tcPr>
          <w:p>
            <w:pPr>
              <w:jc w:val="right"/>
              <w:textAlignment w:val="center"/>
            </w:pPr>
            <w:r>
              <w:rPr>
                <w:rFonts w:hint="eastAsia" w:ascii="宋体" w:hAnsi="宋体" w:cs="宋体"/>
                <w:color w:val="000000"/>
              </w:rPr>
              <w:t>1.12</w:t>
            </w:r>
          </w:p>
        </w:tc>
        <w:tc>
          <w:tcPr>
            <w:tcW w:w="808" w:type="pct"/>
            <w:vAlign w:val="center"/>
          </w:tcPr>
          <w:p>
            <w:pPr>
              <w:jc w:val="right"/>
              <w:textAlignment w:val="center"/>
              <w:rPr>
                <w:rFonts w:ascii="宋体" w:hAnsi="宋体" w:cs="宋体"/>
                <w:color w:val="000000"/>
              </w:rPr>
            </w:pPr>
            <w:r>
              <w:rPr>
                <w:rFonts w:hint="eastAsia" w:ascii="宋体" w:hAnsi="宋体" w:cs="宋体"/>
                <w:color w:val="000000"/>
              </w:rPr>
              <w:t>0</w:t>
            </w:r>
          </w:p>
        </w:tc>
        <w:sdt>
          <w:sdtPr>
            <w:rPr>
              <w:rFonts w:hint="eastAsia" w:ascii="宋体" w:hAnsi="宋体" w:cs="宋体"/>
              <w:color w:val="000000"/>
            </w:rPr>
            <w:alias w:val="前十名股东持有股份状态"/>
            <w:tag w:val="_GBC_0c9fd99717cf4cd09ff5bd29e068c6fc"/>
            <w:id w:val="147460458"/>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rFonts w:hint="eastAsia" w:ascii="宋体" w:hAnsi="宋体" w:cs="宋体"/>
              <w:color w:val="000000"/>
            </w:rPr>
          </w:sdtEndPr>
          <w:sdtContent>
            <w:tc>
              <w:tcPr>
                <w:tcW w:w="368" w:type="pct"/>
                <w:vAlign w:val="center"/>
              </w:tcPr>
              <w:p>
                <w:pPr>
                  <w:jc w:val="right"/>
                  <w:textAlignment w:val="center"/>
                  <w:rPr>
                    <w:rFonts w:ascii="宋体" w:hAnsi="宋体" w:cs="宋体"/>
                    <w:color w:val="000000"/>
                  </w:rPr>
                </w:pPr>
                <w:r>
                  <w:rPr>
                    <w:rFonts w:hint="eastAsia" w:ascii="宋体" w:hAnsi="宋体" w:cs="宋体"/>
                    <w:color w:val="000000"/>
                  </w:rPr>
                  <w:t>无</w:t>
                </w:r>
              </w:p>
            </w:tc>
          </w:sdtContent>
        </w:sdt>
        <w:tc>
          <w:tcPr>
            <w:tcW w:w="409" w:type="pct"/>
            <w:vAlign w:val="center"/>
          </w:tcPr>
          <w:p>
            <w:pPr>
              <w:jc w:val="right"/>
              <w:textAlignment w:val="center"/>
              <w:rPr>
                <w:rFonts w:ascii="宋体" w:hAnsi="宋体" w:cs="宋体"/>
                <w:color w:val="000000"/>
              </w:rPr>
            </w:pPr>
            <w:r>
              <w:rPr>
                <w:rFonts w:hint="eastAsia" w:ascii="宋体" w:hAnsi="宋体" w:cs="宋体"/>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卢文星</w:t>
            </w:r>
          </w:p>
        </w:tc>
        <w:sdt>
          <w:sdtPr>
            <w:alias w:val="前十名股东的股东性质"/>
            <w:tag w:val="_GBC_84b497b2374546778d7295b82439a99e"/>
            <w:id w:val="147455417"/>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713" w:type="pct"/>
                <w:vAlign w:val="center"/>
              </w:tcPr>
              <w:p>
                <w:pPr>
                  <w:jc w:val="center"/>
                  <w:rPr>
                    <w:color w:val="FF9900"/>
                  </w:rPr>
                </w:pPr>
                <w:r>
                  <w:t>境内自然人</w:t>
                </w:r>
              </w:p>
            </w:tc>
          </w:sdtContent>
        </w:sdt>
        <w:tc>
          <w:tcPr>
            <w:tcW w:w="769" w:type="pct"/>
            <w:vAlign w:val="center"/>
          </w:tcPr>
          <w:p>
            <w:pPr>
              <w:jc w:val="right"/>
              <w:textAlignment w:val="center"/>
            </w:pPr>
            <w:r>
              <w:rPr>
                <w:rFonts w:hint="eastAsia" w:ascii="宋体" w:hAnsi="宋体" w:cs="宋体"/>
                <w:color w:val="000000"/>
              </w:rPr>
              <w:t xml:space="preserve">41,009,100 </w:t>
            </w:r>
          </w:p>
        </w:tc>
        <w:tc>
          <w:tcPr>
            <w:tcW w:w="416" w:type="pct"/>
            <w:vAlign w:val="center"/>
          </w:tcPr>
          <w:p>
            <w:pPr>
              <w:jc w:val="right"/>
              <w:textAlignment w:val="center"/>
            </w:pPr>
            <w:r>
              <w:rPr>
                <w:rFonts w:hint="eastAsia" w:ascii="宋体" w:hAnsi="宋体" w:cs="宋体"/>
                <w:color w:val="000000"/>
              </w:rPr>
              <w:t>1.12</w:t>
            </w:r>
          </w:p>
        </w:tc>
        <w:tc>
          <w:tcPr>
            <w:tcW w:w="808" w:type="pct"/>
            <w:vAlign w:val="center"/>
          </w:tcPr>
          <w:p>
            <w:pPr>
              <w:jc w:val="right"/>
              <w:textAlignment w:val="center"/>
              <w:rPr>
                <w:rFonts w:ascii="宋体" w:hAnsi="宋体" w:cs="宋体"/>
                <w:color w:val="000000"/>
              </w:rPr>
            </w:pPr>
            <w:r>
              <w:rPr>
                <w:rFonts w:hint="eastAsia" w:ascii="宋体" w:hAnsi="宋体" w:cs="宋体"/>
                <w:color w:val="000000"/>
              </w:rPr>
              <w:t>0</w:t>
            </w:r>
          </w:p>
        </w:tc>
        <w:sdt>
          <w:sdtPr>
            <w:rPr>
              <w:rFonts w:hint="eastAsia" w:ascii="宋体" w:hAnsi="宋体" w:cs="宋体"/>
              <w:color w:val="000000"/>
            </w:rPr>
            <w:alias w:val="前十名股东持有股份状态"/>
            <w:tag w:val="_GBC_0c9fd99717cf4cd09ff5bd29e068c6fc"/>
            <w:id w:val="147467256"/>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rFonts w:hint="eastAsia" w:ascii="宋体" w:hAnsi="宋体" w:cs="宋体"/>
              <w:color w:val="000000"/>
            </w:rPr>
          </w:sdtEndPr>
          <w:sdtContent>
            <w:tc>
              <w:tcPr>
                <w:tcW w:w="368" w:type="pct"/>
                <w:vAlign w:val="center"/>
              </w:tcPr>
              <w:p>
                <w:pPr>
                  <w:jc w:val="right"/>
                  <w:textAlignment w:val="center"/>
                  <w:rPr>
                    <w:rFonts w:ascii="宋体" w:hAnsi="宋体" w:cs="宋体"/>
                    <w:color w:val="000000"/>
                  </w:rPr>
                </w:pPr>
                <w:r>
                  <w:rPr>
                    <w:rFonts w:hint="eastAsia" w:ascii="宋体" w:hAnsi="宋体" w:cs="宋体"/>
                    <w:color w:val="000000"/>
                  </w:rPr>
                  <w:t>无</w:t>
                </w:r>
              </w:p>
            </w:tc>
          </w:sdtContent>
        </w:sdt>
        <w:tc>
          <w:tcPr>
            <w:tcW w:w="409" w:type="pct"/>
            <w:vAlign w:val="center"/>
          </w:tcPr>
          <w:p>
            <w:pPr>
              <w:jc w:val="right"/>
              <w:textAlignment w:val="center"/>
              <w:rPr>
                <w:rFonts w:ascii="宋体" w:hAnsi="宋体" w:cs="宋体"/>
                <w:color w:val="000000"/>
              </w:rPr>
            </w:pPr>
            <w:r>
              <w:rPr>
                <w:rFonts w:hint="eastAsia" w:ascii="宋体" w:hAnsi="宋体" w:cs="宋体"/>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金陵药业股份有限公司</w:t>
            </w:r>
          </w:p>
        </w:tc>
        <w:sdt>
          <w:sdtPr>
            <w:alias w:val="前十名股东的股东性质"/>
            <w:tag w:val="_GBC_84b497b2374546778d7295b82439a99e"/>
            <w:id w:val="14745319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713" w:type="pct"/>
                <w:vAlign w:val="center"/>
              </w:tcPr>
              <w:p>
                <w:pPr>
                  <w:jc w:val="center"/>
                  <w:rPr>
                    <w:color w:val="FF9900"/>
                  </w:rPr>
                </w:pPr>
                <w:r>
                  <w:t>国有法人</w:t>
                </w:r>
              </w:p>
            </w:tc>
          </w:sdtContent>
        </w:sdt>
        <w:tc>
          <w:tcPr>
            <w:tcW w:w="769" w:type="pct"/>
            <w:vAlign w:val="center"/>
          </w:tcPr>
          <w:p>
            <w:pPr>
              <w:jc w:val="right"/>
              <w:textAlignment w:val="center"/>
            </w:pPr>
            <w:r>
              <w:rPr>
                <w:rFonts w:hint="eastAsia" w:ascii="宋体" w:hAnsi="宋体" w:cs="宋体"/>
                <w:color w:val="000000"/>
              </w:rPr>
              <w:t xml:space="preserve">32,296,430 </w:t>
            </w:r>
          </w:p>
        </w:tc>
        <w:tc>
          <w:tcPr>
            <w:tcW w:w="416" w:type="pct"/>
            <w:vAlign w:val="center"/>
          </w:tcPr>
          <w:p>
            <w:pPr>
              <w:jc w:val="right"/>
              <w:textAlignment w:val="center"/>
            </w:pPr>
            <w:r>
              <w:rPr>
                <w:rFonts w:hint="eastAsia" w:ascii="宋体" w:hAnsi="宋体" w:cs="宋体"/>
                <w:color w:val="000000"/>
              </w:rPr>
              <w:t>0.88</w:t>
            </w:r>
          </w:p>
        </w:tc>
        <w:tc>
          <w:tcPr>
            <w:tcW w:w="808" w:type="pct"/>
            <w:vAlign w:val="center"/>
          </w:tcPr>
          <w:p>
            <w:pPr>
              <w:jc w:val="right"/>
              <w:textAlignment w:val="center"/>
              <w:rPr>
                <w:rFonts w:ascii="宋体" w:hAnsi="宋体" w:cs="宋体"/>
                <w:color w:val="000000"/>
              </w:rPr>
            </w:pPr>
            <w:r>
              <w:rPr>
                <w:rFonts w:hint="eastAsia" w:ascii="宋体" w:hAnsi="宋体" w:cs="宋体"/>
                <w:color w:val="000000"/>
              </w:rPr>
              <w:t>0</w:t>
            </w:r>
          </w:p>
        </w:tc>
        <w:sdt>
          <w:sdtPr>
            <w:rPr>
              <w:rFonts w:hint="eastAsia" w:ascii="宋体" w:hAnsi="宋体" w:cs="宋体"/>
              <w:color w:val="000000"/>
            </w:rPr>
            <w:alias w:val="前十名股东持有股份状态"/>
            <w:tag w:val="_GBC_0c9fd99717cf4cd09ff5bd29e068c6fc"/>
            <w:id w:val="147478139"/>
            <w:comboBox>
              <w:listItem w:displayText="无" w:value="无"/>
              <w:listItem w:displayText="标记" w:value="标记"/>
              <w:listItem w:displayText="质押" w:value="质押"/>
              <w:listItem w:displayText="冻结" w:value="冻结"/>
              <w:listItem w:displayText="托管" w:value="托管"/>
              <w:listItem w:displayText="未知" w:value="未知"/>
            </w:comboBox>
          </w:sdtPr>
          <w:sdtEndPr>
            <w:rPr>
              <w:rFonts w:hint="eastAsia" w:ascii="宋体" w:hAnsi="宋体" w:cs="宋体"/>
              <w:color w:val="000000"/>
            </w:rPr>
          </w:sdtEndPr>
          <w:sdtContent>
            <w:tc>
              <w:tcPr>
                <w:tcW w:w="368" w:type="pct"/>
                <w:vAlign w:val="center"/>
              </w:tcPr>
              <w:p>
                <w:pPr>
                  <w:jc w:val="right"/>
                  <w:textAlignment w:val="center"/>
                  <w:rPr>
                    <w:rFonts w:ascii="宋体" w:hAnsi="宋体" w:cs="宋体"/>
                    <w:color w:val="000000"/>
                  </w:rPr>
                </w:pPr>
                <w:r>
                  <w:rPr>
                    <w:rFonts w:hint="eastAsia" w:ascii="宋体" w:hAnsi="宋体" w:cs="宋体"/>
                    <w:color w:val="000000"/>
                  </w:rPr>
                  <w:t>无</w:t>
                </w:r>
              </w:p>
            </w:tc>
          </w:sdtContent>
        </w:sdt>
        <w:tc>
          <w:tcPr>
            <w:tcW w:w="409" w:type="pct"/>
            <w:vAlign w:val="center"/>
          </w:tcPr>
          <w:p>
            <w:pPr>
              <w:jc w:val="right"/>
              <w:textAlignment w:val="center"/>
              <w:rPr>
                <w:rFonts w:ascii="宋体" w:hAnsi="宋体" w:cs="宋体"/>
                <w:color w:val="000000"/>
              </w:rPr>
            </w:pPr>
            <w:r>
              <w:rPr>
                <w:rFonts w:hint="eastAsia" w:ascii="宋体" w:hAnsi="宋体" w:cs="宋体"/>
                <w:color w:val="00000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1a48f7f792fa4c6daa5194ee2f2b76e4"/>
            <w:id w:val="147461128"/>
          </w:sdtPr>
          <w:sdtContent>
            <w:tc>
              <w:tcPr>
                <w:tcW w:w="5000" w:type="pct"/>
                <w:gridSpan w:val="7"/>
                <w:vAlign w:val="center"/>
              </w:tcPr>
              <w:p>
                <w:pPr>
                  <w:jc w:val="center"/>
                  <w:rPr>
                    <w:color w:val="FF9900"/>
                  </w:rPr>
                </w:pPr>
                <w:r>
                  <w:t>前</w:t>
                </w:r>
                <w:r>
                  <w:rPr>
                    <w:rFonts w:hint="eastAsia"/>
                  </w:rPr>
                  <w:t>1</w:t>
                </w:r>
                <w:r>
                  <w:t>0名无限售条件股东持股情况</w:t>
                </w:r>
                <w:r>
                  <w:rPr>
                    <w:rFonts w:hint="eastAsia"/>
                  </w:rPr>
                  <w:t>（不含通过转融通出借股份）</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c032395b10b5459db2a0a016744cff4d"/>
            <w:id w:val="147467844"/>
          </w:sdtPr>
          <w:sdtContent>
            <w:tc>
              <w:tcPr>
                <w:tcW w:w="1513" w:type="pct"/>
                <w:vMerge w:val="restart"/>
                <w:vAlign w:val="center"/>
              </w:tcPr>
              <w:p>
                <w:pPr>
                  <w:rPr>
                    <w:color w:val="FF9900"/>
                  </w:rPr>
                </w:pPr>
                <w:r>
                  <w:t>股东名称</w:t>
                </w:r>
              </w:p>
            </w:tc>
          </w:sdtContent>
        </w:sdt>
        <w:sdt>
          <w:sdtPr>
            <w:tag w:val="_PLD_6dc31a2d50d042ca95780ff86da5081a"/>
            <w:id w:val="147471676"/>
          </w:sdtPr>
          <w:sdtContent>
            <w:tc>
              <w:tcPr>
                <w:tcW w:w="1899" w:type="pct"/>
                <w:gridSpan w:val="3"/>
                <w:vMerge w:val="restart"/>
                <w:vAlign w:val="center"/>
              </w:tcPr>
              <w:p>
                <w:pPr>
                  <w:jc w:val="center"/>
                  <w:rPr>
                    <w:color w:val="FF9900"/>
                  </w:rPr>
                </w:pPr>
                <w:r>
                  <w:t>持有无限售条件流通股的数量</w:t>
                </w:r>
              </w:p>
            </w:tc>
          </w:sdtContent>
        </w:sdt>
        <w:sdt>
          <w:sdtPr>
            <w:tag w:val="_PLD_abbcc90f720841a394a1aab4a0b9b684"/>
            <w:id w:val="147469407"/>
          </w:sdtPr>
          <w:sdtContent>
            <w:tc>
              <w:tcPr>
                <w:tcW w:w="1586" w:type="pct"/>
                <w:gridSpan w:val="3"/>
                <w:tcBorders>
                  <w:bottom w:val="single" w:color="auto" w:sz="4" w:space="0"/>
                </w:tcBorders>
                <w:vAlign w:val="center"/>
              </w:tcPr>
              <w:p>
                <w:pPr>
                  <w:jc w:val="center"/>
                  <w:rPr>
                    <w:color w:val="FF9900"/>
                  </w:rPr>
                </w:pPr>
                <w:r>
                  <w:t>股份种类</w:t>
                </w:r>
                <w:r>
                  <w:rPr>
                    <w:rFonts w:hint="eastAsia"/>
                  </w:rPr>
                  <w:t>及数量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Merge w:val="continue"/>
            <w:vAlign w:val="center"/>
          </w:tcPr>
          <w:p>
            <w:pPr>
              <w:rPr>
                <w:color w:val="FF9900"/>
              </w:rPr>
            </w:pPr>
          </w:p>
        </w:tc>
        <w:tc>
          <w:tcPr>
            <w:tcW w:w="1899" w:type="pct"/>
            <w:gridSpan w:val="3"/>
            <w:vMerge w:val="continue"/>
            <w:vAlign w:val="center"/>
          </w:tcPr>
          <w:p>
            <w:pPr>
              <w:rPr>
                <w:color w:val="FF9900"/>
              </w:rPr>
            </w:pPr>
          </w:p>
        </w:tc>
        <w:sdt>
          <w:sdtPr>
            <w:tag w:val="_PLD_a3fd14ec48f74ad09d518e4ae2f06fb2"/>
            <w:id w:val="147483556"/>
          </w:sdtPr>
          <w:sdtContent>
            <w:tc>
              <w:tcPr>
                <w:tcW w:w="808" w:type="pct"/>
                <w:vAlign w:val="center"/>
              </w:tcPr>
              <w:p>
                <w:pPr>
                  <w:jc w:val="center"/>
                  <w:rPr>
                    <w:color w:val="008000"/>
                  </w:rPr>
                </w:pPr>
                <w:r>
                  <w:rPr>
                    <w:rFonts w:hint="eastAsia"/>
                  </w:rPr>
                  <w:t>股份种类</w:t>
                </w:r>
              </w:p>
            </w:tc>
          </w:sdtContent>
        </w:sdt>
        <w:sdt>
          <w:sdtPr>
            <w:tag w:val="_PLD_1316158c7cb643108f36f29b4265c880"/>
            <w:id w:val="147461472"/>
          </w:sdtPr>
          <w:sdtContent>
            <w:tc>
              <w:tcPr>
                <w:tcW w:w="778" w:type="pct"/>
                <w:gridSpan w:val="2"/>
                <w:vAlign w:val="center"/>
              </w:tcPr>
              <w:p>
                <w:pPr>
                  <w:jc w:val="center"/>
                  <w:rPr>
                    <w:color w:val="008000"/>
                  </w:rPr>
                </w:pPr>
                <w:r>
                  <w:rPr>
                    <w:rFonts w:hint="eastAsia" w:cs="宋体"/>
                  </w:rPr>
                  <w:t>数量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南京紫金投资集团有限责任公司</w:t>
            </w:r>
          </w:p>
        </w:tc>
        <w:tc>
          <w:tcPr>
            <w:tcW w:w="1899" w:type="pct"/>
            <w:gridSpan w:val="3"/>
            <w:vAlign w:val="center"/>
          </w:tcPr>
          <w:p>
            <w:pPr>
              <w:jc w:val="right"/>
              <w:textAlignment w:val="center"/>
            </w:pPr>
            <w:r>
              <w:rPr>
                <w:rFonts w:hint="eastAsia" w:ascii="宋体" w:hAnsi="宋体" w:cs="宋体"/>
                <w:color w:val="000000"/>
              </w:rPr>
              <w:t xml:space="preserve">328,129,524 </w:t>
            </w:r>
          </w:p>
        </w:tc>
        <w:sdt>
          <w:sdtPr>
            <w:rPr>
              <w:bCs/>
            </w:rPr>
            <w:alias w:val="前十名无限售条件股东期末持有流通股的种类"/>
            <w:tag w:val="_GBC_9af790da2c3f438181d4c22147cf9cbc"/>
            <w:id w:val="147454169"/>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rPr>
          </w:sdtEndPr>
          <w:sdtContent>
            <w:tc>
              <w:tcPr>
                <w:tcW w:w="808" w:type="pct"/>
                <w:vAlign w:val="center"/>
              </w:tcPr>
              <w:p>
                <w:pPr>
                  <w:jc w:val="center"/>
                  <w:rPr>
                    <w:bCs/>
                  </w:rPr>
                </w:pPr>
                <w:r>
                  <w:rPr>
                    <w:bCs/>
                  </w:rPr>
                  <w:t>人民币普通股</w:t>
                </w:r>
              </w:p>
            </w:tc>
          </w:sdtContent>
        </w:sdt>
        <w:tc>
          <w:tcPr>
            <w:tcW w:w="778" w:type="pct"/>
            <w:gridSpan w:val="2"/>
            <w:vAlign w:val="center"/>
          </w:tcPr>
          <w:p>
            <w:pPr>
              <w:jc w:val="right"/>
              <w:textAlignment w:val="center"/>
            </w:pPr>
            <w:r>
              <w:rPr>
                <w:rFonts w:hint="eastAsia" w:ascii="宋体" w:hAnsi="宋体" w:cs="宋体"/>
                <w:color w:val="000000"/>
              </w:rPr>
              <w:t xml:space="preserve">328,129,524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江苏省国信集团有限公司</w:t>
            </w:r>
          </w:p>
        </w:tc>
        <w:tc>
          <w:tcPr>
            <w:tcW w:w="1899" w:type="pct"/>
            <w:gridSpan w:val="3"/>
            <w:vAlign w:val="center"/>
          </w:tcPr>
          <w:p>
            <w:pPr>
              <w:jc w:val="right"/>
              <w:textAlignment w:val="center"/>
            </w:pPr>
            <w:r>
              <w:rPr>
                <w:rFonts w:hint="eastAsia" w:ascii="宋体" w:hAnsi="宋体" w:cs="宋体"/>
                <w:color w:val="000000"/>
              </w:rPr>
              <w:t xml:space="preserve">267,852,322 </w:t>
            </w:r>
          </w:p>
        </w:tc>
        <w:sdt>
          <w:sdtPr>
            <w:rPr>
              <w:bCs/>
            </w:rPr>
            <w:alias w:val="前十名无限售条件股东期末持有流通股的种类"/>
            <w:tag w:val="_GBC_9af790da2c3f438181d4c22147cf9cbc"/>
            <w:id w:val="147455606"/>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rPr>
          </w:sdtEndPr>
          <w:sdtContent>
            <w:tc>
              <w:tcPr>
                <w:tcW w:w="808" w:type="pct"/>
                <w:vAlign w:val="center"/>
              </w:tcPr>
              <w:p>
                <w:pPr>
                  <w:jc w:val="center"/>
                  <w:rPr>
                    <w:bCs/>
                  </w:rPr>
                </w:pPr>
                <w:r>
                  <w:rPr>
                    <w:bCs/>
                  </w:rPr>
                  <w:t>人民币普通股</w:t>
                </w:r>
              </w:p>
            </w:tc>
          </w:sdtContent>
        </w:sdt>
        <w:tc>
          <w:tcPr>
            <w:tcW w:w="778" w:type="pct"/>
            <w:gridSpan w:val="2"/>
            <w:vAlign w:val="center"/>
          </w:tcPr>
          <w:p>
            <w:pPr>
              <w:jc w:val="right"/>
              <w:textAlignment w:val="center"/>
            </w:pPr>
            <w:r>
              <w:rPr>
                <w:rFonts w:hint="eastAsia" w:ascii="宋体" w:hAnsi="宋体" w:cs="宋体"/>
                <w:color w:val="000000"/>
              </w:rPr>
              <w:t xml:space="preserve">267,852,322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江苏苏豪投资集团有限公司</w:t>
            </w:r>
          </w:p>
        </w:tc>
        <w:tc>
          <w:tcPr>
            <w:tcW w:w="1899" w:type="pct"/>
            <w:gridSpan w:val="3"/>
            <w:vAlign w:val="center"/>
          </w:tcPr>
          <w:p>
            <w:pPr>
              <w:jc w:val="right"/>
              <w:textAlignment w:val="center"/>
            </w:pPr>
            <w:r>
              <w:rPr>
                <w:rFonts w:hint="eastAsia" w:ascii="宋体" w:hAnsi="宋体" w:cs="宋体"/>
                <w:color w:val="000000"/>
              </w:rPr>
              <w:t xml:space="preserve">233,042,759 </w:t>
            </w:r>
          </w:p>
        </w:tc>
        <w:sdt>
          <w:sdtPr>
            <w:rPr>
              <w:bCs/>
            </w:rPr>
            <w:alias w:val="前十名无限售条件股东期末持有流通股的种类"/>
            <w:tag w:val="_GBC_9af790da2c3f438181d4c22147cf9cbc"/>
            <w:id w:val="147466069"/>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rPr>
          </w:sdtEndPr>
          <w:sdtContent>
            <w:tc>
              <w:tcPr>
                <w:tcW w:w="808" w:type="pct"/>
                <w:vAlign w:val="center"/>
              </w:tcPr>
              <w:p>
                <w:pPr>
                  <w:jc w:val="center"/>
                  <w:rPr>
                    <w:bCs/>
                  </w:rPr>
                </w:pPr>
                <w:r>
                  <w:rPr>
                    <w:bCs/>
                  </w:rPr>
                  <w:t>人民币普通股</w:t>
                </w:r>
              </w:p>
            </w:tc>
          </w:sdtContent>
        </w:sdt>
        <w:tc>
          <w:tcPr>
            <w:tcW w:w="778" w:type="pct"/>
            <w:gridSpan w:val="2"/>
            <w:vAlign w:val="center"/>
          </w:tcPr>
          <w:p>
            <w:pPr>
              <w:jc w:val="right"/>
              <w:textAlignment w:val="center"/>
            </w:pPr>
            <w:r>
              <w:rPr>
                <w:rFonts w:hint="eastAsia" w:ascii="宋体" w:hAnsi="宋体" w:cs="宋体"/>
                <w:color w:val="000000"/>
              </w:rPr>
              <w:t xml:space="preserve">233,042,759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南京市河西新城区国有资产经营控股（集团）有限责任公司</w:t>
            </w:r>
          </w:p>
        </w:tc>
        <w:tc>
          <w:tcPr>
            <w:tcW w:w="1899" w:type="pct"/>
            <w:gridSpan w:val="3"/>
            <w:vAlign w:val="center"/>
          </w:tcPr>
          <w:p>
            <w:pPr>
              <w:jc w:val="right"/>
              <w:textAlignment w:val="center"/>
            </w:pPr>
            <w:r>
              <w:rPr>
                <w:rFonts w:hint="eastAsia" w:ascii="宋体" w:hAnsi="宋体" w:cs="宋体"/>
                <w:color w:val="000000"/>
              </w:rPr>
              <w:t xml:space="preserve">93,232,360 </w:t>
            </w:r>
          </w:p>
        </w:tc>
        <w:sdt>
          <w:sdtPr>
            <w:rPr>
              <w:bCs/>
            </w:rPr>
            <w:alias w:val="前十名无限售条件股东期末持有流通股的种类"/>
            <w:tag w:val="_GBC_9af790da2c3f438181d4c22147cf9cbc"/>
            <w:id w:val="147481123"/>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rPr>
          </w:sdtEndPr>
          <w:sdtContent>
            <w:tc>
              <w:tcPr>
                <w:tcW w:w="808" w:type="pct"/>
                <w:vAlign w:val="center"/>
              </w:tcPr>
              <w:p>
                <w:pPr>
                  <w:jc w:val="center"/>
                  <w:rPr>
                    <w:bCs/>
                  </w:rPr>
                </w:pPr>
                <w:r>
                  <w:rPr>
                    <w:bCs/>
                  </w:rPr>
                  <w:t>人民币普通股</w:t>
                </w:r>
              </w:p>
            </w:tc>
          </w:sdtContent>
        </w:sdt>
        <w:tc>
          <w:tcPr>
            <w:tcW w:w="778" w:type="pct"/>
            <w:gridSpan w:val="2"/>
            <w:vAlign w:val="center"/>
          </w:tcPr>
          <w:p>
            <w:pPr>
              <w:jc w:val="right"/>
              <w:textAlignment w:val="center"/>
            </w:pPr>
            <w:r>
              <w:rPr>
                <w:rFonts w:hint="eastAsia" w:ascii="宋体" w:hAnsi="宋体" w:cs="宋体"/>
                <w:color w:val="000000"/>
              </w:rPr>
              <w:t xml:space="preserve">93,232,360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香港中央结算有限公司</w:t>
            </w:r>
          </w:p>
        </w:tc>
        <w:tc>
          <w:tcPr>
            <w:tcW w:w="1899" w:type="pct"/>
            <w:gridSpan w:val="3"/>
            <w:vAlign w:val="center"/>
          </w:tcPr>
          <w:p>
            <w:pPr>
              <w:jc w:val="right"/>
              <w:textAlignment w:val="center"/>
            </w:pPr>
            <w:r>
              <w:rPr>
                <w:rFonts w:hint="eastAsia" w:ascii="宋体" w:hAnsi="宋体" w:cs="宋体"/>
                <w:color w:val="000000"/>
              </w:rPr>
              <w:t xml:space="preserve">70,991,772 </w:t>
            </w:r>
          </w:p>
        </w:tc>
        <w:sdt>
          <w:sdtPr>
            <w:rPr>
              <w:bCs/>
            </w:rPr>
            <w:alias w:val="前十名无限售条件股东期末持有流通股的种类"/>
            <w:tag w:val="_GBC_9af790da2c3f438181d4c22147cf9cbc"/>
            <w:id w:val="147466699"/>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rPr>
          </w:sdtEndPr>
          <w:sdtContent>
            <w:tc>
              <w:tcPr>
                <w:tcW w:w="808" w:type="pct"/>
                <w:vAlign w:val="center"/>
              </w:tcPr>
              <w:p>
                <w:pPr>
                  <w:jc w:val="center"/>
                  <w:rPr>
                    <w:bCs/>
                  </w:rPr>
                </w:pPr>
                <w:r>
                  <w:rPr>
                    <w:bCs/>
                  </w:rPr>
                  <w:t>人民币普通股</w:t>
                </w:r>
              </w:p>
            </w:tc>
          </w:sdtContent>
        </w:sdt>
        <w:tc>
          <w:tcPr>
            <w:tcW w:w="778" w:type="pct"/>
            <w:gridSpan w:val="2"/>
            <w:vAlign w:val="center"/>
          </w:tcPr>
          <w:p>
            <w:pPr>
              <w:jc w:val="right"/>
              <w:textAlignment w:val="center"/>
            </w:pPr>
            <w:r>
              <w:rPr>
                <w:rFonts w:hint="eastAsia" w:ascii="宋体" w:hAnsi="宋体" w:cs="宋体"/>
                <w:color w:val="000000"/>
              </w:rPr>
              <w:t xml:space="preserve">70,991,772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胡永堂</w:t>
            </w:r>
          </w:p>
        </w:tc>
        <w:tc>
          <w:tcPr>
            <w:tcW w:w="1899" w:type="pct"/>
            <w:gridSpan w:val="3"/>
            <w:vAlign w:val="center"/>
          </w:tcPr>
          <w:p>
            <w:pPr>
              <w:jc w:val="right"/>
              <w:textAlignment w:val="center"/>
            </w:pPr>
            <w:r>
              <w:rPr>
                <w:rFonts w:hint="eastAsia" w:ascii="宋体" w:hAnsi="宋体" w:cs="宋体"/>
                <w:color w:val="000000"/>
              </w:rPr>
              <w:t xml:space="preserve">53,178,000 </w:t>
            </w:r>
          </w:p>
        </w:tc>
        <w:sdt>
          <w:sdtPr>
            <w:rPr>
              <w:bCs/>
            </w:rPr>
            <w:alias w:val="前十名无限售条件股东期末持有流通股的种类"/>
            <w:tag w:val="_GBC_9af790da2c3f438181d4c22147cf9cbc"/>
            <w:id w:val="147481004"/>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rPr>
          </w:sdtEndPr>
          <w:sdtContent>
            <w:tc>
              <w:tcPr>
                <w:tcW w:w="808" w:type="pct"/>
                <w:vAlign w:val="center"/>
              </w:tcPr>
              <w:p>
                <w:pPr>
                  <w:jc w:val="center"/>
                  <w:rPr>
                    <w:bCs/>
                  </w:rPr>
                </w:pPr>
                <w:r>
                  <w:rPr>
                    <w:bCs/>
                  </w:rPr>
                  <w:t>人民币普通股</w:t>
                </w:r>
              </w:p>
            </w:tc>
          </w:sdtContent>
        </w:sdt>
        <w:tc>
          <w:tcPr>
            <w:tcW w:w="778" w:type="pct"/>
            <w:gridSpan w:val="2"/>
            <w:vAlign w:val="center"/>
          </w:tcPr>
          <w:p>
            <w:pPr>
              <w:jc w:val="right"/>
              <w:textAlignment w:val="center"/>
            </w:pPr>
            <w:r>
              <w:rPr>
                <w:rFonts w:hint="eastAsia" w:ascii="宋体" w:hAnsi="宋体" w:cs="宋体"/>
                <w:color w:val="000000"/>
              </w:rPr>
              <w:t xml:space="preserve">53,178,000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南京凤南投资实业有限公司</w:t>
            </w:r>
          </w:p>
        </w:tc>
        <w:tc>
          <w:tcPr>
            <w:tcW w:w="1899" w:type="pct"/>
            <w:gridSpan w:val="3"/>
            <w:vAlign w:val="center"/>
          </w:tcPr>
          <w:p>
            <w:pPr>
              <w:jc w:val="right"/>
              <w:textAlignment w:val="center"/>
            </w:pPr>
            <w:r>
              <w:rPr>
                <w:rFonts w:hint="eastAsia" w:ascii="宋体" w:hAnsi="宋体" w:cs="宋体"/>
                <w:color w:val="000000"/>
              </w:rPr>
              <w:t xml:space="preserve">42,805,041 </w:t>
            </w:r>
          </w:p>
        </w:tc>
        <w:sdt>
          <w:sdtPr>
            <w:rPr>
              <w:bCs/>
            </w:rPr>
            <w:alias w:val="前十名无限售条件股东期末持有流通股的种类"/>
            <w:tag w:val="_GBC_9af790da2c3f438181d4c22147cf9cbc"/>
            <w:id w:val="147482704"/>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rPr>
          </w:sdtEndPr>
          <w:sdtContent>
            <w:tc>
              <w:tcPr>
                <w:tcW w:w="808" w:type="pct"/>
                <w:vAlign w:val="center"/>
              </w:tcPr>
              <w:p>
                <w:pPr>
                  <w:jc w:val="center"/>
                  <w:rPr>
                    <w:bCs/>
                  </w:rPr>
                </w:pPr>
                <w:r>
                  <w:rPr>
                    <w:bCs/>
                  </w:rPr>
                  <w:t>人民币普通股</w:t>
                </w:r>
              </w:p>
            </w:tc>
          </w:sdtContent>
        </w:sdt>
        <w:tc>
          <w:tcPr>
            <w:tcW w:w="778" w:type="pct"/>
            <w:gridSpan w:val="2"/>
            <w:vAlign w:val="center"/>
          </w:tcPr>
          <w:p>
            <w:pPr>
              <w:jc w:val="right"/>
              <w:textAlignment w:val="center"/>
            </w:pPr>
            <w:r>
              <w:rPr>
                <w:rFonts w:hint="eastAsia" w:ascii="宋体" w:hAnsi="宋体" w:cs="宋体"/>
                <w:color w:val="000000"/>
              </w:rPr>
              <w:t xml:space="preserve">42,805,041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南京天朝投资有限公司</w:t>
            </w:r>
          </w:p>
        </w:tc>
        <w:tc>
          <w:tcPr>
            <w:tcW w:w="1899" w:type="pct"/>
            <w:gridSpan w:val="3"/>
            <w:vAlign w:val="center"/>
          </w:tcPr>
          <w:p>
            <w:pPr>
              <w:jc w:val="right"/>
              <w:textAlignment w:val="center"/>
            </w:pPr>
            <w:r>
              <w:rPr>
                <w:rFonts w:hint="eastAsia" w:ascii="宋体" w:hAnsi="宋体" w:cs="宋体"/>
                <w:color w:val="000000"/>
              </w:rPr>
              <w:t xml:space="preserve">41,126,285 </w:t>
            </w:r>
          </w:p>
        </w:tc>
        <w:sdt>
          <w:sdtPr>
            <w:rPr>
              <w:bCs/>
            </w:rPr>
            <w:alias w:val="前十名无限售条件股东期末持有流通股的种类"/>
            <w:tag w:val="_GBC_9af790da2c3f438181d4c22147cf9cbc"/>
            <w:id w:val="147454241"/>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rPr>
          </w:sdtEndPr>
          <w:sdtContent>
            <w:tc>
              <w:tcPr>
                <w:tcW w:w="808" w:type="pct"/>
                <w:vAlign w:val="center"/>
              </w:tcPr>
              <w:p>
                <w:pPr>
                  <w:jc w:val="center"/>
                  <w:rPr>
                    <w:bCs/>
                  </w:rPr>
                </w:pPr>
                <w:r>
                  <w:rPr>
                    <w:bCs/>
                  </w:rPr>
                  <w:t>人民币普通股</w:t>
                </w:r>
              </w:p>
            </w:tc>
          </w:sdtContent>
        </w:sdt>
        <w:tc>
          <w:tcPr>
            <w:tcW w:w="778" w:type="pct"/>
            <w:gridSpan w:val="2"/>
            <w:vAlign w:val="center"/>
          </w:tcPr>
          <w:p>
            <w:pPr>
              <w:jc w:val="right"/>
              <w:textAlignment w:val="center"/>
            </w:pPr>
            <w:r>
              <w:rPr>
                <w:rFonts w:hint="eastAsia" w:ascii="宋体" w:hAnsi="宋体" w:cs="宋体"/>
                <w:color w:val="000000"/>
              </w:rPr>
              <w:t xml:space="preserve">41,126,285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卢文星</w:t>
            </w:r>
          </w:p>
        </w:tc>
        <w:tc>
          <w:tcPr>
            <w:tcW w:w="1899" w:type="pct"/>
            <w:gridSpan w:val="3"/>
            <w:vAlign w:val="center"/>
          </w:tcPr>
          <w:p>
            <w:pPr>
              <w:jc w:val="right"/>
              <w:textAlignment w:val="center"/>
            </w:pPr>
            <w:r>
              <w:rPr>
                <w:rFonts w:hint="eastAsia" w:ascii="宋体" w:hAnsi="宋体" w:cs="宋体"/>
                <w:color w:val="000000"/>
              </w:rPr>
              <w:t xml:space="preserve">41,009,100 </w:t>
            </w:r>
          </w:p>
        </w:tc>
        <w:sdt>
          <w:sdtPr>
            <w:rPr>
              <w:bCs/>
            </w:rPr>
            <w:alias w:val="前十名无限售条件股东期末持有流通股的种类"/>
            <w:tag w:val="_GBC_9af790da2c3f438181d4c22147cf9cbc"/>
            <w:id w:val="147458506"/>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rPr>
          </w:sdtEndPr>
          <w:sdtContent>
            <w:tc>
              <w:tcPr>
                <w:tcW w:w="808" w:type="pct"/>
                <w:vAlign w:val="center"/>
              </w:tcPr>
              <w:p>
                <w:pPr>
                  <w:jc w:val="center"/>
                  <w:rPr>
                    <w:bCs/>
                  </w:rPr>
                </w:pPr>
                <w:r>
                  <w:rPr>
                    <w:bCs/>
                  </w:rPr>
                  <w:t>人民币普通股</w:t>
                </w:r>
              </w:p>
            </w:tc>
          </w:sdtContent>
        </w:sdt>
        <w:tc>
          <w:tcPr>
            <w:tcW w:w="778" w:type="pct"/>
            <w:gridSpan w:val="2"/>
            <w:vAlign w:val="center"/>
          </w:tcPr>
          <w:p>
            <w:pPr>
              <w:jc w:val="right"/>
              <w:textAlignment w:val="center"/>
            </w:pPr>
            <w:r>
              <w:rPr>
                <w:rFonts w:hint="eastAsia" w:ascii="宋体" w:hAnsi="宋体" w:cs="宋体"/>
                <w:color w:val="000000"/>
              </w:rPr>
              <w:t xml:space="preserve">41,009,100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pPr>
              <w:textAlignment w:val="center"/>
            </w:pPr>
            <w:r>
              <w:rPr>
                <w:rFonts w:hint="eastAsia" w:ascii="宋体" w:hAnsi="宋体" w:cs="宋体"/>
                <w:color w:val="000000"/>
              </w:rPr>
              <w:t>金陵药业股份有限公司</w:t>
            </w:r>
          </w:p>
        </w:tc>
        <w:tc>
          <w:tcPr>
            <w:tcW w:w="1899" w:type="pct"/>
            <w:gridSpan w:val="3"/>
            <w:vAlign w:val="center"/>
          </w:tcPr>
          <w:p>
            <w:pPr>
              <w:jc w:val="right"/>
              <w:textAlignment w:val="center"/>
            </w:pPr>
            <w:r>
              <w:rPr>
                <w:rFonts w:hint="eastAsia" w:ascii="宋体" w:hAnsi="宋体" w:cs="宋体"/>
                <w:color w:val="000000"/>
              </w:rPr>
              <w:t xml:space="preserve">32,296,430 </w:t>
            </w:r>
          </w:p>
        </w:tc>
        <w:sdt>
          <w:sdtPr>
            <w:rPr>
              <w:bCs/>
            </w:rPr>
            <w:alias w:val="前十名无限售条件股东期末持有流通股的种类"/>
            <w:tag w:val="_GBC_9af790da2c3f438181d4c22147cf9cbc"/>
            <w:id w:val="147470987"/>
            <w:comboBox>
              <w:listItem w:displayText="人民币普通股" w:value="人民币普通股"/>
              <w:listItem w:displayText="境内上市外资股" w:value="境内上市外资股"/>
              <w:listItem w:displayText="境外上市外资股" w:value="境外上市外资股"/>
              <w:listItem w:displayText="其他" w:value="其他"/>
            </w:comboBox>
          </w:sdtPr>
          <w:sdtEndPr>
            <w:rPr>
              <w:bCs/>
            </w:rPr>
          </w:sdtEndPr>
          <w:sdtContent>
            <w:tc>
              <w:tcPr>
                <w:tcW w:w="808" w:type="pct"/>
                <w:vAlign w:val="center"/>
              </w:tcPr>
              <w:p>
                <w:pPr>
                  <w:jc w:val="center"/>
                  <w:rPr>
                    <w:bCs/>
                  </w:rPr>
                </w:pPr>
                <w:r>
                  <w:rPr>
                    <w:bCs/>
                  </w:rPr>
                  <w:t>人民币普通股</w:t>
                </w:r>
              </w:p>
            </w:tc>
          </w:sdtContent>
        </w:sdt>
        <w:tc>
          <w:tcPr>
            <w:tcW w:w="778" w:type="pct"/>
            <w:gridSpan w:val="2"/>
            <w:vAlign w:val="center"/>
          </w:tcPr>
          <w:p>
            <w:pPr>
              <w:jc w:val="right"/>
              <w:textAlignment w:val="center"/>
            </w:pPr>
            <w:r>
              <w:rPr>
                <w:rFonts w:hint="eastAsia" w:ascii="宋体" w:hAnsi="宋体" w:cs="宋体"/>
                <w:color w:val="000000"/>
              </w:rPr>
              <w:t xml:space="preserve">32,296,430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trPr>
        <w:tc>
          <w:tcPr>
            <w:tcW w:w="1513" w:type="pct"/>
            <w:vAlign w:val="center"/>
          </w:tcPr>
          <w:p>
            <w:r>
              <w:t>上述股东关联关系或一致行动的说明</w:t>
            </w:r>
          </w:p>
        </w:tc>
        <w:tc>
          <w:tcPr>
            <w:tcW w:w="3486" w:type="pct"/>
            <w:gridSpan w:val="6"/>
            <w:vAlign w:val="center"/>
          </w:tcPr>
          <w:p>
            <w:pPr>
              <w:rPr>
                <w:color w:val="FFC000"/>
              </w:rPr>
            </w:pPr>
            <w:r>
              <w:rPr>
                <w:rFonts w:hint="eastAsia"/>
              </w:rPr>
              <w:t>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13" w:type="pct"/>
            <w:vAlign w:val="center"/>
          </w:tcPr>
          <w:p>
            <w:r>
              <w:rPr>
                <w:rFonts w:hint="eastAsia" w:cs="宋体"/>
              </w:rPr>
              <w:t>前10名股东及前</w:t>
            </w:r>
            <w:r>
              <w:rPr>
                <w:rFonts w:cs="宋体"/>
              </w:rPr>
              <w:t>10名无限售股东</w:t>
            </w:r>
            <w:r>
              <w:rPr>
                <w:rFonts w:hint="eastAsia" w:cs="宋体"/>
              </w:rPr>
              <w:t>参与融资融券及转融通业务情况说明（如有）</w:t>
            </w:r>
          </w:p>
        </w:tc>
        <w:tc>
          <w:tcPr>
            <w:tcW w:w="3486" w:type="pct"/>
            <w:gridSpan w:val="6"/>
            <w:vAlign w:val="center"/>
          </w:tcPr>
          <w:p>
            <w:r>
              <w:rPr>
                <w:rFonts w:hint="eastAsia"/>
              </w:rPr>
              <w:t>　无</w:t>
            </w:r>
          </w:p>
        </w:tc>
      </w:tr>
    </w:tbl>
    <w:p>
      <w:pPr>
        <w:ind w:right="-1390" w:rightChars="-662"/>
      </w:pPr>
    </w:p>
    <w:bookmarkEnd w:id="20"/>
    <w:bookmarkEnd w:id="21"/>
    <w:p>
      <w:bookmarkStart w:id="23" w:name="_Hlk155094173"/>
      <w:r>
        <w:rPr>
          <w:rFonts w:hint="eastAsia"/>
        </w:rPr>
        <w:t>持股</w:t>
      </w:r>
      <w:r>
        <w:t>5%以上股东、前10名股东及前10名无限售流通股股东参与转融通业务出借股份情况</w:t>
      </w:r>
    </w:p>
    <w:sdt>
      <w:sdtPr>
        <w:rPr>
          <w:bCs/>
        </w:rPr>
        <w:alias w:val="是否适用：前十名股东参与转融通业务出借股份情况[双击切换]"/>
        <w:tag w:val="_GBC_84383dae9e274555a82ed7e0ca801bfb"/>
        <w:id w:val="147471328"/>
        <w:placeholder>
          <w:docPart w:val="GBC22222222222222222222222222222"/>
        </w:placeholder>
      </w:sdtPr>
      <w:sdtEndPr>
        <w:rPr>
          <w:bCs/>
        </w:rPr>
      </w:sdtEndPr>
      <w:sdtContent>
        <w:p>
          <w:pPr>
            <w:rPr>
              <w:bCs/>
            </w:rPr>
          </w:pPr>
          <w:r>
            <w:rPr>
              <w:rFonts w:ascii="宋体" w:hAnsi="宋体"/>
              <w:bCs/>
            </w:rPr>
            <w:fldChar w:fldCharType="begin"/>
          </w:r>
          <w:r>
            <w:rPr>
              <w:rFonts w:hint="eastAsia" w:ascii="宋体" w:hAnsi="宋体"/>
              <w:bCs/>
            </w:rPr>
            <w:instrText xml:space="preserve"> MACROBUTTON  SnrToggleCheckbox □适用 </w:instrText>
          </w:r>
          <w:r>
            <w:rPr>
              <w:rFonts w:ascii="宋体" w:hAnsi="宋体"/>
              <w:bCs/>
            </w:rPr>
            <w:fldChar w:fldCharType="end"/>
          </w:r>
          <w:r>
            <w:rPr>
              <w:rFonts w:ascii="宋体" w:hAnsi="宋体"/>
              <w:bCs/>
            </w:rPr>
            <w:fldChar w:fldCharType="begin"/>
          </w:r>
          <w:r>
            <w:rPr>
              <w:rFonts w:hint="eastAsia" w:ascii="宋体" w:hAnsi="宋体"/>
              <w:bCs/>
            </w:rPr>
            <w:instrText xml:space="preserve"> MACROBUTTON  SnrToggleCheckbox √不适用 </w:instrText>
          </w:r>
          <w:r>
            <w:rPr>
              <w:rFonts w:ascii="宋体" w:hAnsi="宋体"/>
              <w:bCs/>
            </w:rPr>
            <w:fldChar w:fldCharType="end"/>
          </w:r>
        </w:p>
      </w:sdtContent>
    </w:sdt>
    <w:p>
      <w:pPr>
        <w:rPr>
          <w:bCs/>
        </w:rPr>
      </w:pPr>
    </w:p>
    <w:bookmarkEnd w:id="23"/>
    <w:p>
      <w:r>
        <w:rPr>
          <w:rFonts w:hint="eastAsia"/>
        </w:rPr>
        <w:t>前</w:t>
      </w:r>
      <w:r>
        <w:t>10名股东及前10名无限售流通股股东因转融通出借/归还原因导致较上期发生变化</w:t>
      </w:r>
    </w:p>
    <w:sdt>
      <w:sdtPr>
        <w:rPr>
          <w:rFonts w:hint="eastAsia"/>
        </w:rPr>
        <w:alias w:val="是否适用：前十名股东较上期发生变化[双击切换]"/>
        <w:tag w:val="_GBC_9e712edb00bf4330b73e188359414b2d"/>
        <w:id w:val="147482058"/>
        <w:placeholder>
          <w:docPart w:val="GBC22222222222222222222222222222"/>
        </w:placeholder>
      </w:sdtPr>
      <w:sdtEndPr>
        <w:rPr>
          <w:rFonts w:hint="eastAsia"/>
        </w:rPr>
      </w:sdtEndPr>
      <w:sdtContent>
        <w:p>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p>
      <w:pPr>
        <w:pStyle w:val="2"/>
        <w:numPr>
          <w:ilvl w:val="0"/>
          <w:numId w:val="1"/>
        </w:numPr>
        <w:tabs>
          <w:tab w:val="left" w:pos="434"/>
          <w:tab w:val="left" w:pos="882"/>
        </w:tabs>
        <w:spacing w:before="0" w:after="0" w:line="360" w:lineRule="auto"/>
      </w:pPr>
      <w:bookmarkStart w:id="24" w:name="_Toc493164699"/>
      <w:bookmarkStart w:id="25" w:name="_Hlk83370119"/>
      <w:r>
        <w:rPr>
          <w:rFonts w:hint="eastAsia"/>
        </w:rPr>
        <w:t>其他提醒</w:t>
      </w:r>
      <w:r>
        <w:t>事项</w:t>
      </w:r>
      <w:bookmarkEnd w:id="24"/>
    </w:p>
    <w:p>
      <w:pPr>
        <w:pStyle w:val="62"/>
        <w:ind w:firstLine="0" w:firstLineChars="0"/>
      </w:pPr>
      <w:r>
        <w:rPr>
          <w:rFonts w:hint="eastAsia"/>
        </w:rPr>
        <w:t>需提醒投资者关注的关于公司报告期经营情况的其他重要信息</w:t>
      </w:r>
    </w:p>
    <w:sdt>
      <w:sdtPr>
        <w:alias w:val="是否适用：其他提醒事项[双击切换]"/>
        <w:tag w:val="_GBC_7c4cb09b45584a3dba504b455d432c9e"/>
        <w:id w:val="147464010"/>
        <w:placeholder>
          <w:docPart w:val="GBC22222222222222222222222222222"/>
        </w:placeholder>
      </w:sdtPr>
      <w:sdtContent>
        <w:p>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 MACROBUTTON  SnrToggleCheckbox □不适用 </w:instrText>
          </w:r>
          <w:r>
            <w:rPr>
              <w:rFonts w:ascii="宋体" w:hAnsi="宋体"/>
            </w:rPr>
            <w:fldChar w:fldCharType="end"/>
          </w:r>
        </w:p>
      </w:sdtContent>
    </w:sdt>
    <w:p>
      <w:pPr>
        <w:pStyle w:val="62"/>
        <w:numPr>
          <w:ilvl w:val="0"/>
          <w:numId w:val="4"/>
        </w:numPr>
        <w:ind w:firstLineChars="0"/>
        <w:rPr>
          <w:b/>
          <w:bCs/>
        </w:rPr>
      </w:pPr>
      <w:r>
        <w:rPr>
          <w:rFonts w:hint="eastAsia"/>
          <w:b/>
          <w:bCs/>
        </w:rPr>
        <w:t>补充会计</w:t>
      </w:r>
      <w:r>
        <w:rPr>
          <w:b/>
          <w:bCs/>
        </w:rPr>
        <w:t>数据</w:t>
      </w:r>
    </w:p>
    <w:p>
      <w:pPr>
        <w:wordWrap w:val="0"/>
        <w:jc w:val="right"/>
      </w:pPr>
      <w:r>
        <w:rPr>
          <w:rFonts w:hint="eastAsia"/>
        </w:rPr>
        <w:t>单位：</w:t>
      </w:r>
      <w:r>
        <w:t>千元</w:t>
      </w:r>
      <w:r>
        <w:rPr>
          <w:rFonts w:hint="eastAsia"/>
        </w:rPr>
        <w:t xml:space="preserve"> 币种：</w:t>
      </w:r>
      <w:r>
        <w:t>人民币</w:t>
      </w:r>
    </w:p>
    <w:tbl>
      <w:tblPr>
        <w:tblStyle w:val="103"/>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48"/>
        <w:gridCol w:w="2960"/>
        <w:gridCol w:w="2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jc w:val="center"/>
              <w:rPr>
                <w:rFonts w:asciiTheme="minorHAnsi" w:hAnsiTheme="minorHAnsi" w:eastAsiaTheme="minorEastAsia" w:cstheme="minorBidi"/>
              </w:rPr>
            </w:pPr>
            <w:r>
              <w:rPr>
                <w:rFonts w:hint="eastAsia" w:asciiTheme="minorHAnsi" w:hAnsiTheme="minorHAnsi" w:eastAsiaTheme="minorEastAsia" w:cstheme="minorBidi"/>
              </w:rPr>
              <w:t>项目</w:t>
            </w:r>
          </w:p>
        </w:tc>
        <w:tc>
          <w:tcPr>
            <w:tcW w:w="2960"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2026年9月30日</w:t>
            </w:r>
          </w:p>
        </w:tc>
        <w:tc>
          <w:tcPr>
            <w:tcW w:w="2943"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rPr>
                <w:rFonts w:asciiTheme="minorHAnsi" w:hAnsiTheme="minorHAnsi" w:eastAsiaTheme="minorEastAsia" w:cstheme="minorBidi"/>
              </w:rPr>
            </w:pPr>
            <w:r>
              <w:rPr>
                <w:rFonts w:hint="eastAsia" w:asciiTheme="minorHAnsi" w:hAnsiTheme="minorHAnsi" w:eastAsiaTheme="minorEastAsia" w:cstheme="minorBidi"/>
              </w:rPr>
              <w:t>资产总额</w:t>
            </w:r>
          </w:p>
        </w:tc>
        <w:tc>
          <w:tcPr>
            <w:tcW w:w="2960"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302,593,877</w:t>
            </w:r>
          </w:p>
        </w:tc>
        <w:tc>
          <w:tcPr>
            <w:tcW w:w="2943"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290,343,059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rPr>
                <w:rFonts w:asciiTheme="minorHAnsi" w:hAnsiTheme="minorHAnsi" w:eastAsiaTheme="minorEastAsia" w:cstheme="minorBidi"/>
              </w:rPr>
            </w:pPr>
            <w:r>
              <w:rPr>
                <w:rFonts w:hint="eastAsia" w:asciiTheme="minorHAnsi" w:hAnsiTheme="minorHAnsi" w:eastAsiaTheme="minorEastAsia" w:cstheme="minorBidi"/>
              </w:rPr>
              <w:t>负债总额</w:t>
            </w:r>
          </w:p>
        </w:tc>
        <w:tc>
          <w:tcPr>
            <w:tcW w:w="2960"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281,207,650</w:t>
            </w:r>
          </w:p>
        </w:tc>
        <w:tc>
          <w:tcPr>
            <w:tcW w:w="2943"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270,042,270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exact"/>
        </w:trPr>
        <w:tc>
          <w:tcPr>
            <w:tcW w:w="3148" w:type="dxa"/>
            <w:shd w:val="clear" w:color="auto" w:fill="auto"/>
            <w:vAlign w:val="center"/>
          </w:tcPr>
          <w:p>
            <w:pPr>
              <w:rPr>
                <w:rFonts w:asciiTheme="minorHAnsi" w:hAnsiTheme="minorHAnsi" w:eastAsiaTheme="minorEastAsia" w:cstheme="minorBidi"/>
              </w:rPr>
            </w:pPr>
            <w:r>
              <w:rPr>
                <w:rFonts w:hint="eastAsia" w:asciiTheme="minorHAnsi" w:hAnsiTheme="minorHAnsi" w:eastAsiaTheme="minorEastAsia" w:cstheme="minorBidi"/>
              </w:rPr>
              <w:t>股东权益</w:t>
            </w:r>
          </w:p>
        </w:tc>
        <w:tc>
          <w:tcPr>
            <w:tcW w:w="2960"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21,386,227</w:t>
            </w:r>
          </w:p>
        </w:tc>
        <w:tc>
          <w:tcPr>
            <w:tcW w:w="2943"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20,300,789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rPr>
                <w:rFonts w:asciiTheme="minorHAnsi" w:hAnsiTheme="minorHAnsi" w:eastAsiaTheme="minorEastAsia" w:cstheme="minorBidi"/>
              </w:rPr>
            </w:pPr>
            <w:r>
              <w:rPr>
                <w:rFonts w:hint="eastAsia" w:asciiTheme="minorHAnsi" w:hAnsiTheme="minorHAnsi" w:eastAsiaTheme="minorEastAsia" w:cstheme="minorBidi"/>
              </w:rPr>
              <w:t>存款总额</w:t>
            </w:r>
          </w:p>
        </w:tc>
        <w:tc>
          <w:tcPr>
            <w:tcW w:w="2960"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235,972,254</w:t>
            </w:r>
          </w:p>
        </w:tc>
        <w:tc>
          <w:tcPr>
            <w:tcW w:w="2943" w:type="dxa"/>
            <w:shd w:val="clear" w:color="auto" w:fill="auto"/>
          </w:tcPr>
          <w:p>
            <w:pPr>
              <w:jc w:val="right"/>
              <w:textAlignment w:val="center"/>
              <w:rPr>
                <w:rFonts w:ascii="宋体" w:hAnsi="宋体" w:cs="宋体" w:eastAsiaTheme="minorEastAsia"/>
                <w:color w:val="000000"/>
              </w:rPr>
            </w:pPr>
            <w:r>
              <w:rPr>
                <w:rFonts w:hint="eastAsia" w:ascii="宋体" w:hAnsi="宋体" w:cs="宋体" w:eastAsiaTheme="minorEastAsia"/>
                <w:color w:val="000000"/>
              </w:rPr>
              <w:t>224,499,827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9051" w:type="dxa"/>
            <w:gridSpan w:val="3"/>
            <w:shd w:val="clear" w:color="auto" w:fill="auto"/>
            <w:vAlign w:val="center"/>
          </w:tcPr>
          <w:p>
            <w:pPr>
              <w:textAlignment w:val="center"/>
              <w:rPr>
                <w:rFonts w:ascii="宋体" w:hAnsi="宋体" w:cs="宋体" w:eastAsiaTheme="minorEastAsia"/>
                <w:color w:val="auto"/>
              </w:rPr>
            </w:pPr>
            <w:r>
              <w:rPr>
                <w:rFonts w:hint="eastAsia" w:ascii="宋体" w:hAnsi="宋体" w:cs="宋体" w:eastAsiaTheme="minorEastAsia"/>
                <w:color w:val="auto"/>
              </w:rPr>
              <w:t>其中：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ind w:firstLine="420" w:firstLineChars="200"/>
              <w:rPr>
                <w:rFonts w:asciiTheme="minorHAnsi" w:hAnsiTheme="minorHAnsi" w:eastAsiaTheme="minorEastAsia" w:cstheme="minorBidi"/>
                <w:color w:val="auto"/>
              </w:rPr>
            </w:pPr>
            <w:r>
              <w:rPr>
                <w:rFonts w:hint="eastAsia" w:asciiTheme="minorHAnsi" w:hAnsiTheme="minorHAnsi" w:eastAsiaTheme="minorEastAsia" w:cstheme="minorBidi"/>
                <w:color w:val="auto"/>
              </w:rPr>
              <w:t>企业活期存款</w:t>
            </w:r>
          </w:p>
        </w:tc>
        <w:tc>
          <w:tcPr>
            <w:tcW w:w="2960" w:type="dxa"/>
            <w:shd w:val="clear" w:color="auto" w:fill="auto"/>
            <w:vAlign w:val="center"/>
          </w:tcPr>
          <w:p>
            <w:pPr>
              <w:jc w:val="right"/>
              <w:textAlignment w:val="center"/>
              <w:rPr>
                <w:rFonts w:ascii="宋体" w:hAnsi="宋体" w:cs="宋体" w:eastAsiaTheme="minorEastAsia"/>
                <w:color w:val="auto"/>
              </w:rPr>
            </w:pPr>
            <w:r>
              <w:rPr>
                <w:rFonts w:hint="eastAsia" w:ascii="宋体" w:hAnsi="宋体" w:cs="宋体" w:eastAsiaTheme="minorEastAsia"/>
                <w:color w:val="auto"/>
              </w:rPr>
              <w:t>26,354,158</w:t>
            </w:r>
          </w:p>
        </w:tc>
        <w:tc>
          <w:tcPr>
            <w:tcW w:w="2943" w:type="dxa"/>
            <w:shd w:val="clear" w:color="auto" w:fill="auto"/>
          </w:tcPr>
          <w:p>
            <w:pPr>
              <w:jc w:val="right"/>
              <w:textAlignment w:val="center"/>
              <w:rPr>
                <w:rFonts w:ascii="宋体" w:hAnsi="宋体" w:cs="宋体" w:eastAsiaTheme="minorEastAsia"/>
                <w:color w:val="auto"/>
              </w:rPr>
            </w:pPr>
            <w:r>
              <w:rPr>
                <w:rFonts w:hint="eastAsia" w:ascii="宋体" w:hAnsi="宋体" w:cs="宋体" w:eastAsiaTheme="minorEastAsia"/>
                <w:color w:val="auto"/>
              </w:rPr>
              <w:t>27,891,981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ind w:firstLine="420" w:firstLineChars="200"/>
              <w:rPr>
                <w:rFonts w:asciiTheme="minorHAnsi" w:hAnsiTheme="minorHAnsi" w:eastAsiaTheme="minorEastAsia" w:cstheme="minorBidi"/>
                <w:color w:val="auto"/>
              </w:rPr>
            </w:pPr>
            <w:r>
              <w:rPr>
                <w:rFonts w:hint="eastAsia" w:asciiTheme="minorHAnsi" w:hAnsiTheme="minorHAnsi" w:eastAsiaTheme="minorEastAsia" w:cstheme="minorBidi"/>
                <w:color w:val="auto"/>
              </w:rPr>
              <w:t>企业定期存款</w:t>
            </w:r>
          </w:p>
        </w:tc>
        <w:tc>
          <w:tcPr>
            <w:tcW w:w="2960" w:type="dxa"/>
            <w:shd w:val="clear" w:color="auto" w:fill="auto"/>
            <w:vAlign w:val="center"/>
          </w:tcPr>
          <w:p>
            <w:pPr>
              <w:jc w:val="right"/>
              <w:textAlignment w:val="center"/>
              <w:rPr>
                <w:rFonts w:ascii="宋体" w:hAnsi="宋体" w:cs="宋体" w:eastAsiaTheme="minorEastAsia"/>
                <w:color w:val="auto"/>
              </w:rPr>
            </w:pPr>
            <w:r>
              <w:rPr>
                <w:rFonts w:hint="eastAsia" w:ascii="宋体" w:hAnsi="宋体" w:cs="宋体" w:eastAsiaTheme="minorEastAsia"/>
                <w:color w:val="auto"/>
              </w:rPr>
              <w:t>47,410,378</w:t>
            </w:r>
          </w:p>
        </w:tc>
        <w:tc>
          <w:tcPr>
            <w:tcW w:w="2943" w:type="dxa"/>
            <w:shd w:val="clear" w:color="auto" w:fill="auto"/>
          </w:tcPr>
          <w:p>
            <w:pPr>
              <w:jc w:val="right"/>
              <w:textAlignment w:val="center"/>
              <w:rPr>
                <w:rFonts w:ascii="宋体" w:hAnsi="宋体" w:cs="宋体" w:eastAsiaTheme="minorEastAsia"/>
                <w:color w:val="auto"/>
              </w:rPr>
            </w:pPr>
            <w:r>
              <w:rPr>
                <w:rFonts w:hint="eastAsia" w:ascii="宋体" w:hAnsi="宋体" w:cs="宋体" w:eastAsiaTheme="minorEastAsia"/>
                <w:color w:val="auto"/>
              </w:rPr>
              <w:t>49,184,861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ind w:firstLine="420" w:firstLineChars="200"/>
              <w:rPr>
                <w:rFonts w:asciiTheme="minorHAnsi" w:hAnsiTheme="minorHAnsi" w:eastAsiaTheme="minorEastAsia" w:cstheme="minorBidi"/>
                <w:color w:val="auto"/>
              </w:rPr>
            </w:pPr>
            <w:r>
              <w:rPr>
                <w:rFonts w:hint="eastAsia" w:asciiTheme="minorHAnsi" w:hAnsiTheme="minorHAnsi" w:eastAsiaTheme="minorEastAsia" w:cstheme="minorBidi"/>
                <w:color w:val="auto"/>
              </w:rPr>
              <w:t>储蓄活期存款</w:t>
            </w:r>
          </w:p>
        </w:tc>
        <w:tc>
          <w:tcPr>
            <w:tcW w:w="2960" w:type="dxa"/>
            <w:shd w:val="clear" w:color="auto" w:fill="auto"/>
            <w:vAlign w:val="center"/>
          </w:tcPr>
          <w:p>
            <w:pPr>
              <w:jc w:val="right"/>
              <w:textAlignment w:val="center"/>
              <w:rPr>
                <w:rFonts w:ascii="宋体" w:hAnsi="宋体" w:cs="宋体" w:eastAsiaTheme="minorEastAsia"/>
                <w:color w:val="auto"/>
              </w:rPr>
            </w:pPr>
            <w:r>
              <w:rPr>
                <w:rFonts w:hint="eastAsia" w:ascii="宋体" w:hAnsi="宋体" w:cs="宋体" w:eastAsiaTheme="minorEastAsia"/>
                <w:color w:val="auto"/>
              </w:rPr>
              <w:t>14,847,697</w:t>
            </w:r>
          </w:p>
        </w:tc>
        <w:tc>
          <w:tcPr>
            <w:tcW w:w="2943" w:type="dxa"/>
            <w:shd w:val="clear" w:color="auto" w:fill="auto"/>
          </w:tcPr>
          <w:p>
            <w:pPr>
              <w:jc w:val="right"/>
              <w:textAlignment w:val="center"/>
              <w:rPr>
                <w:rFonts w:ascii="宋体" w:hAnsi="宋体" w:cs="宋体" w:eastAsiaTheme="minorEastAsia"/>
                <w:color w:val="auto"/>
              </w:rPr>
            </w:pPr>
            <w:r>
              <w:rPr>
                <w:rFonts w:hint="eastAsia" w:ascii="宋体" w:hAnsi="宋体" w:cs="宋体" w:eastAsiaTheme="minorEastAsia"/>
                <w:color w:val="auto"/>
              </w:rPr>
              <w:t>14,998,459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ind w:firstLine="420" w:firstLineChars="200"/>
              <w:rPr>
                <w:rFonts w:asciiTheme="minorHAnsi" w:hAnsiTheme="minorHAnsi" w:eastAsiaTheme="minorEastAsia" w:cstheme="minorBidi"/>
                <w:color w:val="auto"/>
              </w:rPr>
            </w:pPr>
            <w:r>
              <w:rPr>
                <w:rFonts w:hint="eastAsia" w:asciiTheme="minorHAnsi" w:hAnsiTheme="minorHAnsi" w:eastAsiaTheme="minorEastAsia" w:cstheme="minorBidi"/>
                <w:color w:val="auto"/>
              </w:rPr>
              <w:t>储蓄定期存款</w:t>
            </w:r>
          </w:p>
        </w:tc>
        <w:tc>
          <w:tcPr>
            <w:tcW w:w="2960" w:type="dxa"/>
            <w:shd w:val="clear" w:color="auto" w:fill="auto"/>
            <w:vAlign w:val="center"/>
          </w:tcPr>
          <w:p>
            <w:pPr>
              <w:jc w:val="right"/>
              <w:textAlignment w:val="center"/>
              <w:rPr>
                <w:rFonts w:ascii="宋体" w:hAnsi="宋体" w:cs="宋体" w:eastAsiaTheme="minorEastAsia"/>
                <w:color w:val="auto"/>
              </w:rPr>
            </w:pPr>
            <w:r>
              <w:rPr>
                <w:rFonts w:hint="eastAsia" w:ascii="宋体" w:hAnsi="宋体" w:cs="宋体" w:eastAsiaTheme="minorEastAsia"/>
                <w:color w:val="auto"/>
              </w:rPr>
              <w:t>136,743,198</w:t>
            </w:r>
          </w:p>
        </w:tc>
        <w:tc>
          <w:tcPr>
            <w:tcW w:w="2943" w:type="dxa"/>
            <w:shd w:val="clear" w:color="auto" w:fill="auto"/>
          </w:tcPr>
          <w:p>
            <w:pPr>
              <w:jc w:val="right"/>
              <w:textAlignment w:val="center"/>
              <w:rPr>
                <w:rFonts w:ascii="宋体" w:hAnsi="宋体" w:cs="宋体" w:eastAsiaTheme="minorEastAsia"/>
                <w:color w:val="auto"/>
              </w:rPr>
            </w:pPr>
            <w:r>
              <w:rPr>
                <w:rFonts w:hint="eastAsia" w:ascii="宋体" w:hAnsi="宋体" w:cs="宋体" w:eastAsiaTheme="minorEastAsia"/>
                <w:color w:val="auto"/>
              </w:rPr>
              <w:t>124,434,004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rPr>
                <w:rFonts w:asciiTheme="minorHAnsi" w:hAnsiTheme="minorHAnsi" w:eastAsiaTheme="minorEastAsia" w:cstheme="minorBidi"/>
                <w:color w:val="auto"/>
              </w:rPr>
            </w:pPr>
            <w:r>
              <w:rPr>
                <w:rFonts w:hint="eastAsia" w:asciiTheme="minorHAnsi" w:hAnsiTheme="minorHAnsi" w:eastAsiaTheme="minorEastAsia" w:cstheme="minorBidi"/>
                <w:color w:val="auto"/>
              </w:rPr>
              <w:t>贷款总额</w:t>
            </w:r>
          </w:p>
        </w:tc>
        <w:tc>
          <w:tcPr>
            <w:tcW w:w="2960" w:type="dxa"/>
            <w:shd w:val="clear" w:color="auto" w:fill="auto"/>
            <w:vAlign w:val="center"/>
          </w:tcPr>
          <w:p>
            <w:pPr>
              <w:jc w:val="right"/>
              <w:textAlignment w:val="center"/>
              <w:rPr>
                <w:rFonts w:ascii="宋体" w:hAnsi="宋体" w:cs="宋体" w:eastAsiaTheme="minorEastAsia"/>
                <w:color w:val="auto"/>
              </w:rPr>
            </w:pPr>
            <w:r>
              <w:rPr>
                <w:rFonts w:hint="eastAsia" w:ascii="宋体" w:hAnsi="宋体" w:cs="宋体" w:eastAsiaTheme="minorEastAsia"/>
                <w:color w:val="auto"/>
              </w:rPr>
              <w:t>201,000,617</w:t>
            </w:r>
          </w:p>
        </w:tc>
        <w:tc>
          <w:tcPr>
            <w:tcW w:w="2943" w:type="dxa"/>
            <w:shd w:val="clear" w:color="auto" w:fill="auto"/>
          </w:tcPr>
          <w:p>
            <w:pPr>
              <w:jc w:val="right"/>
              <w:textAlignment w:val="center"/>
              <w:rPr>
                <w:rFonts w:ascii="宋体" w:hAnsi="宋体" w:cs="宋体" w:eastAsiaTheme="minorEastAsia"/>
                <w:color w:val="auto"/>
              </w:rPr>
            </w:pPr>
            <w:r>
              <w:rPr>
                <w:rFonts w:hint="eastAsia" w:ascii="宋体" w:hAnsi="宋体" w:cs="宋体" w:eastAsiaTheme="minorEastAsia"/>
                <w:color w:val="auto"/>
              </w:rPr>
              <w:t>194,907,336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9051" w:type="dxa"/>
            <w:gridSpan w:val="3"/>
            <w:shd w:val="clear" w:color="auto" w:fill="auto"/>
            <w:vAlign w:val="center"/>
          </w:tcPr>
          <w:p>
            <w:pPr>
              <w:textAlignment w:val="center"/>
              <w:rPr>
                <w:rFonts w:ascii="宋体" w:hAnsi="宋体" w:cs="宋体" w:eastAsiaTheme="minorEastAsia"/>
                <w:color w:val="auto"/>
              </w:rPr>
            </w:pPr>
            <w:r>
              <w:rPr>
                <w:rFonts w:hint="eastAsia" w:ascii="宋体" w:hAnsi="宋体" w:cs="宋体" w:eastAsiaTheme="minorEastAsia"/>
                <w:color w:val="auto"/>
              </w:rPr>
              <w:t>其中：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ind w:firstLine="420" w:firstLineChars="200"/>
              <w:rPr>
                <w:rFonts w:asciiTheme="minorHAnsi" w:hAnsiTheme="minorHAnsi" w:eastAsiaTheme="minorEastAsia" w:cstheme="minorBidi"/>
              </w:rPr>
            </w:pPr>
            <w:r>
              <w:rPr>
                <w:rFonts w:hint="eastAsia" w:asciiTheme="minorHAnsi" w:hAnsiTheme="minorHAnsi" w:eastAsiaTheme="minorEastAsia" w:cstheme="minorBidi"/>
              </w:rPr>
              <w:t>企业贷款</w:t>
            </w:r>
          </w:p>
        </w:tc>
        <w:tc>
          <w:tcPr>
            <w:tcW w:w="2960"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145,891,393</w:t>
            </w:r>
          </w:p>
        </w:tc>
        <w:tc>
          <w:tcPr>
            <w:tcW w:w="2943" w:type="dxa"/>
            <w:shd w:val="clear" w:color="auto" w:fill="auto"/>
          </w:tcPr>
          <w:p>
            <w:pPr>
              <w:jc w:val="right"/>
              <w:textAlignment w:val="center"/>
              <w:rPr>
                <w:rFonts w:ascii="宋体" w:hAnsi="宋体" w:cs="宋体" w:eastAsiaTheme="minorEastAsia"/>
                <w:color w:val="000000"/>
              </w:rPr>
            </w:pPr>
            <w:r>
              <w:rPr>
                <w:rFonts w:hint="eastAsia" w:ascii="宋体" w:hAnsi="宋体" w:cs="宋体" w:eastAsiaTheme="minorEastAsia"/>
                <w:color w:val="000000"/>
              </w:rPr>
              <w:t>132,728,775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ind w:firstLine="420" w:firstLineChars="200"/>
              <w:rPr>
                <w:rFonts w:asciiTheme="minorHAnsi" w:hAnsiTheme="minorHAnsi" w:eastAsiaTheme="minorEastAsia" w:cstheme="minorBidi"/>
              </w:rPr>
            </w:pPr>
            <w:r>
              <w:rPr>
                <w:rFonts w:hint="eastAsia" w:asciiTheme="minorHAnsi" w:hAnsiTheme="minorHAnsi" w:eastAsiaTheme="minorEastAsia" w:cstheme="minorBidi"/>
              </w:rPr>
              <w:t>零售贷款</w:t>
            </w:r>
          </w:p>
        </w:tc>
        <w:tc>
          <w:tcPr>
            <w:tcW w:w="2960"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32,733,627</w:t>
            </w:r>
          </w:p>
        </w:tc>
        <w:tc>
          <w:tcPr>
            <w:tcW w:w="2943" w:type="dxa"/>
            <w:shd w:val="clear" w:color="auto" w:fill="auto"/>
          </w:tcPr>
          <w:p>
            <w:pPr>
              <w:jc w:val="right"/>
              <w:textAlignment w:val="center"/>
              <w:rPr>
                <w:rFonts w:ascii="宋体" w:hAnsi="宋体" w:cs="宋体" w:eastAsiaTheme="minorEastAsia"/>
                <w:color w:val="000000"/>
              </w:rPr>
            </w:pPr>
            <w:r>
              <w:rPr>
                <w:rFonts w:hint="eastAsia" w:ascii="宋体" w:hAnsi="宋体" w:cs="宋体" w:eastAsiaTheme="minorEastAsia"/>
                <w:color w:val="000000"/>
              </w:rPr>
              <w:t>33,730,004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ind w:firstLine="420" w:firstLineChars="200"/>
              <w:rPr>
                <w:rFonts w:asciiTheme="minorHAnsi" w:hAnsiTheme="minorHAnsi" w:eastAsiaTheme="minorEastAsia" w:cstheme="minorBidi"/>
              </w:rPr>
            </w:pPr>
            <w:r>
              <w:rPr>
                <w:rFonts w:hint="eastAsia" w:asciiTheme="minorHAnsi" w:hAnsiTheme="minorHAnsi" w:eastAsiaTheme="minorEastAsia" w:cstheme="minorBidi"/>
              </w:rPr>
              <w:t>贴现</w:t>
            </w:r>
          </w:p>
        </w:tc>
        <w:tc>
          <w:tcPr>
            <w:tcW w:w="2960"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22,375,597</w:t>
            </w:r>
          </w:p>
        </w:tc>
        <w:tc>
          <w:tcPr>
            <w:tcW w:w="2943" w:type="dxa"/>
            <w:shd w:val="clear" w:color="auto" w:fill="auto"/>
          </w:tcPr>
          <w:p>
            <w:pPr>
              <w:jc w:val="right"/>
              <w:textAlignment w:val="center"/>
              <w:rPr>
                <w:rFonts w:ascii="宋体" w:hAnsi="宋体" w:cs="宋体" w:eastAsiaTheme="minorEastAsia"/>
                <w:color w:val="000000"/>
              </w:rPr>
            </w:pPr>
            <w:r>
              <w:rPr>
                <w:rFonts w:hint="eastAsia" w:ascii="宋体" w:hAnsi="宋体" w:cs="宋体" w:eastAsiaTheme="minorEastAsia"/>
                <w:color w:val="000000"/>
              </w:rPr>
              <w:t>28,448,557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trPr>
        <w:tc>
          <w:tcPr>
            <w:tcW w:w="3148" w:type="dxa"/>
            <w:shd w:val="clear" w:color="auto" w:fill="auto"/>
            <w:vAlign w:val="center"/>
          </w:tcPr>
          <w:p>
            <w:pPr>
              <w:rPr>
                <w:rFonts w:asciiTheme="minorHAnsi" w:hAnsiTheme="minorHAnsi" w:eastAsiaTheme="minorEastAsia" w:cstheme="minorBidi"/>
              </w:rPr>
            </w:pPr>
            <w:r>
              <w:rPr>
                <w:rFonts w:hint="eastAsia" w:asciiTheme="minorHAnsi" w:hAnsiTheme="minorHAnsi" w:eastAsiaTheme="minorEastAsia" w:cstheme="minorBidi"/>
              </w:rPr>
              <w:t>贷款损失准备</w:t>
            </w:r>
          </w:p>
        </w:tc>
        <w:tc>
          <w:tcPr>
            <w:tcW w:w="2960" w:type="dxa"/>
            <w:shd w:val="clear" w:color="auto" w:fill="auto"/>
            <w:vAlign w:val="center"/>
          </w:tcPr>
          <w:p>
            <w:pPr>
              <w:jc w:val="right"/>
              <w:textAlignment w:val="center"/>
              <w:rPr>
                <w:rFonts w:hint="eastAsia" w:ascii="宋体" w:hAnsi="宋体" w:cs="宋体" w:eastAsiaTheme="minorEastAsia"/>
                <w:color w:val="000000"/>
                <w:lang w:val="en-US" w:eastAsia="zh-CN"/>
              </w:rPr>
            </w:pPr>
            <w:r>
              <w:rPr>
                <w:rFonts w:hint="eastAsia" w:ascii="宋体" w:hAnsi="宋体" w:cs="宋体" w:eastAsiaTheme="minorEastAsia"/>
                <w:color w:val="000000"/>
                <w:shd w:val="clear"/>
              </w:rPr>
              <w:t>4,791,49</w:t>
            </w:r>
            <w:r>
              <w:rPr>
                <w:rFonts w:hint="eastAsia" w:ascii="宋体" w:hAnsi="宋体" w:cs="宋体" w:eastAsiaTheme="minorEastAsia"/>
                <w:color w:val="000000"/>
                <w:shd w:val="clear"/>
                <w:lang w:val="en-US" w:eastAsia="zh-CN"/>
              </w:rPr>
              <w:t>9</w:t>
            </w:r>
          </w:p>
        </w:tc>
        <w:tc>
          <w:tcPr>
            <w:tcW w:w="2943"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4,732,025</w:t>
            </w:r>
          </w:p>
        </w:tc>
      </w:tr>
    </w:tbl>
    <w:p/>
    <w:p>
      <w:pPr>
        <w:pStyle w:val="3"/>
        <w:ind w:left="420"/>
      </w:pPr>
      <w:r>
        <w:rPr>
          <w:rFonts w:hint="eastAsia"/>
        </w:rPr>
        <w:t>（二）补充资本</w:t>
      </w:r>
      <w:r>
        <w:t>数据</w:t>
      </w:r>
    </w:p>
    <w:p>
      <w:pPr>
        <w:wordWrap w:val="0"/>
        <w:jc w:val="right"/>
      </w:pPr>
      <w:r>
        <w:rPr>
          <w:rFonts w:hint="eastAsia"/>
        </w:rPr>
        <w:t>单位：千元 币种：人民币</w:t>
      </w:r>
    </w:p>
    <w:tbl>
      <w:tblPr>
        <w:tblStyle w:val="39"/>
        <w:tblW w:w="90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26"/>
        <w:gridCol w:w="2833"/>
        <w:gridCol w:w="2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26" w:type="dxa"/>
            <w:shd w:val="clear" w:color="auto" w:fill="auto"/>
            <w:vAlign w:val="center"/>
          </w:tcPr>
          <w:p>
            <w:pPr>
              <w:jc w:val="center"/>
              <w:rPr>
                <w:rFonts w:hAnsi="Arial"/>
              </w:rPr>
            </w:pPr>
            <w:r>
              <w:rPr>
                <w:rFonts w:hint="eastAsia" w:hAnsi="Arial"/>
              </w:rPr>
              <w:t>项目</w:t>
            </w:r>
          </w:p>
        </w:tc>
        <w:tc>
          <w:tcPr>
            <w:tcW w:w="2833" w:type="dxa"/>
            <w:shd w:val="clear" w:color="auto" w:fill="auto"/>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2026年9月30日</w:t>
            </w:r>
          </w:p>
        </w:tc>
        <w:tc>
          <w:tcPr>
            <w:tcW w:w="2690"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26" w:type="dxa"/>
            <w:shd w:val="clear" w:color="auto" w:fill="auto"/>
            <w:vAlign w:val="center"/>
          </w:tcPr>
          <w:p>
            <w:pPr>
              <w:rPr>
                <w:rFonts w:hAnsi="Arial"/>
              </w:rPr>
            </w:pPr>
            <w:r>
              <w:rPr>
                <w:rFonts w:hint="eastAsia" w:hAnsi="Arial"/>
              </w:rPr>
              <w:t>核心一级资本净额</w:t>
            </w:r>
          </w:p>
        </w:tc>
        <w:tc>
          <w:tcPr>
            <w:tcW w:w="2833"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21,081,747</w:t>
            </w:r>
          </w:p>
        </w:tc>
        <w:tc>
          <w:tcPr>
            <w:tcW w:w="2690"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19,997,554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26" w:type="dxa"/>
            <w:shd w:val="clear" w:color="auto" w:fill="auto"/>
            <w:vAlign w:val="center"/>
          </w:tcPr>
          <w:p>
            <w:pPr>
              <w:rPr>
                <w:rFonts w:hAnsi="Arial"/>
              </w:rPr>
            </w:pPr>
            <w:r>
              <w:rPr>
                <w:rFonts w:hint="eastAsia" w:hAnsi="Arial"/>
              </w:rPr>
              <w:t>一级资本净额</w:t>
            </w:r>
          </w:p>
        </w:tc>
        <w:tc>
          <w:tcPr>
            <w:tcW w:w="2833"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 xml:space="preserve">  21,081,747 </w:t>
            </w:r>
          </w:p>
        </w:tc>
        <w:tc>
          <w:tcPr>
            <w:tcW w:w="2690"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19,997,554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26" w:type="dxa"/>
            <w:shd w:val="clear" w:color="auto" w:fill="auto"/>
            <w:vAlign w:val="center"/>
          </w:tcPr>
          <w:p>
            <w:pPr>
              <w:rPr>
                <w:rFonts w:hAnsi="Arial"/>
              </w:rPr>
            </w:pPr>
            <w:r>
              <w:rPr>
                <w:rFonts w:hint="eastAsia" w:hAnsi="Arial"/>
              </w:rPr>
              <w:t>资本净额</w:t>
            </w:r>
          </w:p>
        </w:tc>
        <w:tc>
          <w:tcPr>
            <w:tcW w:w="2833"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 xml:space="preserve">  25,210,790 </w:t>
            </w:r>
          </w:p>
        </w:tc>
        <w:tc>
          <w:tcPr>
            <w:tcW w:w="2690"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24,109,000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26" w:type="dxa"/>
            <w:shd w:val="clear" w:color="auto" w:fill="auto"/>
            <w:vAlign w:val="center"/>
          </w:tcPr>
          <w:p>
            <w:pPr>
              <w:rPr>
                <w:rFonts w:hAnsi="Arial"/>
              </w:rPr>
            </w:pPr>
            <w:r>
              <w:rPr>
                <w:rFonts w:hint="eastAsia" w:hAnsi="Arial"/>
              </w:rPr>
              <w:t>风险加权资产合计</w:t>
            </w:r>
          </w:p>
        </w:tc>
        <w:tc>
          <w:tcPr>
            <w:tcW w:w="2833"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 xml:space="preserve">200,801,694 </w:t>
            </w:r>
          </w:p>
          <w:p>
            <w:pPr>
              <w:jc w:val="right"/>
              <w:textAlignment w:val="center"/>
              <w:rPr>
                <w:rFonts w:ascii="宋体" w:hAnsi="宋体" w:cs="宋体"/>
                <w:color w:val="000000"/>
              </w:rPr>
            </w:pPr>
          </w:p>
        </w:tc>
        <w:tc>
          <w:tcPr>
            <w:tcW w:w="2690"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188,269,592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26" w:type="dxa"/>
            <w:shd w:val="clear" w:color="auto" w:fill="auto"/>
            <w:vAlign w:val="center"/>
          </w:tcPr>
          <w:p>
            <w:pPr>
              <w:rPr>
                <w:rFonts w:hAnsi="Arial"/>
              </w:rPr>
            </w:pPr>
            <w:r>
              <w:rPr>
                <w:rFonts w:hint="eastAsia" w:hAnsi="Arial"/>
              </w:rPr>
              <w:t>核心一级资本充足率（%）</w:t>
            </w:r>
          </w:p>
        </w:tc>
        <w:tc>
          <w:tcPr>
            <w:tcW w:w="2833"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10.50</w:t>
            </w:r>
          </w:p>
        </w:tc>
        <w:tc>
          <w:tcPr>
            <w:tcW w:w="2690"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10.62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26" w:type="dxa"/>
            <w:shd w:val="clear" w:color="auto" w:fill="auto"/>
            <w:vAlign w:val="center"/>
          </w:tcPr>
          <w:p>
            <w:pPr>
              <w:rPr>
                <w:rFonts w:hAnsi="Arial"/>
              </w:rPr>
            </w:pPr>
            <w:r>
              <w:rPr>
                <w:rFonts w:hint="eastAsia" w:hAnsi="Arial"/>
              </w:rPr>
              <w:t>一级资本充足率（%）</w:t>
            </w:r>
          </w:p>
        </w:tc>
        <w:tc>
          <w:tcPr>
            <w:tcW w:w="2833"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10.50</w:t>
            </w:r>
          </w:p>
        </w:tc>
        <w:tc>
          <w:tcPr>
            <w:tcW w:w="2690"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10.62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26" w:type="dxa"/>
            <w:shd w:val="clear" w:color="auto" w:fill="auto"/>
            <w:vAlign w:val="center"/>
          </w:tcPr>
          <w:p>
            <w:pPr>
              <w:rPr>
                <w:rFonts w:hAnsi="Arial"/>
              </w:rPr>
            </w:pPr>
            <w:r>
              <w:rPr>
                <w:rFonts w:hint="eastAsia" w:hAnsi="Arial"/>
              </w:rPr>
              <w:t>资本充足率（%）</w:t>
            </w:r>
          </w:p>
        </w:tc>
        <w:tc>
          <w:tcPr>
            <w:tcW w:w="2833"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12.56</w:t>
            </w:r>
          </w:p>
        </w:tc>
        <w:tc>
          <w:tcPr>
            <w:tcW w:w="2690"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12.81</w:t>
            </w:r>
          </w:p>
        </w:tc>
      </w:tr>
    </w:tbl>
    <w:p/>
    <w:p>
      <w:pPr>
        <w:pStyle w:val="3"/>
        <w:ind w:left="420"/>
      </w:pPr>
      <w:r>
        <w:rPr>
          <w:rFonts w:hint="eastAsia"/>
        </w:rPr>
        <w:t>（三）补充财务</w:t>
      </w:r>
      <w:r>
        <w:t>指标</w:t>
      </w:r>
    </w:p>
    <w:tbl>
      <w:tblPr>
        <w:tblStyle w:val="103"/>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0"/>
        <w:gridCol w:w="2835"/>
        <w:gridCol w:w="2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10" w:type="dxa"/>
            <w:shd w:val="clear" w:color="auto" w:fill="auto"/>
            <w:vAlign w:val="center"/>
          </w:tcPr>
          <w:p>
            <w:pPr>
              <w:jc w:val="center"/>
              <w:rPr>
                <w:rFonts w:asciiTheme="minorHAnsi" w:hAnsiTheme="minorHAnsi" w:eastAsiaTheme="minorEastAsia" w:cstheme="minorBidi"/>
              </w:rPr>
            </w:pPr>
            <w:r>
              <w:rPr>
                <w:rFonts w:hint="eastAsia" w:asciiTheme="minorHAnsi" w:hAnsiTheme="minorHAnsi" w:eastAsiaTheme="minorEastAsia" w:cstheme="minorBidi"/>
              </w:rPr>
              <w:t>项目（%）</w:t>
            </w:r>
          </w:p>
        </w:tc>
        <w:tc>
          <w:tcPr>
            <w:tcW w:w="2835"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2026年三季度</w:t>
            </w:r>
          </w:p>
        </w:tc>
        <w:tc>
          <w:tcPr>
            <w:tcW w:w="2694"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bCs/>
              </w:rPr>
              <w:t>2025年度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10" w:type="dxa"/>
            <w:shd w:val="clear" w:color="auto" w:fill="auto"/>
          </w:tcPr>
          <w:p>
            <w:pPr>
              <w:rPr>
                <w:rFonts w:asciiTheme="minorHAnsi" w:hAnsiTheme="minorHAnsi" w:eastAsiaTheme="minorEastAsia" w:cstheme="minorBidi"/>
                <w:highlight w:val="yellow"/>
              </w:rPr>
            </w:pPr>
            <w:r>
              <w:rPr>
                <w:rFonts w:hint="eastAsia" w:asciiTheme="minorHAnsi" w:hAnsiTheme="minorHAnsi" w:eastAsiaTheme="minorEastAsia" w:cstheme="minorBidi"/>
              </w:rPr>
              <w:t>不良贷款率</w:t>
            </w:r>
          </w:p>
        </w:tc>
        <w:tc>
          <w:tcPr>
            <w:tcW w:w="2835"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1.33 </w:t>
            </w:r>
          </w:p>
        </w:tc>
        <w:tc>
          <w:tcPr>
            <w:tcW w:w="2694"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1.35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10" w:type="dxa"/>
            <w:shd w:val="clear" w:color="auto" w:fill="auto"/>
          </w:tcPr>
          <w:p>
            <w:pPr>
              <w:rPr>
                <w:rFonts w:asciiTheme="minorHAnsi" w:hAnsiTheme="minorHAnsi" w:eastAsiaTheme="minorEastAsia" w:cstheme="minorBidi"/>
              </w:rPr>
            </w:pPr>
            <w:r>
              <w:rPr>
                <w:rFonts w:hint="eastAsia" w:asciiTheme="minorHAnsi" w:hAnsiTheme="minorHAnsi" w:eastAsiaTheme="minorEastAsia" w:cstheme="minorBidi"/>
              </w:rPr>
              <w:t>流动性比例</w:t>
            </w:r>
          </w:p>
        </w:tc>
        <w:tc>
          <w:tcPr>
            <w:tcW w:w="2835"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93.00 </w:t>
            </w:r>
          </w:p>
        </w:tc>
        <w:tc>
          <w:tcPr>
            <w:tcW w:w="2694"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87.48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10" w:type="dxa"/>
            <w:shd w:val="clear" w:color="auto" w:fill="auto"/>
          </w:tcPr>
          <w:p>
            <w:pPr>
              <w:rPr>
                <w:rFonts w:asciiTheme="minorHAnsi" w:hAnsiTheme="minorHAnsi" w:eastAsiaTheme="minorEastAsia" w:cstheme="minorBidi"/>
              </w:rPr>
            </w:pPr>
            <w:r>
              <w:rPr>
                <w:rFonts w:hint="eastAsia" w:asciiTheme="minorHAnsi" w:hAnsiTheme="minorHAnsi" w:eastAsiaTheme="minorEastAsia" w:cstheme="minorBidi"/>
              </w:rPr>
              <w:t>存贷比</w:t>
            </w:r>
          </w:p>
        </w:tc>
        <w:tc>
          <w:tcPr>
            <w:tcW w:w="2835"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85.18 </w:t>
            </w:r>
          </w:p>
        </w:tc>
        <w:tc>
          <w:tcPr>
            <w:tcW w:w="2694"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86.82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10" w:type="dxa"/>
            <w:shd w:val="clear" w:color="auto" w:fill="auto"/>
          </w:tcPr>
          <w:p>
            <w:pPr>
              <w:rPr>
                <w:rFonts w:asciiTheme="minorHAnsi" w:hAnsiTheme="minorHAnsi" w:eastAsiaTheme="minorEastAsia" w:cstheme="minorBidi"/>
              </w:rPr>
            </w:pPr>
            <w:r>
              <w:rPr>
                <w:rFonts w:hint="eastAsia" w:asciiTheme="minorHAnsi" w:hAnsiTheme="minorHAnsi" w:eastAsiaTheme="minorEastAsia" w:cstheme="minorBidi"/>
              </w:rPr>
              <w:t>拨备覆盖率</w:t>
            </w:r>
          </w:p>
        </w:tc>
        <w:tc>
          <w:tcPr>
            <w:tcW w:w="2835"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178.86 </w:t>
            </w:r>
          </w:p>
        </w:tc>
        <w:tc>
          <w:tcPr>
            <w:tcW w:w="2694"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180.09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10" w:type="dxa"/>
            <w:shd w:val="clear" w:color="auto" w:fill="auto"/>
          </w:tcPr>
          <w:p>
            <w:pPr>
              <w:rPr>
                <w:rFonts w:asciiTheme="minorHAnsi" w:hAnsiTheme="minorHAnsi" w:eastAsiaTheme="minorEastAsia" w:cstheme="minorBidi"/>
              </w:rPr>
            </w:pPr>
            <w:r>
              <w:rPr>
                <w:rFonts w:hint="eastAsia" w:asciiTheme="minorHAnsi" w:hAnsiTheme="minorHAnsi" w:eastAsiaTheme="minorEastAsia" w:cstheme="minorBidi"/>
              </w:rPr>
              <w:t>拨贷比</w:t>
            </w:r>
          </w:p>
        </w:tc>
        <w:tc>
          <w:tcPr>
            <w:tcW w:w="2835"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2.38 </w:t>
            </w:r>
          </w:p>
        </w:tc>
        <w:tc>
          <w:tcPr>
            <w:tcW w:w="2694"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2.43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10" w:type="dxa"/>
            <w:shd w:val="clear" w:color="auto" w:fill="auto"/>
          </w:tcPr>
          <w:p>
            <w:pPr>
              <w:rPr>
                <w:rFonts w:asciiTheme="minorHAnsi" w:hAnsiTheme="minorHAnsi" w:eastAsiaTheme="minorEastAsia" w:cstheme="minorBidi"/>
              </w:rPr>
            </w:pPr>
            <w:r>
              <w:rPr>
                <w:rFonts w:hint="eastAsia" w:asciiTheme="minorHAnsi" w:hAnsiTheme="minorHAnsi" w:eastAsiaTheme="minorEastAsia" w:cstheme="minorBidi"/>
              </w:rPr>
              <w:t>成本收入比</w:t>
            </w:r>
          </w:p>
        </w:tc>
        <w:tc>
          <w:tcPr>
            <w:tcW w:w="2835"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30.19 </w:t>
            </w:r>
          </w:p>
        </w:tc>
        <w:tc>
          <w:tcPr>
            <w:tcW w:w="2694"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36.73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10" w:type="dxa"/>
            <w:shd w:val="clear" w:color="auto" w:fill="auto"/>
          </w:tcPr>
          <w:p>
            <w:pPr>
              <w:rPr>
                <w:rFonts w:asciiTheme="minorHAnsi" w:hAnsiTheme="minorHAnsi" w:eastAsiaTheme="minorEastAsia" w:cstheme="minorBidi"/>
              </w:rPr>
            </w:pPr>
            <w:r>
              <w:rPr>
                <w:rFonts w:hint="eastAsia" w:asciiTheme="minorHAnsi" w:hAnsiTheme="minorHAnsi" w:eastAsiaTheme="minorEastAsia" w:cstheme="minorBidi"/>
                <w:szCs w:val="22"/>
              </w:rPr>
              <w:t>净息差</w:t>
            </w:r>
          </w:p>
        </w:tc>
        <w:tc>
          <w:tcPr>
            <w:tcW w:w="2835"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1.11 </w:t>
            </w:r>
          </w:p>
        </w:tc>
        <w:tc>
          <w:tcPr>
            <w:tcW w:w="2694"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1.13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510" w:type="dxa"/>
            <w:shd w:val="clear" w:color="auto" w:fill="auto"/>
          </w:tcPr>
          <w:p>
            <w:pPr>
              <w:rPr>
                <w:rFonts w:asciiTheme="minorHAnsi" w:hAnsiTheme="minorHAnsi" w:eastAsiaTheme="minorEastAsia" w:cstheme="minorBidi"/>
              </w:rPr>
            </w:pPr>
            <w:r>
              <w:rPr>
                <w:rFonts w:hint="eastAsia" w:asciiTheme="minorHAnsi" w:hAnsiTheme="minorHAnsi" w:eastAsiaTheme="minorEastAsia" w:cstheme="minorBidi"/>
                <w:szCs w:val="22"/>
              </w:rPr>
              <w:t>净利差</w:t>
            </w:r>
          </w:p>
        </w:tc>
        <w:tc>
          <w:tcPr>
            <w:tcW w:w="2835"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0.99 </w:t>
            </w:r>
          </w:p>
        </w:tc>
        <w:tc>
          <w:tcPr>
            <w:tcW w:w="2694" w:type="dxa"/>
            <w:shd w:val="clear" w:color="auto" w:fill="auto"/>
            <w:vAlign w:val="center"/>
          </w:tcPr>
          <w:p>
            <w:pPr>
              <w:jc w:val="right"/>
              <w:textAlignment w:val="center"/>
              <w:rPr>
                <w:rFonts w:ascii="宋体" w:hAnsi="宋体" w:cs="宋体" w:eastAsiaTheme="minorEastAsia"/>
                <w:color w:val="000000"/>
              </w:rPr>
            </w:pPr>
            <w:r>
              <w:rPr>
                <w:rFonts w:hint="eastAsia" w:ascii="宋体" w:hAnsi="宋体" w:cs="宋体" w:eastAsiaTheme="minorEastAsia"/>
                <w:color w:val="000000"/>
              </w:rPr>
              <w:t xml:space="preserve"> 0.97 </w:t>
            </w:r>
          </w:p>
        </w:tc>
      </w:tr>
    </w:tbl>
    <w:p>
      <w:pPr>
        <w:rPr>
          <w:rFonts w:hint="eastAsia"/>
        </w:rPr>
      </w:pPr>
    </w:p>
    <w:p>
      <w:pPr>
        <w:pStyle w:val="3"/>
        <w:ind w:left="420"/>
      </w:pPr>
      <w:r>
        <w:rPr>
          <w:rFonts w:hint="eastAsia"/>
        </w:rPr>
        <w:t>（四）五级分类情况</w:t>
      </w:r>
    </w:p>
    <w:p>
      <w:pPr>
        <w:wordWrap w:val="0"/>
        <w:jc w:val="right"/>
      </w:pPr>
      <w:r>
        <w:rPr>
          <w:rFonts w:hint="eastAsia"/>
        </w:rPr>
        <w:t>单位</w:t>
      </w:r>
      <w:r>
        <w:t>：千元</w:t>
      </w:r>
      <w:r>
        <w:rPr>
          <w:rFonts w:hint="eastAsia"/>
        </w:rPr>
        <w:t xml:space="preserve"> 币种</w:t>
      </w:r>
      <w:r>
        <w:t>：人民币</w:t>
      </w:r>
    </w:p>
    <w:tbl>
      <w:tblPr>
        <w:tblStyle w:val="39"/>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4"/>
        <w:gridCol w:w="1811"/>
        <w:gridCol w:w="1828"/>
        <w:gridCol w:w="184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714" w:type="dxa"/>
            <w:vMerge w:val="restart"/>
          </w:tcPr>
          <w:p>
            <w:r>
              <w:rPr>
                <w:rFonts w:hint="eastAsia"/>
              </w:rPr>
              <w:t>五级分类</w:t>
            </w:r>
          </w:p>
        </w:tc>
        <w:tc>
          <w:tcPr>
            <w:tcW w:w="3639" w:type="dxa"/>
            <w:gridSpan w:val="2"/>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2026年9月30日</w:t>
            </w:r>
          </w:p>
        </w:tc>
        <w:tc>
          <w:tcPr>
            <w:tcW w:w="3686" w:type="dxa"/>
            <w:gridSpan w:val="2"/>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714" w:type="dxa"/>
            <w:vMerge w:val="continue"/>
          </w:tcPr>
          <w:p/>
        </w:tc>
        <w:tc>
          <w:tcPr>
            <w:tcW w:w="1811" w:type="dxa"/>
          </w:tcPr>
          <w:p>
            <w:pPr>
              <w:jc w:val="center"/>
            </w:pPr>
            <w:r>
              <w:rPr>
                <w:rFonts w:hint="eastAsia"/>
              </w:rPr>
              <w:t>金额</w:t>
            </w:r>
          </w:p>
        </w:tc>
        <w:tc>
          <w:tcPr>
            <w:tcW w:w="1828" w:type="dxa"/>
          </w:tcPr>
          <w:p>
            <w:pPr>
              <w:jc w:val="center"/>
            </w:pPr>
            <w:r>
              <w:rPr>
                <w:rFonts w:hint="eastAsia"/>
              </w:rPr>
              <w:t>占比（%）</w:t>
            </w:r>
          </w:p>
        </w:tc>
        <w:tc>
          <w:tcPr>
            <w:tcW w:w="1843" w:type="dxa"/>
          </w:tcPr>
          <w:p>
            <w:pPr>
              <w:jc w:val="center"/>
            </w:pPr>
            <w:r>
              <w:rPr>
                <w:rFonts w:hint="eastAsia"/>
              </w:rPr>
              <w:t>金额</w:t>
            </w:r>
          </w:p>
        </w:tc>
        <w:tc>
          <w:tcPr>
            <w:tcW w:w="1843" w:type="dxa"/>
          </w:tcPr>
          <w:p>
            <w:pPr>
              <w:jc w:val="center"/>
            </w:pPr>
            <w:r>
              <w:rPr>
                <w:rFonts w:hint="eastAsia"/>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714" w:type="dxa"/>
          </w:tcPr>
          <w:p>
            <w:pPr>
              <w:rPr>
                <w:rFonts w:ascii="宋体" w:hAnsi="宋体" w:cs="宋体"/>
              </w:rPr>
            </w:pPr>
            <w:r>
              <w:rPr>
                <w:rFonts w:hint="eastAsia" w:ascii="宋体" w:hAnsi="宋体" w:cs="宋体"/>
              </w:rPr>
              <w:t>正常类</w:t>
            </w:r>
          </w:p>
        </w:tc>
        <w:tc>
          <w:tcPr>
            <w:tcW w:w="1811" w:type="dxa"/>
            <w:vAlign w:val="center"/>
          </w:tcPr>
          <w:p>
            <w:pPr>
              <w:jc w:val="right"/>
              <w:textAlignment w:val="center"/>
              <w:rPr>
                <w:rFonts w:ascii="宋体" w:hAnsi="宋体" w:cs="宋体"/>
              </w:rPr>
            </w:pPr>
            <w:r>
              <w:rPr>
                <w:rFonts w:hint="eastAsia" w:ascii="宋体" w:hAnsi="宋体" w:cs="宋体"/>
                <w:color w:val="000000"/>
              </w:rPr>
              <w:t xml:space="preserve">194,915,038 </w:t>
            </w:r>
          </w:p>
        </w:tc>
        <w:tc>
          <w:tcPr>
            <w:tcW w:w="1828" w:type="dxa"/>
            <w:vAlign w:val="center"/>
          </w:tcPr>
          <w:p>
            <w:pPr>
              <w:jc w:val="right"/>
              <w:textAlignment w:val="center"/>
              <w:rPr>
                <w:rFonts w:ascii="宋体" w:hAnsi="宋体" w:cs="宋体"/>
              </w:rPr>
            </w:pPr>
            <w:r>
              <w:rPr>
                <w:rFonts w:hint="eastAsia" w:ascii="宋体" w:hAnsi="宋体" w:cs="宋体"/>
                <w:color w:val="000000"/>
              </w:rPr>
              <w:t>96.97</w:t>
            </w:r>
          </w:p>
        </w:tc>
        <w:tc>
          <w:tcPr>
            <w:tcW w:w="1843" w:type="dxa"/>
            <w:vAlign w:val="center"/>
          </w:tcPr>
          <w:p>
            <w:pPr>
              <w:jc w:val="right"/>
              <w:textAlignment w:val="center"/>
              <w:rPr>
                <w:rFonts w:ascii="宋体" w:hAnsi="宋体" w:cs="宋体"/>
                <w:color w:val="000000"/>
              </w:rPr>
            </w:pPr>
            <w:r>
              <w:rPr>
                <w:rFonts w:hint="eastAsia" w:ascii="宋体" w:hAnsi="宋体" w:cs="宋体"/>
                <w:color w:val="000000"/>
              </w:rPr>
              <w:t xml:space="preserve">188,858,882 </w:t>
            </w:r>
          </w:p>
        </w:tc>
        <w:tc>
          <w:tcPr>
            <w:tcW w:w="1843" w:type="dxa"/>
            <w:vAlign w:val="center"/>
          </w:tcPr>
          <w:p>
            <w:pPr>
              <w:jc w:val="right"/>
              <w:textAlignment w:val="center"/>
              <w:rPr>
                <w:rFonts w:ascii="宋体" w:hAnsi="宋体" w:cs="宋体"/>
                <w:color w:val="000000"/>
              </w:rPr>
            </w:pPr>
            <w:r>
              <w:rPr>
                <w:rFonts w:hint="eastAsia" w:ascii="宋体" w:hAnsi="宋体" w:cs="宋体"/>
                <w:color w:val="000000"/>
              </w:rPr>
              <w:t>96.90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714" w:type="dxa"/>
          </w:tcPr>
          <w:p>
            <w:pPr>
              <w:rPr>
                <w:rFonts w:ascii="宋体" w:hAnsi="宋体" w:cs="宋体"/>
              </w:rPr>
            </w:pPr>
            <w:r>
              <w:rPr>
                <w:rFonts w:hint="eastAsia" w:ascii="宋体" w:hAnsi="宋体" w:cs="宋体"/>
              </w:rPr>
              <w:t>关注类</w:t>
            </w:r>
          </w:p>
        </w:tc>
        <w:tc>
          <w:tcPr>
            <w:tcW w:w="1811" w:type="dxa"/>
            <w:vAlign w:val="center"/>
          </w:tcPr>
          <w:p>
            <w:pPr>
              <w:jc w:val="right"/>
              <w:textAlignment w:val="center"/>
              <w:rPr>
                <w:rFonts w:ascii="宋体" w:hAnsi="宋体" w:cs="宋体"/>
              </w:rPr>
            </w:pPr>
            <w:r>
              <w:rPr>
                <w:rFonts w:hint="eastAsia" w:ascii="宋体" w:hAnsi="宋体" w:cs="宋体"/>
                <w:color w:val="000000"/>
              </w:rPr>
              <w:t xml:space="preserve">3,406,621 </w:t>
            </w:r>
          </w:p>
        </w:tc>
        <w:tc>
          <w:tcPr>
            <w:tcW w:w="1828" w:type="dxa"/>
            <w:shd w:val="clear" w:color="auto" w:fill="auto"/>
            <w:vAlign w:val="center"/>
          </w:tcPr>
          <w:p>
            <w:pPr>
              <w:jc w:val="right"/>
              <w:textAlignment w:val="center"/>
              <w:rPr>
                <w:rFonts w:hint="default" w:ascii="宋体" w:hAnsi="宋体" w:cs="宋体"/>
                <w:color w:val="000000"/>
                <w:lang w:val="en-US" w:eastAsia="zh-CN"/>
              </w:rPr>
            </w:pPr>
            <w:r>
              <w:rPr>
                <w:rFonts w:hint="eastAsia" w:ascii="宋体" w:hAnsi="宋体" w:cs="宋体"/>
                <w:color w:val="000000"/>
              </w:rPr>
              <w:t>1.</w:t>
            </w:r>
            <w:r>
              <w:rPr>
                <w:rFonts w:hint="eastAsia" w:ascii="宋体" w:hAnsi="宋体" w:cs="宋体"/>
                <w:color w:val="000000"/>
                <w:lang w:val="en-US" w:eastAsia="zh-CN"/>
              </w:rPr>
              <w:t>70</w:t>
            </w:r>
          </w:p>
        </w:tc>
        <w:tc>
          <w:tcPr>
            <w:tcW w:w="1843" w:type="dxa"/>
            <w:vAlign w:val="center"/>
          </w:tcPr>
          <w:p>
            <w:pPr>
              <w:jc w:val="right"/>
              <w:textAlignment w:val="center"/>
              <w:rPr>
                <w:rFonts w:ascii="宋体" w:hAnsi="宋体" w:cs="宋体"/>
                <w:color w:val="000000"/>
              </w:rPr>
            </w:pPr>
            <w:r>
              <w:rPr>
                <w:rFonts w:hint="eastAsia" w:ascii="宋体" w:hAnsi="宋体" w:cs="宋体"/>
                <w:color w:val="000000"/>
              </w:rPr>
              <w:t xml:space="preserve">3,420,923 </w:t>
            </w:r>
          </w:p>
        </w:tc>
        <w:tc>
          <w:tcPr>
            <w:tcW w:w="1843" w:type="dxa"/>
            <w:vAlign w:val="center"/>
          </w:tcPr>
          <w:p>
            <w:pPr>
              <w:jc w:val="right"/>
              <w:textAlignment w:val="center"/>
              <w:rPr>
                <w:rFonts w:ascii="宋体" w:hAnsi="宋体" w:cs="宋体"/>
                <w:color w:val="000000"/>
              </w:rPr>
            </w:pPr>
            <w:r>
              <w:rPr>
                <w:rFonts w:hint="eastAsia" w:ascii="宋体" w:hAnsi="宋体" w:cs="宋体"/>
                <w:color w:val="000000"/>
              </w:rPr>
              <w:t>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714" w:type="dxa"/>
          </w:tcPr>
          <w:p>
            <w:pPr>
              <w:rPr>
                <w:rFonts w:ascii="宋体" w:hAnsi="宋体" w:cs="宋体"/>
              </w:rPr>
            </w:pPr>
            <w:r>
              <w:rPr>
                <w:rFonts w:hint="eastAsia" w:ascii="宋体" w:hAnsi="宋体" w:cs="宋体"/>
              </w:rPr>
              <w:t>次级类</w:t>
            </w:r>
          </w:p>
        </w:tc>
        <w:tc>
          <w:tcPr>
            <w:tcW w:w="1811" w:type="dxa"/>
            <w:vAlign w:val="center"/>
          </w:tcPr>
          <w:p>
            <w:pPr>
              <w:jc w:val="right"/>
              <w:textAlignment w:val="center"/>
              <w:rPr>
                <w:rFonts w:ascii="宋体" w:hAnsi="宋体" w:cs="宋体"/>
              </w:rPr>
            </w:pPr>
            <w:r>
              <w:rPr>
                <w:rFonts w:hint="eastAsia" w:ascii="宋体" w:hAnsi="宋体" w:cs="宋体"/>
                <w:color w:val="000000"/>
              </w:rPr>
              <w:t>780,54</w:t>
            </w:r>
            <w:r>
              <w:rPr>
                <w:rFonts w:hint="eastAsia" w:ascii="宋体" w:hAnsi="宋体" w:cs="宋体"/>
                <w:color w:val="000000"/>
                <w:lang w:val="en-US" w:eastAsia="zh-CN"/>
              </w:rPr>
              <w:t>2</w:t>
            </w:r>
            <w:r>
              <w:rPr>
                <w:rFonts w:hint="eastAsia" w:ascii="宋体" w:hAnsi="宋体" w:cs="宋体"/>
                <w:color w:val="000000"/>
              </w:rPr>
              <w:t xml:space="preserve"> </w:t>
            </w:r>
          </w:p>
        </w:tc>
        <w:tc>
          <w:tcPr>
            <w:tcW w:w="1828" w:type="dxa"/>
            <w:shd w:val="clear" w:color="auto" w:fill="auto"/>
            <w:vAlign w:val="center"/>
          </w:tcPr>
          <w:p>
            <w:pPr>
              <w:jc w:val="right"/>
              <w:textAlignment w:val="center"/>
              <w:rPr>
                <w:rFonts w:ascii="宋体" w:hAnsi="宋体" w:cs="宋体"/>
              </w:rPr>
            </w:pPr>
            <w:r>
              <w:rPr>
                <w:rFonts w:hint="eastAsia" w:ascii="宋体" w:hAnsi="宋体" w:cs="宋体"/>
                <w:color w:val="000000"/>
              </w:rPr>
              <w:t>0.39</w:t>
            </w:r>
          </w:p>
        </w:tc>
        <w:tc>
          <w:tcPr>
            <w:tcW w:w="1843" w:type="dxa"/>
            <w:vAlign w:val="center"/>
          </w:tcPr>
          <w:p>
            <w:pPr>
              <w:jc w:val="right"/>
              <w:textAlignment w:val="center"/>
              <w:rPr>
                <w:rFonts w:ascii="宋体" w:hAnsi="宋体" w:cs="宋体"/>
                <w:color w:val="000000"/>
              </w:rPr>
            </w:pPr>
            <w:r>
              <w:rPr>
                <w:rFonts w:hint="eastAsia" w:ascii="宋体" w:hAnsi="宋体" w:cs="宋体"/>
                <w:color w:val="000000"/>
              </w:rPr>
              <w:t xml:space="preserve">875,701 </w:t>
            </w:r>
          </w:p>
        </w:tc>
        <w:tc>
          <w:tcPr>
            <w:tcW w:w="1843" w:type="dxa"/>
            <w:vAlign w:val="center"/>
          </w:tcPr>
          <w:p>
            <w:pPr>
              <w:jc w:val="right"/>
              <w:textAlignment w:val="center"/>
              <w:rPr>
                <w:rFonts w:ascii="宋体" w:hAnsi="宋体" w:cs="宋体"/>
                <w:color w:val="000000"/>
              </w:rPr>
            </w:pPr>
            <w:r>
              <w:rPr>
                <w:rFonts w:hint="eastAsia" w:ascii="宋体" w:hAnsi="宋体" w:cs="宋体"/>
                <w:color w:val="000000"/>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714" w:type="dxa"/>
          </w:tcPr>
          <w:p>
            <w:pPr>
              <w:rPr>
                <w:rFonts w:ascii="宋体" w:hAnsi="宋体" w:cs="宋体"/>
              </w:rPr>
            </w:pPr>
            <w:r>
              <w:rPr>
                <w:rFonts w:hint="eastAsia" w:ascii="宋体" w:hAnsi="宋体" w:cs="宋体"/>
              </w:rPr>
              <w:t>可疑类</w:t>
            </w:r>
          </w:p>
        </w:tc>
        <w:tc>
          <w:tcPr>
            <w:tcW w:w="1811" w:type="dxa"/>
            <w:vAlign w:val="center"/>
          </w:tcPr>
          <w:p>
            <w:pPr>
              <w:jc w:val="right"/>
              <w:textAlignment w:val="center"/>
              <w:rPr>
                <w:rFonts w:ascii="宋体" w:hAnsi="宋体" w:cs="宋体"/>
              </w:rPr>
            </w:pPr>
            <w:r>
              <w:rPr>
                <w:rFonts w:hint="eastAsia" w:ascii="宋体" w:hAnsi="宋体" w:cs="宋体"/>
                <w:color w:val="000000"/>
              </w:rPr>
              <w:t>333,79</w:t>
            </w:r>
            <w:r>
              <w:rPr>
                <w:rFonts w:hint="eastAsia" w:ascii="宋体" w:hAnsi="宋体" w:cs="宋体"/>
                <w:color w:val="000000"/>
                <w:lang w:val="en-US" w:eastAsia="zh-CN"/>
              </w:rPr>
              <w:t>2</w:t>
            </w:r>
            <w:r>
              <w:rPr>
                <w:rFonts w:hint="eastAsia" w:ascii="宋体" w:hAnsi="宋体" w:cs="宋体"/>
                <w:color w:val="000000"/>
              </w:rPr>
              <w:t xml:space="preserve"> </w:t>
            </w:r>
          </w:p>
        </w:tc>
        <w:tc>
          <w:tcPr>
            <w:tcW w:w="1828" w:type="dxa"/>
            <w:shd w:val="clear" w:color="auto" w:fill="auto"/>
            <w:vAlign w:val="center"/>
          </w:tcPr>
          <w:p>
            <w:pPr>
              <w:jc w:val="right"/>
              <w:textAlignment w:val="center"/>
              <w:rPr>
                <w:rFonts w:hint="eastAsia" w:ascii="宋体" w:hAnsi="宋体" w:eastAsia="宋体" w:cs="宋体"/>
                <w:lang w:val="en-US" w:eastAsia="zh-CN"/>
              </w:rPr>
            </w:pPr>
            <w:r>
              <w:rPr>
                <w:rFonts w:hint="eastAsia" w:ascii="宋体" w:hAnsi="宋体" w:cs="宋体"/>
                <w:color w:val="000000"/>
              </w:rPr>
              <w:t>0.1</w:t>
            </w:r>
            <w:r>
              <w:rPr>
                <w:rFonts w:hint="eastAsia" w:ascii="宋体" w:hAnsi="宋体" w:cs="宋体"/>
                <w:color w:val="000000"/>
                <w:lang w:val="en-US" w:eastAsia="zh-CN"/>
              </w:rPr>
              <w:t>6</w:t>
            </w:r>
          </w:p>
        </w:tc>
        <w:tc>
          <w:tcPr>
            <w:tcW w:w="1843" w:type="dxa"/>
            <w:vAlign w:val="center"/>
          </w:tcPr>
          <w:p>
            <w:pPr>
              <w:jc w:val="right"/>
              <w:textAlignment w:val="center"/>
              <w:rPr>
                <w:rFonts w:ascii="宋体" w:hAnsi="宋体" w:cs="宋体"/>
                <w:color w:val="000000"/>
              </w:rPr>
            </w:pPr>
            <w:r>
              <w:rPr>
                <w:rFonts w:hint="eastAsia" w:ascii="宋体" w:hAnsi="宋体" w:cs="宋体"/>
                <w:color w:val="000000"/>
              </w:rPr>
              <w:t xml:space="preserve">311,545 </w:t>
            </w:r>
          </w:p>
        </w:tc>
        <w:tc>
          <w:tcPr>
            <w:tcW w:w="1843" w:type="dxa"/>
            <w:vAlign w:val="center"/>
          </w:tcPr>
          <w:p>
            <w:pPr>
              <w:jc w:val="right"/>
              <w:textAlignment w:val="center"/>
              <w:rPr>
                <w:rFonts w:ascii="宋体" w:hAnsi="宋体" w:cs="宋体"/>
                <w:color w:val="000000"/>
              </w:rPr>
            </w:pPr>
            <w:r>
              <w:rPr>
                <w:rFonts w:hint="eastAsia" w:ascii="宋体" w:hAnsi="宋体" w:cs="宋体"/>
                <w:color w:val="000000"/>
              </w:rPr>
              <w:t>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714" w:type="dxa"/>
          </w:tcPr>
          <w:p>
            <w:pPr>
              <w:rPr>
                <w:rFonts w:ascii="宋体" w:hAnsi="宋体" w:cs="宋体"/>
              </w:rPr>
            </w:pPr>
            <w:r>
              <w:rPr>
                <w:rFonts w:hint="eastAsia" w:ascii="宋体" w:hAnsi="宋体" w:cs="宋体"/>
              </w:rPr>
              <w:t>损失类</w:t>
            </w:r>
          </w:p>
        </w:tc>
        <w:tc>
          <w:tcPr>
            <w:tcW w:w="1811" w:type="dxa"/>
            <w:vAlign w:val="center"/>
          </w:tcPr>
          <w:p>
            <w:pPr>
              <w:jc w:val="right"/>
              <w:textAlignment w:val="center"/>
              <w:rPr>
                <w:rFonts w:ascii="宋体" w:hAnsi="宋体" w:cs="宋体"/>
              </w:rPr>
            </w:pPr>
            <w:r>
              <w:rPr>
                <w:rFonts w:hint="eastAsia" w:ascii="宋体" w:hAnsi="宋体" w:cs="宋体"/>
                <w:color w:val="000000"/>
              </w:rPr>
              <w:t xml:space="preserve">1,564,624 </w:t>
            </w:r>
          </w:p>
        </w:tc>
        <w:tc>
          <w:tcPr>
            <w:tcW w:w="1828" w:type="dxa"/>
            <w:shd w:val="clear" w:color="auto" w:fill="auto"/>
            <w:vAlign w:val="center"/>
          </w:tcPr>
          <w:p>
            <w:pPr>
              <w:jc w:val="right"/>
              <w:textAlignment w:val="center"/>
              <w:rPr>
                <w:rFonts w:ascii="宋体" w:hAnsi="宋体" w:cs="宋体"/>
              </w:rPr>
            </w:pPr>
            <w:r>
              <w:rPr>
                <w:rFonts w:hint="eastAsia" w:ascii="宋体" w:hAnsi="宋体" w:cs="宋体"/>
                <w:color w:val="000000"/>
              </w:rPr>
              <w:t>0.78</w:t>
            </w:r>
          </w:p>
        </w:tc>
        <w:tc>
          <w:tcPr>
            <w:tcW w:w="1843" w:type="dxa"/>
            <w:vAlign w:val="center"/>
          </w:tcPr>
          <w:p>
            <w:pPr>
              <w:jc w:val="right"/>
              <w:textAlignment w:val="center"/>
              <w:rPr>
                <w:rFonts w:ascii="宋体" w:hAnsi="宋体" w:cs="宋体"/>
                <w:color w:val="000000"/>
              </w:rPr>
            </w:pPr>
            <w:r>
              <w:rPr>
                <w:rFonts w:hint="eastAsia" w:ascii="宋体" w:hAnsi="宋体" w:cs="宋体"/>
                <w:color w:val="000000"/>
              </w:rPr>
              <w:t xml:space="preserve">1,440,285 </w:t>
            </w:r>
          </w:p>
        </w:tc>
        <w:tc>
          <w:tcPr>
            <w:tcW w:w="1843" w:type="dxa"/>
            <w:vAlign w:val="center"/>
          </w:tcPr>
          <w:p>
            <w:pPr>
              <w:jc w:val="right"/>
              <w:textAlignment w:val="center"/>
              <w:rPr>
                <w:rFonts w:ascii="宋体" w:hAnsi="宋体" w:cs="宋体"/>
                <w:color w:val="000000"/>
              </w:rPr>
            </w:pPr>
            <w:r>
              <w:rPr>
                <w:rFonts w:hint="eastAsia" w:ascii="宋体" w:hAnsi="宋体" w:cs="宋体"/>
                <w:color w:val="000000"/>
              </w:rPr>
              <w:t>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714" w:type="dxa"/>
          </w:tcPr>
          <w:p>
            <w:pPr>
              <w:rPr>
                <w:rFonts w:ascii="宋体" w:hAnsi="宋体" w:cs="宋体"/>
              </w:rPr>
            </w:pPr>
            <w:r>
              <w:rPr>
                <w:rFonts w:hint="eastAsia" w:ascii="宋体" w:hAnsi="宋体" w:cs="宋体"/>
              </w:rPr>
              <w:t>总额</w:t>
            </w:r>
          </w:p>
        </w:tc>
        <w:tc>
          <w:tcPr>
            <w:tcW w:w="1811" w:type="dxa"/>
            <w:vAlign w:val="center"/>
          </w:tcPr>
          <w:p>
            <w:pPr>
              <w:jc w:val="right"/>
              <w:textAlignment w:val="center"/>
              <w:rPr>
                <w:rFonts w:ascii="宋体" w:hAnsi="宋体" w:cs="宋体"/>
              </w:rPr>
            </w:pPr>
            <w:r>
              <w:rPr>
                <w:rFonts w:hint="eastAsia" w:ascii="宋体" w:hAnsi="宋体" w:cs="宋体"/>
                <w:color w:val="000000"/>
              </w:rPr>
              <w:t xml:space="preserve">201,000,617 </w:t>
            </w:r>
          </w:p>
        </w:tc>
        <w:tc>
          <w:tcPr>
            <w:tcW w:w="1828" w:type="dxa"/>
            <w:vAlign w:val="center"/>
          </w:tcPr>
          <w:p>
            <w:pPr>
              <w:jc w:val="right"/>
              <w:textAlignment w:val="center"/>
              <w:rPr>
                <w:rFonts w:ascii="宋体" w:hAnsi="宋体" w:cs="宋体"/>
              </w:rPr>
            </w:pPr>
            <w:r>
              <w:rPr>
                <w:rFonts w:hint="eastAsia" w:ascii="宋体" w:hAnsi="宋体" w:cs="宋体"/>
                <w:color w:val="000000"/>
              </w:rPr>
              <w:t>100</w:t>
            </w:r>
          </w:p>
        </w:tc>
        <w:tc>
          <w:tcPr>
            <w:tcW w:w="1843" w:type="dxa"/>
            <w:vAlign w:val="bottom"/>
          </w:tcPr>
          <w:p>
            <w:pPr>
              <w:jc w:val="right"/>
              <w:textAlignment w:val="center"/>
              <w:rPr>
                <w:rFonts w:ascii="宋体" w:hAnsi="宋体" w:cs="宋体"/>
                <w:color w:val="000000"/>
              </w:rPr>
            </w:pPr>
            <w:r>
              <w:rPr>
                <w:rFonts w:hint="eastAsia" w:ascii="宋体" w:hAnsi="宋体" w:cs="宋体"/>
                <w:color w:val="000000"/>
              </w:rPr>
              <w:t>194,907,336</w:t>
            </w:r>
          </w:p>
        </w:tc>
        <w:tc>
          <w:tcPr>
            <w:tcW w:w="1843" w:type="dxa"/>
            <w:vAlign w:val="bottom"/>
          </w:tcPr>
          <w:p>
            <w:pPr>
              <w:jc w:val="right"/>
              <w:textAlignment w:val="center"/>
              <w:rPr>
                <w:rFonts w:ascii="宋体" w:hAnsi="宋体" w:cs="宋体"/>
                <w:color w:val="000000"/>
              </w:rPr>
            </w:pPr>
            <w:r>
              <w:rPr>
                <w:rFonts w:hint="eastAsia" w:ascii="宋体" w:hAnsi="宋体" w:cs="宋体"/>
                <w:color w:val="000000"/>
              </w:rPr>
              <w:t>100</w:t>
            </w:r>
          </w:p>
        </w:tc>
      </w:tr>
    </w:tbl>
    <w:p>
      <w:pPr>
        <w:rPr>
          <w:rFonts w:ascii="宋体" w:hAnsi="宋体" w:cs="宋体"/>
        </w:rPr>
      </w:pPr>
    </w:p>
    <w:p>
      <w:pPr>
        <w:pStyle w:val="3"/>
        <w:numPr>
          <w:ilvl w:val="0"/>
          <w:numId w:val="5"/>
        </w:numPr>
        <w:ind w:left="420"/>
      </w:pPr>
      <w:r>
        <w:rPr>
          <w:rFonts w:hint="eastAsia"/>
        </w:rPr>
        <w:t>杠杆率</w:t>
      </w:r>
    </w:p>
    <w:p/>
    <w:p>
      <w:pPr>
        <w:wordWrap w:val="0"/>
        <w:jc w:val="right"/>
      </w:pPr>
      <w:r>
        <w:rPr>
          <w:rFonts w:hint="eastAsia"/>
        </w:rPr>
        <w:t>单位</w:t>
      </w:r>
      <w:r>
        <w:t>：千元</w:t>
      </w:r>
      <w:r>
        <w:rPr>
          <w:rFonts w:hint="eastAsia"/>
        </w:rPr>
        <w:t xml:space="preserve"> 币种</w:t>
      </w:r>
      <w:r>
        <w:t>：人民币</w:t>
      </w:r>
    </w:p>
    <w:tbl>
      <w:tblPr>
        <w:tblStyle w:val="39"/>
        <w:tblW w:w="908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817"/>
        <w:gridCol w:w="1817"/>
        <w:gridCol w:w="1817"/>
        <w:gridCol w:w="1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exact"/>
        </w:trPr>
        <w:tc>
          <w:tcPr>
            <w:tcW w:w="1817" w:type="dxa"/>
            <w:shd w:val="clear" w:color="auto" w:fill="auto"/>
            <w:vAlign w:val="center"/>
          </w:tcPr>
          <w:p>
            <w:pPr>
              <w:jc w:val="center"/>
              <w:rPr>
                <w:rFonts w:hAnsi="Arial"/>
              </w:rPr>
            </w:pPr>
            <w:r>
              <w:rPr>
                <w:rFonts w:hint="eastAsia" w:hAnsi="Arial"/>
              </w:rPr>
              <w:t>项目</w:t>
            </w:r>
          </w:p>
        </w:tc>
        <w:tc>
          <w:tcPr>
            <w:tcW w:w="1817"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2026年</w:t>
            </w:r>
          </w:p>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9月30日</w:t>
            </w:r>
          </w:p>
        </w:tc>
        <w:tc>
          <w:tcPr>
            <w:tcW w:w="1817"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2026年</w:t>
            </w:r>
          </w:p>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6月30日</w:t>
            </w:r>
          </w:p>
        </w:tc>
        <w:tc>
          <w:tcPr>
            <w:tcW w:w="1817"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2026年</w:t>
            </w:r>
          </w:p>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3月31日</w:t>
            </w:r>
          </w:p>
        </w:tc>
        <w:tc>
          <w:tcPr>
            <w:tcW w:w="1817"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2025年</w:t>
            </w:r>
          </w:p>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817" w:type="dxa"/>
            <w:shd w:val="clear" w:color="auto" w:fill="auto"/>
            <w:vAlign w:val="center"/>
          </w:tcPr>
          <w:p>
            <w:pPr>
              <w:rPr>
                <w:rFonts w:hAnsi="Arial"/>
              </w:rPr>
            </w:pPr>
            <w:r>
              <w:rPr>
                <w:rFonts w:hint="eastAsia" w:hAnsi="Arial"/>
              </w:rPr>
              <w:t>杠杆率（</w:t>
            </w:r>
            <w:r>
              <w:rPr>
                <w:rFonts w:hAnsi="Arial"/>
              </w:rPr>
              <w:t>%）</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6.33</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6.42</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6.44</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6.31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817" w:type="dxa"/>
            <w:shd w:val="clear" w:color="auto" w:fill="auto"/>
            <w:vAlign w:val="center"/>
          </w:tcPr>
          <w:p>
            <w:pPr>
              <w:rPr>
                <w:rFonts w:hAnsi="Arial"/>
              </w:rPr>
            </w:pPr>
            <w:r>
              <w:rPr>
                <w:rFonts w:hint="eastAsia" w:hAnsi="Arial"/>
              </w:rPr>
              <w:t>一级资本净额</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21,081,747</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20,846,625</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20,489,972</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19,997,554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exact"/>
        </w:trPr>
        <w:tc>
          <w:tcPr>
            <w:tcW w:w="1817" w:type="dxa"/>
            <w:shd w:val="clear" w:color="auto" w:fill="auto"/>
            <w:vAlign w:val="center"/>
          </w:tcPr>
          <w:p>
            <w:pPr>
              <w:rPr>
                <w:rFonts w:hAnsi="Arial"/>
              </w:rPr>
            </w:pPr>
            <w:r>
              <w:rPr>
                <w:rFonts w:hint="eastAsia" w:hAnsi="Arial"/>
              </w:rPr>
              <w:t>调整后的表内外资产余额</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333,225,492</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324,808,699</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317,983,564</w:t>
            </w:r>
          </w:p>
        </w:tc>
        <w:tc>
          <w:tcPr>
            <w:tcW w:w="1817"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316,697,881</w:t>
            </w:r>
          </w:p>
        </w:tc>
      </w:tr>
    </w:tbl>
    <w:p/>
    <w:p>
      <w:pPr>
        <w:pStyle w:val="3"/>
        <w:ind w:left="420"/>
      </w:pPr>
      <w:r>
        <w:rPr>
          <w:rFonts w:hint="eastAsia"/>
        </w:rPr>
        <w:t>（六）</w:t>
      </w:r>
      <w:r>
        <w:t>流动性覆盖率</w:t>
      </w:r>
    </w:p>
    <w:p>
      <w:pPr>
        <w:wordWrap w:val="0"/>
        <w:jc w:val="right"/>
      </w:pPr>
      <w:r>
        <w:rPr>
          <w:rFonts w:hint="eastAsia"/>
        </w:rPr>
        <w:t>单位</w:t>
      </w:r>
      <w:r>
        <w:t>：千元</w:t>
      </w:r>
      <w:r>
        <w:rPr>
          <w:rFonts w:hint="eastAsia"/>
        </w:rPr>
        <w:t xml:space="preserve"> 币种</w:t>
      </w:r>
      <w:r>
        <w:t>：人民币</w:t>
      </w:r>
    </w:p>
    <w:tbl>
      <w:tblPr>
        <w:tblStyle w:val="39"/>
        <w:tblW w:w="90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8"/>
        <w:gridCol w:w="4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868" w:type="dxa"/>
            <w:shd w:val="clear" w:color="auto" w:fill="auto"/>
            <w:vAlign w:val="center"/>
          </w:tcPr>
          <w:p>
            <w:pPr>
              <w:jc w:val="center"/>
            </w:pPr>
            <w:r>
              <w:rPr>
                <w:rFonts w:hint="eastAsia"/>
              </w:rPr>
              <w:t>项目</w:t>
            </w:r>
          </w:p>
        </w:tc>
        <w:tc>
          <w:tcPr>
            <w:tcW w:w="4181"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2026年9月30日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868" w:type="dxa"/>
            <w:shd w:val="clear" w:color="auto" w:fill="auto"/>
            <w:vAlign w:val="center"/>
          </w:tcPr>
          <w:p>
            <w:r>
              <w:rPr>
                <w:rFonts w:hint="eastAsia"/>
              </w:rPr>
              <w:t>流动性覆盖率</w:t>
            </w:r>
            <w:r>
              <w:t>（%）</w:t>
            </w:r>
          </w:p>
        </w:tc>
        <w:tc>
          <w:tcPr>
            <w:tcW w:w="4181"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137.43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868" w:type="dxa"/>
            <w:shd w:val="clear" w:color="auto" w:fill="auto"/>
            <w:vAlign w:val="center"/>
          </w:tcPr>
          <w:p>
            <w:r>
              <w:rPr>
                <w:rFonts w:hint="eastAsia"/>
              </w:rPr>
              <w:t>合格优质</w:t>
            </w:r>
            <w:r>
              <w:t>流动资产</w:t>
            </w:r>
          </w:p>
        </w:tc>
        <w:tc>
          <w:tcPr>
            <w:tcW w:w="4181"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32,783,466</w:t>
            </w:r>
          </w:p>
          <w:p>
            <w:pPr>
              <w:jc w:val="right"/>
              <w:textAlignment w:val="center"/>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4868" w:type="dxa"/>
            <w:shd w:val="clear" w:color="auto" w:fill="auto"/>
            <w:vAlign w:val="center"/>
          </w:tcPr>
          <w:p>
            <w:r>
              <w:rPr>
                <w:rFonts w:hint="eastAsia"/>
              </w:rPr>
              <w:t>未来30天</w:t>
            </w:r>
            <w:r>
              <w:t>现金净流出</w:t>
            </w:r>
            <w:r>
              <w:rPr>
                <w:rFonts w:hint="eastAsia"/>
              </w:rPr>
              <w:t>的</w:t>
            </w:r>
            <w:r>
              <w:t>期末数值</w:t>
            </w:r>
          </w:p>
        </w:tc>
        <w:tc>
          <w:tcPr>
            <w:tcW w:w="4181"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23,854,233</w:t>
            </w:r>
          </w:p>
          <w:p>
            <w:pPr>
              <w:jc w:val="right"/>
              <w:textAlignment w:val="center"/>
              <w:rPr>
                <w:rFonts w:ascii="宋体" w:hAnsi="宋体" w:cs="宋体"/>
                <w:color w:val="000000"/>
              </w:rPr>
            </w:pPr>
          </w:p>
        </w:tc>
      </w:tr>
    </w:tbl>
    <w:p>
      <w:pPr>
        <w:pStyle w:val="3"/>
        <w:ind w:left="420"/>
      </w:pPr>
      <w:r>
        <w:rPr>
          <w:rFonts w:hint="eastAsia"/>
        </w:rPr>
        <w:t>（七）</w:t>
      </w:r>
      <w:r>
        <w:t>净稳定资金比例</w:t>
      </w:r>
    </w:p>
    <w:p>
      <w:pPr>
        <w:wordWrap w:val="0"/>
        <w:jc w:val="right"/>
      </w:pPr>
      <w:r>
        <w:rPr>
          <w:rFonts w:hint="eastAsia"/>
        </w:rPr>
        <w:t>单位</w:t>
      </w:r>
      <w:r>
        <w:t>：千元</w:t>
      </w:r>
      <w:r>
        <w:rPr>
          <w:rFonts w:hint="eastAsia"/>
        </w:rPr>
        <w:t xml:space="preserve"> 币种</w:t>
      </w:r>
      <w:r>
        <w:t>：人民币</w:t>
      </w:r>
    </w:p>
    <w:tbl>
      <w:tblPr>
        <w:tblStyle w:val="39"/>
        <w:tblW w:w="90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65"/>
        <w:gridCol w:w="2791"/>
        <w:gridCol w:w="2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exact"/>
        </w:trPr>
        <w:tc>
          <w:tcPr>
            <w:tcW w:w="3465" w:type="dxa"/>
            <w:shd w:val="clear" w:color="auto" w:fill="auto"/>
            <w:vAlign w:val="center"/>
          </w:tcPr>
          <w:p>
            <w:pPr>
              <w:jc w:val="center"/>
            </w:pPr>
            <w:bookmarkStart w:id="26" w:name="_Hlk211420025"/>
            <w:r>
              <w:rPr>
                <w:rFonts w:hint="eastAsia"/>
              </w:rPr>
              <w:t>项目</w:t>
            </w:r>
          </w:p>
        </w:tc>
        <w:tc>
          <w:tcPr>
            <w:tcW w:w="2791"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2026年三季度</w:t>
            </w:r>
          </w:p>
        </w:tc>
        <w:tc>
          <w:tcPr>
            <w:tcW w:w="2793" w:type="dxa"/>
            <w:shd w:val="clear" w:color="auto" w:fill="auto"/>
            <w:vAlign w:val="center"/>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2026年二季度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465" w:type="dxa"/>
            <w:shd w:val="clear" w:color="auto" w:fill="auto"/>
            <w:vAlign w:val="center"/>
          </w:tcPr>
          <w:p>
            <w:r>
              <w:rPr>
                <w:rFonts w:hint="eastAsia"/>
              </w:rPr>
              <w:t>净稳定资金比例</w:t>
            </w:r>
            <w:r>
              <w:t>（%）</w:t>
            </w:r>
          </w:p>
        </w:tc>
        <w:tc>
          <w:tcPr>
            <w:tcW w:w="2791"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132.43</w:t>
            </w:r>
          </w:p>
        </w:tc>
        <w:tc>
          <w:tcPr>
            <w:tcW w:w="2793" w:type="dxa"/>
            <w:shd w:val="clear" w:color="auto" w:fill="auto"/>
          </w:tcPr>
          <w:p>
            <w:pPr>
              <w:jc w:val="right"/>
              <w:textAlignment w:val="center"/>
              <w:rPr>
                <w:rFonts w:ascii="宋体" w:hAnsi="宋体" w:cs="宋体"/>
                <w:color w:val="000000"/>
              </w:rPr>
            </w:pPr>
            <w:r>
              <w:rPr>
                <w:rFonts w:hint="eastAsia" w:ascii="宋体" w:hAnsi="宋体" w:cs="宋体"/>
                <w:color w:val="000000"/>
              </w:rPr>
              <w:t>131.05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465" w:type="dxa"/>
            <w:shd w:val="clear" w:color="auto" w:fill="auto"/>
            <w:vAlign w:val="center"/>
          </w:tcPr>
          <w:p>
            <w:r>
              <w:rPr>
                <w:rFonts w:hint="eastAsia"/>
              </w:rPr>
              <w:t>可用的</w:t>
            </w:r>
            <w:r>
              <w:t>稳定资金</w:t>
            </w:r>
          </w:p>
        </w:tc>
        <w:tc>
          <w:tcPr>
            <w:tcW w:w="2791" w:type="dxa"/>
            <w:shd w:val="clear" w:color="auto" w:fill="auto"/>
            <w:vAlign w:val="bottom"/>
          </w:tcPr>
          <w:p>
            <w:pPr>
              <w:jc w:val="right"/>
              <w:textAlignment w:val="center"/>
              <w:rPr>
                <w:rFonts w:ascii="宋体" w:hAnsi="宋体" w:cs="宋体"/>
                <w:color w:val="000000"/>
              </w:rPr>
            </w:pPr>
            <w:r>
              <w:rPr>
                <w:rFonts w:hint="eastAsia" w:ascii="宋体" w:hAnsi="宋体" w:cs="宋体"/>
                <w:color w:val="000000"/>
              </w:rPr>
              <w:t xml:space="preserve">213,950,702 </w:t>
            </w:r>
          </w:p>
        </w:tc>
        <w:tc>
          <w:tcPr>
            <w:tcW w:w="2793"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 xml:space="preserve">209,473,000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3465" w:type="dxa"/>
            <w:shd w:val="clear" w:color="auto" w:fill="auto"/>
            <w:vAlign w:val="center"/>
          </w:tcPr>
          <w:p>
            <w:r>
              <w:rPr>
                <w:rFonts w:hint="eastAsia"/>
              </w:rPr>
              <w:t>所需的</w:t>
            </w:r>
            <w:r>
              <w:t>稳定资金</w:t>
            </w:r>
          </w:p>
        </w:tc>
        <w:tc>
          <w:tcPr>
            <w:tcW w:w="2791" w:type="dxa"/>
            <w:shd w:val="clear" w:color="auto" w:fill="auto"/>
            <w:vAlign w:val="bottom"/>
          </w:tcPr>
          <w:p>
            <w:pPr>
              <w:jc w:val="right"/>
              <w:textAlignment w:val="center"/>
              <w:rPr>
                <w:rFonts w:ascii="宋体" w:hAnsi="宋体" w:cs="宋体"/>
                <w:color w:val="000000"/>
              </w:rPr>
            </w:pPr>
            <w:r>
              <w:rPr>
                <w:rFonts w:hint="eastAsia" w:ascii="宋体" w:hAnsi="宋体" w:cs="宋体"/>
                <w:color w:val="000000"/>
              </w:rPr>
              <w:t xml:space="preserve">161,553,183 </w:t>
            </w:r>
          </w:p>
        </w:tc>
        <w:tc>
          <w:tcPr>
            <w:tcW w:w="2793" w:type="dxa"/>
            <w:shd w:val="clear" w:color="auto" w:fill="auto"/>
            <w:vAlign w:val="center"/>
          </w:tcPr>
          <w:p>
            <w:pPr>
              <w:jc w:val="right"/>
              <w:textAlignment w:val="center"/>
              <w:rPr>
                <w:rFonts w:ascii="宋体" w:hAnsi="宋体" w:cs="宋体"/>
                <w:color w:val="000000"/>
              </w:rPr>
            </w:pPr>
            <w:r>
              <w:rPr>
                <w:rFonts w:hint="eastAsia" w:ascii="宋体" w:hAnsi="宋体" w:cs="宋体"/>
                <w:color w:val="000000"/>
              </w:rPr>
              <w:t xml:space="preserve">159,844,181 </w:t>
            </w:r>
          </w:p>
        </w:tc>
      </w:tr>
      <w:bookmarkEnd w:id="26"/>
    </w:tbl>
    <w:p>
      <w:pPr>
        <w:pStyle w:val="85"/>
        <w:rPr>
          <w:szCs w:val="21"/>
        </w:rPr>
      </w:pPr>
    </w:p>
    <w:p>
      <w:pPr>
        <w:pStyle w:val="85"/>
        <w:rPr>
          <w:szCs w:val="21"/>
        </w:rPr>
      </w:pPr>
    </w:p>
    <w:bookmarkEnd w:id="25"/>
    <w:p>
      <w:pPr>
        <w:pStyle w:val="2"/>
        <w:numPr>
          <w:ilvl w:val="0"/>
          <w:numId w:val="1"/>
        </w:numPr>
        <w:tabs>
          <w:tab w:val="left" w:pos="434"/>
          <w:tab w:val="left" w:pos="882"/>
        </w:tabs>
        <w:spacing w:before="0" w:after="0" w:line="360" w:lineRule="auto"/>
      </w:pPr>
      <w:r>
        <w:rPr>
          <w:rFonts w:hint="eastAsia"/>
        </w:rPr>
        <w:t>季度财务报表</w:t>
      </w:r>
    </w:p>
    <w:p>
      <w:pPr>
        <w:pStyle w:val="3"/>
        <w:numPr>
          <w:ilvl w:val="0"/>
          <w:numId w:val="6"/>
        </w:numPr>
        <w:tabs>
          <w:tab w:val="left" w:pos="709"/>
        </w:tabs>
        <w:spacing w:before="0" w:after="0" w:line="360" w:lineRule="auto"/>
        <w:rPr>
          <w:rFonts w:hAnsi="Times New Roman"/>
          <w:bCs w:val="0"/>
          <w:kern w:val="0"/>
          <w:szCs w:val="20"/>
        </w:rPr>
      </w:pPr>
      <w:bookmarkStart w:id="27" w:name="_Hlk83892664"/>
      <w:bookmarkStart w:id="28" w:name="_Hlk83902477"/>
      <w:r>
        <w:rPr>
          <w:rFonts w:hint="eastAsia" w:hAnsi="Times New Roman"/>
          <w:bCs w:val="0"/>
          <w:kern w:val="0"/>
          <w:szCs w:val="20"/>
        </w:rPr>
        <w:t>审计意见类型</w:t>
      </w:r>
    </w:p>
    <w:sdt>
      <w:sdtPr>
        <w:rPr>
          <w:rFonts w:hint="eastAsia"/>
        </w:rPr>
        <w:alias w:val="是否适用：审计意见类型[双击切换]"/>
        <w:tag w:val="_GBC_d275097ba1ea4dd28b26780bebf86bcb"/>
        <w:id w:val="147476554"/>
        <w:placeholder>
          <w:docPart w:val="GBC22222222222222222222222222222"/>
        </w:placeholder>
      </w:sdtPr>
      <w:sdtEndPr>
        <w:rPr>
          <w:rFonts w:hint="eastAsia"/>
        </w:rPr>
      </w:sdtEndPr>
      <w:sdtContent>
        <w:p>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hint="eastAsia" w:ascii="宋体" w:hAnsi="宋体"/>
            </w:rPr>
            <w:instrText xml:space="preserve"> MACROBUTTON  SnrToggleCheckbox √不适用 </w:instrText>
          </w:r>
          <w:r>
            <w:rPr>
              <w:rFonts w:ascii="宋体" w:hAnsi="宋体"/>
            </w:rPr>
            <w:fldChar w:fldCharType="end"/>
          </w:r>
        </w:p>
      </w:sdtContent>
    </w:sdt>
    <w:p/>
    <w:bookmarkEnd w:id="27"/>
    <w:bookmarkEnd w:id="28"/>
    <w:p>
      <w:pPr>
        <w:pStyle w:val="3"/>
        <w:numPr>
          <w:ilvl w:val="0"/>
          <w:numId w:val="6"/>
        </w:numPr>
        <w:tabs>
          <w:tab w:val="left" w:pos="709"/>
        </w:tabs>
        <w:spacing w:before="0" w:after="0" w:line="360" w:lineRule="auto"/>
        <w:rPr>
          <w:rFonts w:hAnsi="Times New Roman"/>
          <w:bCs w:val="0"/>
          <w:kern w:val="0"/>
          <w:szCs w:val="20"/>
        </w:rPr>
      </w:pPr>
      <w:r>
        <w:rPr>
          <w:rFonts w:hint="eastAsia" w:hAnsi="Times New Roman"/>
          <w:bCs w:val="0"/>
          <w:kern w:val="0"/>
          <w:szCs w:val="20"/>
        </w:rPr>
        <w:t>财务报表</w:t>
      </w:r>
    </w:p>
    <w:p>
      <w:pPr>
        <w:ind w:firstLine="3900" w:firstLineChars="1850"/>
        <w:outlineLvl w:val="2"/>
        <w:rPr>
          <w:color w:val="FF00FF"/>
        </w:rPr>
      </w:pPr>
      <w:r>
        <w:rPr>
          <w:b/>
          <w:bCs/>
        </w:rPr>
        <w:t>资产负债表</w:t>
      </w:r>
    </w:p>
    <w:p>
      <w:pPr>
        <w:jc w:val="center"/>
        <w:rPr>
          <w:b/>
          <w:bCs/>
        </w:rPr>
      </w:pPr>
      <w:r>
        <w:rPr>
          <w:rFonts w:hint="eastAsia"/>
        </w:rPr>
        <w:t>2026</w:t>
      </w:r>
      <w:r>
        <w:t>年</w:t>
      </w:r>
      <w:r>
        <w:rPr>
          <w:rFonts w:hint="eastAsia"/>
        </w:rPr>
        <w:t>9</w:t>
      </w:r>
      <w:r>
        <w:t>月3</w:t>
      </w:r>
      <w:r>
        <w:rPr>
          <w:rFonts w:hint="eastAsia"/>
        </w:rPr>
        <w:t>0</w:t>
      </w:r>
      <w:r>
        <w:t>日</w:t>
      </w:r>
    </w:p>
    <w:p>
      <w:r>
        <w:t>编制单位：</w:t>
      </w:r>
      <w:sdt>
        <w:sdtPr>
          <w:alias w:val="公司法定中文名称"/>
          <w:tag w:val="_GBC_01da3a59ff444bd091e2d1717f38b2e9"/>
          <w:id w:val="147479891"/>
          <w:placeholder>
            <w:docPart w:val="GBC22222222222222222222222222222"/>
          </w:placeholder>
          <w:dataBinding w:prefixMappings="xmlns:clcid-cgi='clcid-cgi'" w:xpath="/*/clcid-cgi:GongSiFaDingZhongWenMingCheng[not(@periodRef)]" w:storeItemID="{42DEBF9A-6816-48AE-BADD-E3125C474CD9}"/>
          <w:text/>
        </w:sdtPr>
        <w:sdtContent>
          <w:r>
            <w:rPr>
              <w:rFonts w:hint="eastAsia"/>
            </w:rPr>
            <w:t>江苏紫金农村商业银行股份有限公司</w:t>
          </w:r>
        </w:sdtContent>
      </w:sdt>
    </w:p>
    <w:p>
      <w:pPr>
        <w:wordWrap w:val="0"/>
        <w:jc w:val="right"/>
      </w:pPr>
      <w:r>
        <w:t>单位：</w:t>
      </w:r>
      <w:sdt>
        <w:sdtPr>
          <w:alias w:val="单位：母公司资产负债表"/>
          <w:tag w:val="_GBC_007f8261ade744699b4cc402f6453005"/>
          <w:id w:val="14747422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t>千元</w:t>
          </w:r>
        </w:sdtContent>
      </w:sdt>
      <w:r>
        <w:t xml:space="preserve"> 币种：</w:t>
      </w:r>
      <w:sdt>
        <w:sdtPr>
          <w:alias w:val="币种：母公司资产负债表"/>
          <w:tag w:val="_GBC_1f18a508f2b24f0a87fbc69ec68bb8a4"/>
          <w:id w:val="14745147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r>
        <w:t xml:space="preserve"> 审计类型：</w:t>
      </w:r>
      <w:sdt>
        <w:sdtPr>
          <w:alias w:val="审计类型_资产负债表"/>
          <w:tag w:val="_GBC_bddc76766d7e42efab54ceb03883e3af"/>
          <w:id w:val="147463765"/>
          <w:placeholder>
            <w:docPart w:val="GBC22222222222222222222222222222"/>
          </w:placeholder>
          <w:comboBox>
            <w:listItem w:displayText="未经审计" w:value="false"/>
            <w:listItem w:displayText="经审计" w:value="true"/>
          </w:comboBox>
        </w:sdtPr>
        <w:sdtContent>
          <w:r>
            <w:t>未经审计</w:t>
          </w:r>
        </w:sdtContent>
      </w:sdt>
    </w:p>
    <w:tbl>
      <w:tblPr>
        <w:tblStyle w:val="38"/>
        <w:tblW w:w="4888"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6"/>
        <w:gridCol w:w="2537"/>
        <w:gridCol w:w="2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42bfa6fcf744fcc9b04d43f2716ca27"/>
            <w:id w:val="147481502"/>
          </w:sdtPr>
          <w:sdtContent>
            <w:tc>
              <w:tcPr>
                <w:tcW w:w="2285" w:type="pct"/>
                <w:tcBorders>
                  <w:top w:val="outset" w:color="auto" w:sz="6" w:space="0"/>
                  <w:left w:val="outset" w:color="auto" w:sz="6" w:space="0"/>
                  <w:bottom w:val="outset" w:color="auto" w:sz="6" w:space="0"/>
                  <w:right w:val="outset" w:color="auto" w:sz="6" w:space="0"/>
                </w:tcBorders>
                <w:vAlign w:val="center"/>
              </w:tcPr>
              <w:p>
                <w:pPr>
                  <w:jc w:val="center"/>
                  <w:rPr>
                    <w:b/>
                  </w:rPr>
                </w:pPr>
                <w:r>
                  <w:rPr>
                    <w:b/>
                  </w:rPr>
                  <w:t>项目</w:t>
                </w:r>
              </w:p>
            </w:tc>
          </w:sdtContent>
        </w:sdt>
        <w:sdt>
          <w:sdtPr>
            <w:tag w:val="_PLD_39b9ea1cc1cc4470b5764db78dc19d11"/>
            <w:id w:val="147456956"/>
          </w:sdtPr>
          <w:sdtEndPr>
            <w:rPr>
              <w:b/>
              <w:bCs/>
            </w:rPr>
          </w:sdtEndPr>
          <w:sdtContent>
            <w:tc>
              <w:tcPr>
                <w:tcW w:w="1356" w:type="pct"/>
                <w:tcBorders>
                  <w:top w:val="outset" w:color="auto" w:sz="6" w:space="0"/>
                  <w:left w:val="outset" w:color="auto" w:sz="6" w:space="0"/>
                  <w:bottom w:val="outset" w:color="auto" w:sz="6" w:space="0"/>
                  <w:right w:val="outset" w:color="auto" w:sz="6" w:space="0"/>
                </w:tcBorders>
                <w:vAlign w:val="center"/>
              </w:tcPr>
              <w:p>
                <w:pPr>
                  <w:jc w:val="center"/>
                  <w:rPr>
                    <w:b/>
                  </w:rPr>
                </w:pPr>
                <w:r>
                  <w:rPr>
                    <w:b/>
                    <w:bCs/>
                  </w:rPr>
                  <w:t>2026年9月30日</w:t>
                </w:r>
              </w:p>
            </w:tc>
          </w:sdtContent>
        </w:sdt>
        <w:sdt>
          <w:sdtPr>
            <w:tag w:val="_PLD_5c9dff26c1584d4297cb19c69e43ac2b"/>
            <w:id w:val="147473220"/>
          </w:sdtPr>
          <w:sdtEndPr>
            <w:rPr>
              <w:b/>
              <w:bCs/>
            </w:rPr>
          </w:sdtEndPr>
          <w:sdtContent>
            <w:tc>
              <w:tcPr>
                <w:tcW w:w="1357" w:type="pct"/>
                <w:tcBorders>
                  <w:top w:val="outset" w:color="auto" w:sz="6" w:space="0"/>
                  <w:left w:val="outset" w:color="auto" w:sz="6" w:space="0"/>
                  <w:bottom w:val="outset" w:color="auto" w:sz="6" w:space="0"/>
                  <w:right w:val="outset" w:color="auto" w:sz="6" w:space="0"/>
                </w:tcBorders>
                <w:vAlign w:val="center"/>
              </w:tcPr>
              <w:p>
                <w:pPr>
                  <w:jc w:val="center"/>
                  <w:rPr>
                    <w:b/>
                  </w:rPr>
                </w:pPr>
                <w:r>
                  <w:rPr>
                    <w:b/>
                    <w:bCs/>
                  </w:rPr>
                  <w:t>2025年12月31日</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7f5be784735469faef8f46fc2393ffa"/>
            <w:id w:val="147461523"/>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r>
                  <w:rPr>
                    <w:b/>
                    <w:bCs/>
                  </w:rPr>
                  <w:t>资产：</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现金及存放中央银行款项</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13,109,891</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12,350,860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货币资金</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结算备付金</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存放同业款项</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2,923,907</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2,783,612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贵金属</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拆出资金</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7,475,067</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7,063,143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衍生金融资产</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应收款项</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应收款项融资</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合同资产</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买入返售金融资产</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17,313,792</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10,533,346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持有待售资产</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发放贷款和垫款</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196,493,523</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190,461,756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outset" w:color="auto" w:sz="6" w:space="0"/>
              <w:left w:val="outset" w:color="auto" w:sz="6" w:space="0"/>
              <w:bottom w:val="outset" w:color="auto" w:sz="6" w:space="0"/>
              <w:right w:val="outset" w:color="auto" w:sz="6" w:space="0"/>
            </w:tcBorders>
            <w:vAlign w:val="center"/>
          </w:tcPr>
          <w:sdt>
            <w:sdtPr>
              <w:tag w:val="_PLD_d50cfaa01316460b9c7255255740cc9b"/>
              <w:id w:val="147479105"/>
            </w:sdtPr>
            <w:sdtEndPr>
              <w:rPr>
                <w:rFonts w:hint="eastAsia"/>
              </w:rPr>
            </w:sdtEndPr>
            <w:sdtContent>
              <w:p>
                <w:pPr>
                  <w:ind w:firstLine="210" w:firstLineChars="100"/>
                </w:pPr>
                <w:r>
                  <w:rPr>
                    <w:b/>
                  </w:rPr>
                  <w:t>金融投资</w:t>
                </w:r>
                <w:r>
                  <w:rPr>
                    <w:rFonts w:hint="eastAsia"/>
                    <w:b/>
                  </w:rPr>
                  <w:t>：</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420" w:firstLineChars="200"/>
            </w:pPr>
            <w:r>
              <w:rPr>
                <w:rFonts w:hint="eastAsia"/>
              </w:rPr>
              <w:t>交易性金融资产</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1,914,609</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185,812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420" w:firstLineChars="200"/>
            </w:pPr>
            <w:r>
              <w:rPr>
                <w:rFonts w:hint="eastAsia"/>
              </w:rPr>
              <w:t>债权投资</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15,404,121</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14,062,333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420" w:firstLineChars="200"/>
            </w:pPr>
            <w:r>
              <w:rPr>
                <w:rFonts w:hint="eastAsia"/>
              </w:rPr>
              <w:t>其他债权投资</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43,068,337</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48,148,123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420" w:firstLineChars="200"/>
            </w:pPr>
            <w:r>
              <w:rPr>
                <w:rFonts w:hint="eastAsia"/>
              </w:rPr>
              <w:t>其他权益工具投资</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长期股权投资</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1,347,413</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1,291,705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投资性房地产</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固定资产</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895,642</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949,036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在建工程</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66,358</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61,936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使用权资产</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95,053</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122,500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无形资产</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103,893</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110,712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420" w:firstLineChars="200"/>
            </w:pPr>
            <w:r>
              <w:rPr>
                <w:rFonts w:hint="eastAsia"/>
              </w:rPr>
              <w:t>其中：数据资源</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商誉</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递延所得税资产</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2,042,190</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1,924,831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其他资产</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340,081</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293,354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r>
              <w:t>资产总计</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302,593,877</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290,343,059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412f48df1384b06971111bd0e2d9423"/>
            <w:id w:val="147476087"/>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r>
                  <w:rPr>
                    <w:b/>
                    <w:bCs/>
                  </w:rPr>
                  <w:t>负债：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短期借款</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向中央银行借款</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10,020,301</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7,522,642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同业及其他金融机构存放款项</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3,405,683</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2,209,351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拆入资金</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3,301,294</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3,001,545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交易性金融负债</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衍生金融负债</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卖出回购金融资产款</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9,152,048</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13,878,771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吸收存款</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241,589,723</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230,042,619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应付职工薪酬</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41,629</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137,917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应交税费</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137,938</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110,533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应付款项</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合同负债</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持有待售负债</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预计负债</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88,035</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80,757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长期借款</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应付债券</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12,886,357</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12,322,535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420" w:firstLineChars="200"/>
            </w:pPr>
            <w:r>
              <w:rPr>
                <w:rFonts w:hint="eastAsia"/>
              </w:rPr>
              <w:t>其中：优先股</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1050" w:firstLineChars="500"/>
            </w:pPr>
            <w:r>
              <w:rPr>
                <w:rFonts w:hint="eastAsia"/>
              </w:rPr>
              <w:t>永续债</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租赁负债</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100,271</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126,609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递延所得税负债</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95,006</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53,506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其他负债</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389,365</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555,485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r>
              <w:t>负债合计</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281,207,650</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270,042,270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be24035468040b4a6e5f3f6635465d5"/>
            <w:id w:val="147459039"/>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r>
                  <w:rPr>
                    <w:b/>
                    <w:bCs/>
                  </w:rPr>
                  <w:t>所有者权益（或股东权益）：</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 xml:space="preserve">实收资本(或股本) </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3,661,104</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3,661,004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其他权益工具</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329,631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420" w:firstLineChars="200"/>
            </w:pPr>
            <w:r>
              <w:rPr>
                <w:rFonts w:hint="eastAsia"/>
              </w:rPr>
              <w:t>其中：优先股</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1050" w:firstLineChars="500"/>
            </w:pPr>
            <w:r>
              <w:rPr>
                <w:rFonts w:hint="eastAsia"/>
              </w:rPr>
              <w:t>永续债</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资本公积</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3,307,398</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2,977,476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减：库存股</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其他综合收益</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231,774</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110,908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盈余公积</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3,548,340</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3,423,894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一般风险准备</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7,383,060</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6,823,054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pPr>
              <w:ind w:firstLine="210" w:firstLineChars="100"/>
            </w:pPr>
            <w:r>
              <w:t>未分配利润</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3,254,551</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2,974,822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r>
              <w:t>所有者权益（或股东权益）合计</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21,386,227</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20,300,789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5" w:type="pct"/>
            <w:tcBorders>
              <w:top w:val="outset" w:color="auto" w:sz="6" w:space="0"/>
              <w:left w:val="outset" w:color="auto" w:sz="6" w:space="0"/>
              <w:bottom w:val="outset" w:color="auto" w:sz="6" w:space="0"/>
              <w:right w:val="outset" w:color="auto" w:sz="6" w:space="0"/>
            </w:tcBorders>
            <w:vAlign w:val="center"/>
          </w:tcPr>
          <w:p>
            <w:r>
              <w:t>负债和所有者权益（或股东权益）总计</w:t>
            </w:r>
          </w:p>
        </w:tc>
        <w:tc>
          <w:tcPr>
            <w:tcW w:w="1356"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302,593,877</w:t>
            </w:r>
          </w:p>
        </w:tc>
        <w:tc>
          <w:tcPr>
            <w:tcW w:w="1357"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290,343,059</w:t>
            </w:r>
          </w:p>
        </w:tc>
      </w:tr>
    </w:tbl>
    <w:p>
      <w:pPr>
        <w:ind w:right="-153" w:rightChars="-73"/>
      </w:pPr>
      <w:r>
        <w:rPr>
          <w:rFonts w:hint="eastAsia"/>
        </w:rPr>
        <w:t>公司负责</w:t>
      </w:r>
      <w:r>
        <w:t>人</w:t>
      </w:r>
      <w:r>
        <w:rPr>
          <w:rFonts w:hint="eastAsia"/>
        </w:rPr>
        <w:t>：</w:t>
      </w:r>
      <w:sdt>
        <w:sdtPr>
          <w:rPr>
            <w:rFonts w:hint="eastAsia"/>
          </w:rPr>
          <w:alias w:val="公司负责人"/>
          <w:tag w:val="_GBC_d4c3ed5a8d2c45d0bf6c1b508e9e37e3"/>
          <w:id w:val="147464985"/>
          <w:placeholder>
            <w:docPart w:val="GBC22222222222222222222222222222"/>
          </w:placeholder>
          <w:dataBinding w:prefixMappings="xmlns:clcid-mr='clcid-mr'" w:xpath="/*/clcid-mr:GongSiFuZeRenXingMing[not(@periodRef)]" w:storeItemID="{42DEBF9A-6816-48AE-BADD-E3125C474CD9}"/>
          <w:text/>
        </w:sdtPr>
        <w:sdtEndPr>
          <w:rPr>
            <w:rFonts w:hint="eastAsia"/>
          </w:rPr>
        </w:sdtEndPr>
        <w:sdtContent>
          <w:r>
            <w:rPr>
              <w:rFonts w:hint="eastAsia"/>
            </w:rPr>
            <w:t>邵辉</w:t>
          </w:r>
        </w:sdtContent>
      </w:sdt>
      <w:r>
        <w:rPr>
          <w:rFonts w:hint="eastAsia"/>
          <w:lang w:val="en-US" w:eastAsia="zh-CN"/>
        </w:rPr>
        <w:t xml:space="preserve">   行</w:t>
      </w:r>
      <w:r>
        <w:rPr>
          <w:rFonts w:hint="eastAsia"/>
        </w:rPr>
        <w:t>长：阙正和</w:t>
      </w:r>
      <w:r>
        <w:rPr>
          <w:rFonts w:hint="eastAsia"/>
          <w:lang w:val="en-US" w:eastAsia="zh-CN"/>
        </w:rPr>
        <w:t xml:space="preserve">      </w:t>
      </w:r>
      <w:r>
        <w:t>主管会计工作负责人</w:t>
      </w:r>
      <w:r>
        <w:rPr>
          <w:rFonts w:hint="eastAsia"/>
        </w:rPr>
        <w:t>：</w:t>
      </w:r>
      <w:sdt>
        <w:sdtPr>
          <w:rPr>
            <w:rFonts w:hint="eastAsia"/>
          </w:rPr>
          <w:alias w:val="主管会计工作负责人姓名"/>
          <w:tag w:val="_GBC_145cadda442144ec9be2716efb156a90"/>
          <w:id w:val="147478119"/>
          <w:placeholder>
            <w:docPart w:val="GBC22222222222222222222222222222"/>
          </w:placeholder>
          <w:dataBinding w:prefixMappings="xmlns:clcid-mr='clcid-mr'" w:xpath="/*/clcid-mr:ZhuGuanKuaiJiGongZuoFuZeRenXingMing[not(@periodRef)]" w:storeItemID="{42DEBF9A-6816-48AE-BADD-E3125C474CD9}"/>
          <w:text/>
        </w:sdtPr>
        <w:sdtEndPr>
          <w:rPr>
            <w:rFonts w:hint="eastAsia"/>
          </w:rPr>
        </w:sdtEndPr>
        <w:sdtContent>
          <w:r>
            <w:rPr>
              <w:rFonts w:hint="eastAsia"/>
              <w:lang w:eastAsia="zh-CN"/>
            </w:rPr>
            <w:t xml:space="preserve">王清国      </w:t>
          </w:r>
        </w:sdtContent>
      </w:sdt>
      <w:r>
        <w:t>会计机构负责人</w:t>
      </w:r>
      <w:r>
        <w:rPr>
          <w:rFonts w:hint="eastAsia"/>
        </w:rPr>
        <w:t>：</w:t>
      </w:r>
      <w:sdt>
        <w:sdtPr>
          <w:rPr>
            <w:rFonts w:hint="eastAsia"/>
          </w:rPr>
          <w:alias w:val="会计机构负责人姓名"/>
          <w:tag w:val="_GBC_f34be289b7db4895b99f81c8f4b55617"/>
          <w:id w:val="147479452"/>
          <w:placeholder>
            <w:docPart w:val="GBC22222222222222222222222222222"/>
          </w:placeholder>
          <w:dataBinding w:prefixMappings="xmlns:clcid-mr='clcid-mr'" w:xpath="/*/clcid-mr:KuaiJiJiGouFuZeRenXingMing[not(@periodRef)]" w:storeItemID="{42DEBF9A-6816-48AE-BADD-E3125C474CD9}"/>
          <w:text/>
        </w:sdtPr>
        <w:sdtEndPr>
          <w:rPr>
            <w:rFonts w:hint="eastAsia"/>
          </w:rPr>
        </w:sdtEndPr>
        <w:sdtContent>
          <w:r>
            <w:rPr>
              <w:rFonts w:hint="eastAsia"/>
            </w:rPr>
            <w:t>黄磊</w:t>
          </w:r>
        </w:sdtContent>
      </w:sdt>
    </w:p>
    <w:p>
      <w:pPr>
        <w:ind w:right="-153" w:rightChars="-73"/>
      </w:pPr>
    </w:p>
    <w:p>
      <w:pPr>
        <w:rPr>
          <w:color w:val="FF00FF"/>
        </w:rPr>
      </w:pPr>
    </w:p>
    <w:p>
      <w:pPr>
        <w:jc w:val="center"/>
        <w:outlineLvl w:val="2"/>
        <w:rPr>
          <w:b/>
          <w:bCs/>
        </w:rPr>
      </w:pPr>
      <w:r>
        <w:rPr>
          <w:b/>
          <w:bCs/>
        </w:rPr>
        <w:t>利润表</w:t>
      </w:r>
    </w:p>
    <w:p>
      <w:pPr>
        <w:jc w:val="center"/>
      </w:pPr>
      <w:r>
        <w:rPr>
          <w:rFonts w:hint="eastAsia"/>
        </w:rPr>
        <w:t>2026</w:t>
      </w:r>
      <w:r>
        <w:t>年</w:t>
      </w:r>
      <w:r>
        <w:rPr>
          <w:rFonts w:hint="eastAsia"/>
        </w:rPr>
        <w:t>1—9</w:t>
      </w:r>
      <w:r>
        <w:t>月</w:t>
      </w:r>
    </w:p>
    <w:p>
      <w:pPr>
        <w:rPr>
          <w:bCs/>
        </w:rPr>
      </w:pPr>
      <w:r>
        <w:rPr>
          <w:rFonts w:hint="eastAsia"/>
          <w:bCs/>
        </w:rPr>
        <w:t>编制单位：</w:t>
      </w:r>
      <w:sdt>
        <w:sdtPr>
          <w:rPr>
            <w:rFonts w:hint="eastAsia"/>
          </w:rPr>
          <w:alias w:val="公司法定中文名称"/>
          <w:tag w:val="_GBC_dfe95ad7771a49afa1c7110f9459b80d"/>
          <w:id w:val="147460210"/>
          <w:placeholder>
            <w:docPart w:val="GBC22222222222222222222222222222"/>
          </w:placeholder>
          <w:dataBinding w:prefixMappings="xmlns:clcid-cgi='clcid-cgi'" w:xpath="/*/clcid-cgi:GongSiFaDingZhongWenMingCheng[not(@periodRef)]" w:storeItemID="{42DEBF9A-6816-48AE-BADD-E3125C474CD9}"/>
          <w:text/>
        </w:sdtPr>
        <w:sdtEndPr>
          <w:rPr>
            <w:rFonts w:hint="eastAsia"/>
          </w:rPr>
        </w:sdtEndPr>
        <w:sdtContent>
          <w:r>
            <w:rPr>
              <w:rFonts w:hint="eastAsia"/>
            </w:rPr>
            <w:t>江苏紫金农村商业银行股份有限公司</w:t>
          </w:r>
        </w:sdtContent>
      </w:sdt>
    </w:p>
    <w:p>
      <w:pPr>
        <w:wordWrap w:val="0"/>
        <w:jc w:val="right"/>
      </w:pPr>
      <w:r>
        <w:tab/>
      </w:r>
      <w:r>
        <w:tab/>
      </w:r>
      <w:r>
        <w:tab/>
      </w:r>
      <w:r>
        <w:tab/>
      </w:r>
      <w:r>
        <w:tab/>
      </w:r>
      <w:r>
        <w:tab/>
      </w:r>
      <w:r>
        <w:tab/>
      </w:r>
      <w:r>
        <w:t>单位：</w:t>
      </w:r>
      <w:sdt>
        <w:sdtPr>
          <w:alias w:val="单位：母公司利润表"/>
          <w:tag w:val="_GBC_e03870e2a2a44313b694fd23f40aa95e"/>
          <w:id w:val="14745577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t>千元</w:t>
          </w:r>
        </w:sdtContent>
      </w:sdt>
      <w:r>
        <w:t xml:space="preserve"> 币种：</w:t>
      </w:r>
      <w:sdt>
        <w:sdtPr>
          <w:alias w:val="币种：母公司利润表"/>
          <w:tag w:val="_GBC_ebaf34a6b86f483c92ea419843659194"/>
          <w:id w:val="14747131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r>
        <w:t xml:space="preserve"> 审计类型：</w:t>
      </w:r>
      <w:sdt>
        <w:sdtPr>
          <w:alias w:val="审计类型_利润表"/>
          <w:tag w:val="_GBC_0fea92391afc41caa7c4823dd938b748"/>
          <w:id w:val="147462789"/>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Style w:val="38"/>
        <w:tblW w:w="4888"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8"/>
        <w:gridCol w:w="2693"/>
        <w:gridCol w:w="2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f14bcb8dbe34f6e99f6c012b44b72f0"/>
            <w:id w:val="147452634"/>
          </w:sdtPr>
          <w:sdtContent>
            <w:tc>
              <w:tcPr>
                <w:tcW w:w="2121" w:type="pct"/>
                <w:tcBorders>
                  <w:top w:val="outset" w:color="auto" w:sz="6" w:space="0"/>
                  <w:left w:val="outset" w:color="auto" w:sz="6" w:space="0"/>
                  <w:bottom w:val="outset" w:color="auto" w:sz="6" w:space="0"/>
                  <w:right w:val="outset" w:color="auto" w:sz="6" w:space="0"/>
                </w:tcBorders>
                <w:vAlign w:val="center"/>
              </w:tcPr>
              <w:p>
                <w:pPr>
                  <w:ind w:leftChars="-19" w:hanging="39" w:hangingChars="19"/>
                  <w:jc w:val="center"/>
                  <w:rPr>
                    <w:b/>
                  </w:rPr>
                </w:pPr>
                <w:r>
                  <w:rPr>
                    <w:b/>
                  </w:rPr>
                  <w:t>项目</w:t>
                </w:r>
              </w:p>
            </w:tc>
          </w:sdtContent>
        </w:sdt>
        <w:sdt>
          <w:sdtPr>
            <w:tag w:val="_PLD_9b5914e832c04f639773a4191a494d73"/>
            <w:id w:val="147469373"/>
          </w:sdtPr>
          <w:sdtContent>
            <w:tc>
              <w:tcPr>
                <w:tcW w:w="1439" w:type="pct"/>
                <w:tcBorders>
                  <w:top w:val="outset" w:color="auto" w:sz="6" w:space="0"/>
                  <w:left w:val="outset" w:color="auto" w:sz="6" w:space="0"/>
                  <w:bottom w:val="outset" w:color="auto" w:sz="6" w:space="0"/>
                  <w:right w:val="outset" w:color="auto" w:sz="6" w:space="0"/>
                </w:tcBorders>
                <w:vAlign w:val="center"/>
              </w:tcPr>
              <w:p>
                <w:pPr>
                  <w:jc w:val="center"/>
                  <w:rPr>
                    <w:b/>
                  </w:rPr>
                </w:pPr>
                <w:r>
                  <w:rPr>
                    <w:rFonts w:hint="eastAsia"/>
                    <w:b/>
                  </w:rPr>
                  <w:t>2026年前三季度</w:t>
                </w:r>
              </w:p>
              <w:p>
                <w:pPr>
                  <w:jc w:val="center"/>
                  <w:rPr>
                    <w:b/>
                  </w:rPr>
                </w:pPr>
                <w:r>
                  <w:rPr>
                    <w:rFonts w:hint="eastAsia"/>
                    <w:b/>
                  </w:rPr>
                  <w:t>（1-9月）</w:t>
                </w:r>
              </w:p>
            </w:tc>
          </w:sdtContent>
        </w:sdt>
        <w:sdt>
          <w:sdtPr>
            <w:tag w:val="_PLD_b1faba1c29b344b28cb0f15542af9d47"/>
            <w:id w:val="147479101"/>
          </w:sdtPr>
          <w:sdtContent>
            <w:tc>
              <w:tcPr>
                <w:tcW w:w="1440" w:type="pct"/>
                <w:tcBorders>
                  <w:top w:val="outset" w:color="auto" w:sz="6" w:space="0"/>
                  <w:left w:val="outset" w:color="auto" w:sz="6" w:space="0"/>
                  <w:bottom w:val="outset" w:color="auto" w:sz="6" w:space="0"/>
                  <w:right w:val="outset" w:color="auto" w:sz="6" w:space="0"/>
                </w:tcBorders>
                <w:vAlign w:val="center"/>
              </w:tcPr>
              <w:p>
                <w:pPr>
                  <w:jc w:val="center"/>
                  <w:rPr>
                    <w:b/>
                  </w:rPr>
                </w:pPr>
                <w:r>
                  <w:rPr>
                    <w:rFonts w:hint="eastAsia"/>
                    <w:b/>
                  </w:rPr>
                  <w:t>2025年前三季度</w:t>
                </w:r>
              </w:p>
              <w:p>
                <w:pPr>
                  <w:jc w:val="center"/>
                  <w:rPr>
                    <w:b/>
                  </w:rPr>
                </w:pPr>
                <w:r>
                  <w:rPr>
                    <w:rFonts w:hint="eastAsia"/>
                    <w:b/>
                  </w:rPr>
                  <w:t>（1-9月）</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r>
              <w:t>一、营业总收入</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3,188,527</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3,273,308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利息净收入</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2,407,636</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2,380,482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420" w:firstLineChars="200"/>
            </w:pPr>
            <w:r>
              <w:t>利息收入</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5,483,702</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5,847,571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420" w:firstLineChars="200"/>
            </w:pPr>
            <w:r>
              <w:t>利息支出</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3,076,066</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3,467,089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手续费及佣金净收入</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181,382</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196,719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420" w:firstLineChars="200"/>
            </w:pPr>
            <w:r>
              <w:t>手续费及佣金收入</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208,501</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240,112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420" w:firstLineChars="200"/>
            </w:pPr>
            <w:r>
              <w:t>手续费及佣金支出</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27,119</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43,393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投资收益（损失以”</w:t>
            </w:r>
            <w:r>
              <w:rPr>
                <w:rFonts w:hint="eastAsia"/>
              </w:rPr>
              <w:t>-</w:t>
            </w:r>
            <w:r>
              <w:t>”号填列）</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566,759</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698,170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420" w:firstLineChars="200"/>
            </w:pPr>
            <w:r>
              <w:t>其中：对联营企业和合营企业的投资收益</w:t>
            </w:r>
          </w:p>
        </w:tc>
        <w:tc>
          <w:tcPr>
            <w:tcW w:w="2693" w:type="dxa"/>
            <w:tcBorders>
              <w:top w:val="outset" w:color="auto" w:sz="6" w:space="0"/>
              <w:left w:val="outset" w:color="auto" w:sz="6" w:space="0"/>
              <w:bottom w:val="outset" w:color="auto" w:sz="6" w:space="0"/>
              <w:right w:val="outset" w:color="auto" w:sz="6" w:space="0"/>
            </w:tcBorders>
          </w:tcPr>
          <w:p>
            <w:pPr>
              <w:jc w:val="right"/>
              <w:textAlignment w:val="top"/>
              <w:rPr>
                <w:rFonts w:ascii="宋体" w:hAnsi="宋体" w:cs="宋体"/>
                <w:color w:val="000000"/>
              </w:rPr>
            </w:pPr>
            <w:r>
              <w:rPr>
                <w:rFonts w:hint="eastAsia" w:ascii="宋体" w:hAnsi="宋体" w:cs="宋体"/>
                <w:color w:val="000000"/>
              </w:rPr>
              <w:t>71,364</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85,406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1050" w:firstLineChars="500"/>
            </w:pPr>
            <w:r>
              <w:rPr>
                <w:rFonts w:hint="eastAsia"/>
              </w:rPr>
              <w:t>以摊余成本计量的金融资产终止确认产生的收益（损失以“-”号填列）</w:t>
            </w:r>
          </w:p>
        </w:tc>
        <w:tc>
          <w:tcPr>
            <w:tcW w:w="2693" w:type="dxa"/>
            <w:tcBorders>
              <w:top w:val="outset" w:color="auto" w:sz="6" w:space="0"/>
              <w:left w:val="outset" w:color="auto" w:sz="6" w:space="0"/>
              <w:bottom w:val="outset" w:color="auto" w:sz="6" w:space="0"/>
              <w:right w:val="outset" w:color="auto" w:sz="6" w:space="0"/>
            </w:tcBorders>
          </w:tcPr>
          <w:p>
            <w:pPr>
              <w:jc w:val="right"/>
              <w:textAlignment w:val="top"/>
              <w:rPr>
                <w:rFonts w:ascii="宋体" w:hAnsi="宋体" w:cs="宋体"/>
                <w:color w:val="000000"/>
              </w:rPr>
            </w:pPr>
            <w:r>
              <w:rPr>
                <w:rFonts w:hint="eastAsia" w:ascii="宋体" w:hAnsi="宋体" w:cs="宋体"/>
                <w:color w:val="000000"/>
              </w:rPr>
              <w:t>242,576</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368,450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净敞口套期收益（损失以“</w:t>
            </w:r>
            <w:r>
              <w:t>-”号填列）</w:t>
            </w:r>
          </w:p>
        </w:tc>
        <w:tc>
          <w:tcPr>
            <w:tcW w:w="1439"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440"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其他收益</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4,657</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618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公允价值变动收益（损失以”</w:t>
            </w:r>
            <w:r>
              <w:rPr>
                <w:rFonts w:hint="eastAsia"/>
              </w:rPr>
              <w:t>-</w:t>
            </w:r>
            <w:r>
              <w:t>”号填列）</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17,230</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-16,860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汇兑收益（损失以”</w:t>
            </w:r>
            <w:r>
              <w:rPr>
                <w:rFonts w:hint="eastAsia"/>
              </w:rPr>
              <w:t>-</w:t>
            </w:r>
            <w:r>
              <w:t>”号填列）</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734</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其他业务收入</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7,683</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6,125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资产处置收益（损失以“</w:t>
            </w:r>
            <w:r>
              <w:rPr>
                <w:rFonts w:hint="eastAsia"/>
              </w:rPr>
              <w:t>-</w:t>
            </w:r>
            <w:r>
              <w:t>”号填列）</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2,446</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7,042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r>
              <w:t>二、营业总支出</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1,937,920</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1,853,809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税金及附加</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47,290</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49,202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业务及管理费</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962,521</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1,062,784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信用减值损失</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928,109</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741,823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其他资产减值损失</w:t>
            </w:r>
          </w:p>
        </w:tc>
        <w:tc>
          <w:tcPr>
            <w:tcW w:w="1439"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440"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其他业务成本</w:t>
            </w:r>
          </w:p>
        </w:tc>
        <w:tc>
          <w:tcPr>
            <w:tcW w:w="1439"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440"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r>
              <w:t>三、营业利润（亏损以”</w:t>
            </w:r>
            <w:r>
              <w:rPr>
                <w:rFonts w:hint="eastAsia"/>
              </w:rPr>
              <w:t>-</w:t>
            </w:r>
            <w:r>
              <w:t>”号填列）</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1,250,607</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1,419,499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加：营业外收入</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4,517</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3,503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减：营业外支出</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4,348</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6,441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r>
              <w:t>四、利润总额（亏损总额以”</w:t>
            </w:r>
            <w:r>
              <w:rPr>
                <w:rFonts w:hint="eastAsia"/>
              </w:rPr>
              <w:t>-</w:t>
            </w:r>
            <w:r>
              <w:t>”号填列）</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1,250,776</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1,416,561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减：所得税费用</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103,546</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212,668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r>
              <w:t>五、净利润（净亏损以”</w:t>
            </w:r>
            <w:r>
              <w:rPr>
                <w:rFonts w:hint="eastAsia"/>
              </w:rPr>
              <w:t>-</w:t>
            </w:r>
            <w:r>
              <w:t>”号填列）</w:t>
            </w:r>
          </w:p>
        </w:tc>
        <w:tc>
          <w:tcPr>
            <w:tcW w:w="2693" w:type="dxa"/>
            <w:tcBorders>
              <w:top w:val="outset" w:color="auto" w:sz="6" w:space="0"/>
              <w:left w:val="outset" w:color="auto" w:sz="6" w:space="0"/>
              <w:bottom w:val="outset" w:color="auto" w:sz="6" w:space="0"/>
              <w:right w:val="outset" w:color="auto" w:sz="6" w:space="0"/>
            </w:tcBorders>
          </w:tcPr>
          <w:p>
            <w:pPr>
              <w:jc w:val="right"/>
              <w:textAlignment w:val="top"/>
              <w:rPr>
                <w:rFonts w:ascii="宋体" w:hAnsi="宋体" w:cs="宋体"/>
                <w:color w:val="000000"/>
              </w:rPr>
            </w:pPr>
            <w:r>
              <w:rPr>
                <w:rFonts w:hint="eastAsia" w:ascii="宋体" w:hAnsi="宋体" w:cs="宋体"/>
                <w:color w:val="000000"/>
              </w:rPr>
              <w:t>1,147,230</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1,203,893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（一）</w:t>
            </w:r>
            <w:r>
              <w:t>持续经营净利润（净亏损以“</w:t>
            </w:r>
            <w:r>
              <w:rPr>
                <w:rFonts w:hint="eastAsia"/>
              </w:rPr>
              <w:t>-</w:t>
            </w:r>
            <w:r>
              <w:t>”号填列）</w:t>
            </w:r>
          </w:p>
        </w:tc>
        <w:tc>
          <w:tcPr>
            <w:tcW w:w="2693" w:type="dxa"/>
            <w:tcBorders>
              <w:top w:val="outset" w:color="auto" w:sz="6" w:space="0"/>
              <w:left w:val="outset" w:color="auto" w:sz="6" w:space="0"/>
              <w:bottom w:val="outset" w:color="auto" w:sz="6" w:space="0"/>
              <w:right w:val="outset" w:color="auto" w:sz="6" w:space="0"/>
            </w:tcBorders>
          </w:tcPr>
          <w:p>
            <w:pPr>
              <w:jc w:val="right"/>
              <w:textAlignment w:val="top"/>
              <w:rPr>
                <w:rFonts w:ascii="宋体" w:hAnsi="宋体" w:cs="宋体"/>
                <w:color w:val="000000"/>
              </w:rPr>
            </w:pPr>
            <w:r>
              <w:rPr>
                <w:rFonts w:hint="eastAsia" w:ascii="宋体" w:hAnsi="宋体" w:cs="宋体"/>
                <w:color w:val="000000"/>
              </w:rPr>
              <w:t>1,147,230</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1,203,893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rPr>
                <w:rFonts w:hint="eastAsia"/>
              </w:rPr>
              <w:t>（二）</w:t>
            </w:r>
            <w:r>
              <w:t>终止经营净利润（净亏损以“</w:t>
            </w:r>
            <w:r>
              <w:rPr>
                <w:rFonts w:hint="eastAsia"/>
              </w:rPr>
              <w:t>-</w:t>
            </w:r>
            <w:r>
              <w:t>”号填列）</w:t>
            </w:r>
          </w:p>
        </w:tc>
        <w:tc>
          <w:tcPr>
            <w:tcW w:w="1439"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440"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r>
              <w:rPr>
                <w:rFonts w:hint="eastAsia"/>
              </w:rPr>
              <w:t>六、其他综合收益的税后净额</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120,866</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-528,550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（一）不能重分类进损益的其他综合收益</w:t>
            </w:r>
          </w:p>
        </w:tc>
        <w:tc>
          <w:tcPr>
            <w:tcW w:w="1439"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440"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t>1</w:t>
            </w:r>
            <w:r>
              <w:rPr>
                <w:rFonts w:hint="eastAsia"/>
              </w:rPr>
              <w:t>.</w:t>
            </w:r>
            <w:r>
              <w:t>重新计量设定受益计划变动额</w:t>
            </w:r>
          </w:p>
        </w:tc>
        <w:tc>
          <w:tcPr>
            <w:tcW w:w="1439"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440"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t>2</w:t>
            </w:r>
            <w:r>
              <w:rPr>
                <w:rFonts w:hint="eastAsia"/>
              </w:rPr>
              <w:t>.</w:t>
            </w:r>
            <w:r>
              <w:t>权益法下不能转损益的其他综合收益</w:t>
            </w:r>
          </w:p>
        </w:tc>
        <w:tc>
          <w:tcPr>
            <w:tcW w:w="1439"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440"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t>3</w:t>
            </w:r>
            <w:r>
              <w:rPr>
                <w:rFonts w:hint="eastAsia"/>
              </w:rPr>
              <w:t>.</w:t>
            </w:r>
            <w:r>
              <w:t>其他权益工具投资公允价值变动</w:t>
            </w:r>
          </w:p>
        </w:tc>
        <w:tc>
          <w:tcPr>
            <w:tcW w:w="1439"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440"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t>4</w:t>
            </w:r>
            <w:r>
              <w:rPr>
                <w:rFonts w:hint="eastAsia"/>
              </w:rPr>
              <w:t>.</w:t>
            </w:r>
            <w:r>
              <w:t>企业自身信用风险公允价值变动</w:t>
            </w:r>
          </w:p>
        </w:tc>
        <w:tc>
          <w:tcPr>
            <w:tcW w:w="1439"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440"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rPr>
                <w:rFonts w:hint="eastAsia"/>
              </w:rPr>
              <w:t>5</w:t>
            </w:r>
            <w:r>
              <w:t>.其他</w:t>
            </w:r>
          </w:p>
        </w:tc>
        <w:tc>
          <w:tcPr>
            <w:tcW w:w="1439"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1440"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（二）将重分类进损益的其他综合收益</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120,866</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-528,550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t>1</w:t>
            </w:r>
            <w:r>
              <w:rPr>
                <w:rFonts w:hint="eastAsia"/>
              </w:rPr>
              <w:t>.</w:t>
            </w:r>
            <w:r>
              <w:t>权益法下可转损益的其他综合</w:t>
            </w:r>
            <w:r>
              <w:rPr>
                <w:rFonts w:hint="eastAsia"/>
              </w:rPr>
              <w:t>收益</w:t>
            </w:r>
          </w:p>
        </w:tc>
        <w:tc>
          <w:tcPr>
            <w:tcW w:w="2693" w:type="dxa"/>
            <w:tcBorders>
              <w:top w:val="outset" w:color="auto" w:sz="6" w:space="0"/>
              <w:left w:val="outset" w:color="auto" w:sz="6" w:space="0"/>
              <w:bottom w:val="outset" w:color="auto" w:sz="6" w:space="0"/>
              <w:right w:val="outset" w:color="auto" w:sz="6" w:space="0"/>
            </w:tcBorders>
          </w:tcPr>
          <w:p>
            <w:pPr>
              <w:jc w:val="right"/>
              <w:textAlignment w:val="top"/>
              <w:rPr>
                <w:rFonts w:ascii="宋体" w:hAnsi="宋体" w:cs="宋体"/>
                <w:color w:val="000000"/>
              </w:rPr>
            </w:pPr>
            <w:r>
              <w:rPr>
                <w:rFonts w:hint="eastAsia" w:ascii="宋体" w:hAnsi="宋体" w:cs="宋体"/>
                <w:color w:val="000000"/>
              </w:rPr>
              <w:t>-6,503</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rPr>
                <w:rFonts w:ascii="宋体" w:hAnsi="宋体" w:cs="宋体"/>
                <w:color w:val="000000"/>
              </w:rPr>
            </w:pPr>
            <w:r>
              <w:rPr>
                <w:rFonts w:hint="eastAsia" w:ascii="宋体" w:hAnsi="宋体" w:cs="宋体"/>
                <w:color w:val="000000"/>
              </w:rPr>
              <w:t>-7,703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t>2</w:t>
            </w:r>
            <w:r>
              <w:rPr>
                <w:rFonts w:hint="eastAsia"/>
              </w:rPr>
              <w:t>.</w:t>
            </w:r>
            <w:r>
              <w:t>其他债权投资公允价值变动</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131,126</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-428,659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t>3</w:t>
            </w:r>
            <w:r>
              <w:rPr>
                <w:rFonts w:hint="eastAsia"/>
              </w:rPr>
              <w:t>.</w:t>
            </w:r>
            <w:r>
              <w:t>金融资产重分类计入其他综合收益的金额</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2695" w:type="dxa"/>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t>4</w:t>
            </w:r>
            <w:r>
              <w:rPr>
                <w:rFonts w:hint="eastAsia"/>
              </w:rPr>
              <w:t>.</w:t>
            </w:r>
            <w:r>
              <w:t>其他债权投资信用损失准备</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-3,758</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-92,188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t>5.现金流量套期储备</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2695" w:type="dxa"/>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t>6.外币财务报表折算差额</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2695" w:type="dxa"/>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630" w:firstLineChars="300"/>
            </w:pPr>
            <w:r>
              <w:t>7</w:t>
            </w:r>
            <w:r>
              <w:rPr>
                <w:rFonts w:hint="eastAsia"/>
              </w:rPr>
              <w:t>.其他</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p>
        </w:tc>
        <w:tc>
          <w:tcPr>
            <w:tcW w:w="2695" w:type="dxa"/>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r>
              <w:rPr>
                <w:rFonts w:hint="eastAsia"/>
              </w:rPr>
              <w:t>七、综合收益总额</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1,268,096</w:t>
            </w:r>
          </w:p>
        </w:tc>
        <w:tc>
          <w:tcPr>
            <w:tcW w:w="2695" w:type="dxa"/>
            <w:tcBorders>
              <w:top w:val="outset" w:color="auto" w:sz="6" w:space="0"/>
              <w:left w:val="outset" w:color="auto" w:sz="6" w:space="0"/>
              <w:bottom w:val="outset" w:color="auto" w:sz="6" w:space="0"/>
              <w:right w:val="outset" w:color="auto" w:sz="6" w:space="0"/>
            </w:tcBorders>
            <w:vAlign w:val="center"/>
          </w:tcPr>
          <w:p>
            <w:pPr>
              <w:jc w:val="right"/>
              <w:textAlignment w:val="top"/>
            </w:pPr>
            <w:r>
              <w:rPr>
                <w:rFonts w:ascii="宋体" w:hAnsi="宋体" w:cs="宋体"/>
                <w:color w:val="000000"/>
              </w:rPr>
              <w:t xml:space="preserve"> 675,34</w:t>
            </w:r>
            <w:r>
              <w:rPr>
                <w:rFonts w:hint="eastAsia" w:ascii="宋体" w:hAnsi="宋体" w:cs="宋体"/>
                <w:color w:val="00000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top w:val="outset" w:color="auto" w:sz="6" w:space="0"/>
              <w:left w:val="outset" w:color="auto" w:sz="6" w:space="0"/>
              <w:bottom w:val="outset" w:color="auto" w:sz="6" w:space="0"/>
              <w:right w:val="outset" w:color="auto" w:sz="6" w:space="0"/>
            </w:tcBorders>
            <w:vAlign w:val="center"/>
          </w:tcPr>
          <w:sdt>
            <w:sdtPr>
              <w:tag w:val="_PLD_fe0af12175d146769ca266471d32a728"/>
              <w:id w:val="147459537"/>
            </w:sdtPr>
            <w:sdtContent>
              <w:p>
                <w:r>
                  <w:rPr>
                    <w:rFonts w:hint="eastAsia"/>
                  </w:rPr>
                  <w:t>八</w:t>
                </w:r>
                <w:r>
                  <w:t>、每股收益：</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（一）基本每股收益</w:t>
            </w:r>
            <w:r>
              <w:rPr>
                <w:rFonts w:hint="eastAsia"/>
              </w:rPr>
              <w:t>（元/股）</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0.31</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 xml:space="preserve">0.33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1" w:type="pct"/>
            <w:tcBorders>
              <w:top w:val="outset" w:color="auto" w:sz="6" w:space="0"/>
              <w:left w:val="outset" w:color="auto" w:sz="6" w:space="0"/>
              <w:bottom w:val="outset" w:color="auto" w:sz="6" w:space="0"/>
              <w:right w:val="outset" w:color="auto" w:sz="6" w:space="0"/>
            </w:tcBorders>
            <w:vAlign w:val="center"/>
          </w:tcPr>
          <w:p>
            <w:pPr>
              <w:ind w:firstLine="210" w:firstLineChars="100"/>
            </w:pPr>
            <w:r>
              <w:t>（二）稀释每股收益</w:t>
            </w:r>
            <w:r>
              <w:rPr>
                <w:rFonts w:hint="eastAsia"/>
              </w:rPr>
              <w:t>（元/股）</w:t>
            </w:r>
          </w:p>
        </w:tc>
        <w:tc>
          <w:tcPr>
            <w:tcW w:w="2693" w:type="dxa"/>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0.25</w:t>
            </w:r>
          </w:p>
        </w:tc>
        <w:tc>
          <w:tcPr>
            <w:tcW w:w="2695" w:type="dxa"/>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 xml:space="preserve">0.29 </w:t>
            </w:r>
          </w:p>
        </w:tc>
      </w:tr>
    </w:tbl>
    <w:p>
      <w:pPr>
        <w:ind w:right="-153" w:rightChars="-73"/>
      </w:pPr>
      <w:r>
        <w:rPr>
          <w:rFonts w:hint="eastAsia"/>
        </w:rPr>
        <w:t>公司负责</w:t>
      </w:r>
      <w:r>
        <w:t>人</w:t>
      </w:r>
      <w:r>
        <w:rPr>
          <w:rFonts w:hint="eastAsia"/>
        </w:rPr>
        <w:t>：</w:t>
      </w:r>
      <w:sdt>
        <w:sdtPr>
          <w:rPr>
            <w:rFonts w:hint="eastAsia"/>
          </w:rPr>
          <w:alias w:val="公司负责人"/>
          <w:tag w:val="_GBC_a2e92769e1144e39bbc601f0f21766b9"/>
          <w:id w:val="147461678"/>
          <w:placeholder>
            <w:docPart w:val="GBC22222222222222222222222222222"/>
          </w:placeholder>
          <w:dataBinding w:prefixMappings="xmlns:clcid-mr='clcid-mr'" w:xpath="/*/clcid-mr:GongSiFuZeRenXingMing[not(@periodRef)]" w:storeItemID="{42DEBF9A-6816-48AE-BADD-E3125C474CD9}"/>
          <w:text/>
        </w:sdtPr>
        <w:sdtEndPr>
          <w:rPr>
            <w:rFonts w:hint="eastAsia"/>
          </w:rPr>
        </w:sdtEndPr>
        <w:sdtContent>
          <w:r>
            <w:rPr>
              <w:rFonts w:hint="eastAsia"/>
            </w:rPr>
            <w:t>邵辉</w:t>
          </w:r>
        </w:sdtContent>
      </w:sdt>
      <w:r>
        <w:rPr>
          <w:rFonts w:hint="eastAsia"/>
        </w:rPr>
        <w:t xml:space="preserve">    行长：阙正和    </w:t>
      </w:r>
      <w:r>
        <w:t>主管会计工作负责人</w:t>
      </w:r>
      <w:r>
        <w:rPr>
          <w:rFonts w:hint="eastAsia"/>
        </w:rPr>
        <w:t>：</w:t>
      </w:r>
      <w:sdt>
        <w:sdtPr>
          <w:rPr>
            <w:rFonts w:hint="eastAsia"/>
          </w:rPr>
          <w:alias w:val="主管会计工作负责人姓名"/>
          <w:tag w:val="_GBC_000620d977e54e8086795c24fa95d39e"/>
          <w:id w:val="147462238"/>
          <w:placeholder>
            <w:docPart w:val="GBC22222222222222222222222222222"/>
          </w:placeholder>
          <w:dataBinding w:prefixMappings="xmlns:clcid-mr='clcid-mr'" w:xpath="/*/clcid-mr:ZhuGuanKuaiJiGongZuoFuZeRenXingMing[not(@periodRef)]" w:storeItemID="{42DEBF9A-6816-48AE-BADD-E3125C474CD9}"/>
          <w:text/>
        </w:sdtPr>
        <w:sdtEndPr>
          <w:rPr>
            <w:rFonts w:hint="eastAsia"/>
          </w:rPr>
        </w:sdtEndPr>
        <w:sdtContent>
          <w:r>
            <w:rPr>
              <w:rFonts w:hint="eastAsia"/>
              <w:lang w:eastAsia="zh-CN"/>
            </w:rPr>
            <w:t xml:space="preserve">王清国      </w:t>
          </w:r>
        </w:sdtContent>
      </w:sdt>
      <w:r>
        <w:t>会计机构负责人</w:t>
      </w:r>
      <w:r>
        <w:rPr>
          <w:rFonts w:hint="eastAsia"/>
        </w:rPr>
        <w:t>：</w:t>
      </w:r>
      <w:sdt>
        <w:sdtPr>
          <w:rPr>
            <w:rFonts w:hint="eastAsia"/>
          </w:rPr>
          <w:alias w:val="会计机构负责人姓名"/>
          <w:tag w:val="_GBC_f86b5bbfe76842c4a4941abb48d3c281"/>
          <w:id w:val="147452485"/>
          <w:placeholder>
            <w:docPart w:val="GBC22222222222222222222222222222"/>
          </w:placeholder>
          <w:dataBinding w:prefixMappings="xmlns:clcid-mr='clcid-mr'" w:xpath="/*/clcid-mr:KuaiJiJiGouFuZeRenXingMing[not(@periodRef)]" w:storeItemID="{42DEBF9A-6816-48AE-BADD-E3125C474CD9}"/>
          <w:text/>
        </w:sdtPr>
        <w:sdtEndPr>
          <w:rPr>
            <w:rFonts w:hint="eastAsia"/>
          </w:rPr>
        </w:sdtEndPr>
        <w:sdtContent>
          <w:r>
            <w:rPr>
              <w:rFonts w:hint="eastAsia"/>
            </w:rPr>
            <w:t>黄磊</w:t>
          </w:r>
        </w:sdtContent>
      </w:sdt>
    </w:p>
    <w:p>
      <w:pPr>
        <w:ind w:right="-153" w:rightChars="-73"/>
        <w:rPr>
          <w:color w:val="FF00FF"/>
        </w:rPr>
      </w:pPr>
    </w:p>
    <w:p>
      <w:pPr>
        <w:rPr>
          <w:color w:val="FF00FF"/>
        </w:rPr>
      </w:pPr>
    </w:p>
    <w:p>
      <w:pPr>
        <w:jc w:val="center"/>
        <w:outlineLvl w:val="2"/>
        <w:rPr>
          <w:b/>
        </w:rPr>
      </w:pPr>
      <w:r>
        <w:rPr>
          <w:b/>
        </w:rPr>
        <w:t>现金流量表</w:t>
      </w:r>
    </w:p>
    <w:p>
      <w:pPr>
        <w:jc w:val="center"/>
      </w:pPr>
      <w:r>
        <w:rPr>
          <w:rFonts w:hint="eastAsia"/>
        </w:rPr>
        <w:t>2026</w:t>
      </w:r>
      <w:r>
        <w:t>年</w:t>
      </w:r>
      <w:r>
        <w:rPr>
          <w:rFonts w:hint="eastAsia"/>
        </w:rPr>
        <w:t>1—9</w:t>
      </w:r>
      <w:r>
        <w:t>月</w:t>
      </w:r>
    </w:p>
    <w:p>
      <w:pPr>
        <w:rPr>
          <w:b/>
          <w:bCs/>
        </w:rPr>
      </w:pPr>
      <w:r>
        <w:rPr>
          <w:rFonts w:hint="eastAsia"/>
        </w:rPr>
        <w:t>编制单位：</w:t>
      </w:r>
      <w:sdt>
        <w:sdtPr>
          <w:rPr>
            <w:rFonts w:hint="eastAsia"/>
          </w:rPr>
          <w:alias w:val="公司法定中文名称"/>
          <w:tag w:val="_GBC_6f25abe679604b35ba9cb4128ebb5ae6"/>
          <w:id w:val="147450939"/>
          <w:placeholder>
            <w:docPart w:val="GBC22222222222222222222222222222"/>
          </w:placeholder>
          <w:dataBinding w:prefixMappings="xmlns:clcid-cgi='clcid-cgi'" w:xpath="/*/clcid-cgi:GongSiFaDingZhongWenMingCheng[not(@periodRef)]" w:storeItemID="{42DEBF9A-6816-48AE-BADD-E3125C474CD9}"/>
          <w:text/>
        </w:sdtPr>
        <w:sdtEndPr>
          <w:rPr>
            <w:rFonts w:hint="eastAsia"/>
          </w:rPr>
        </w:sdtEndPr>
        <w:sdtContent>
          <w:r>
            <w:rPr>
              <w:rFonts w:hint="eastAsia"/>
            </w:rPr>
            <w:t>江苏紫金农村商业银行股份有限公司</w:t>
          </w:r>
        </w:sdtContent>
      </w:sdt>
    </w:p>
    <w:p>
      <w:pPr>
        <w:wordWrap w:val="0"/>
        <w:jc w:val="right"/>
      </w:pPr>
      <w:r>
        <w:t>单位：</w:t>
      </w:r>
      <w:sdt>
        <w:sdtPr>
          <w:alias w:val="单位：母公司现金流量表"/>
          <w:tag w:val="_GBC_1f8672a63df54affb2dfc4b6b5eb8911"/>
          <w:id w:val="1474673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t>千元</w:t>
          </w:r>
        </w:sdtContent>
      </w:sdt>
      <w:r>
        <w:t xml:space="preserve"> 币种：</w:t>
      </w:r>
      <w:sdt>
        <w:sdtPr>
          <w:alias w:val="币种：母公司现金流量表"/>
          <w:tag w:val="_GBC_a4e76f69b46c4d38a0242e0ebab10517"/>
          <w:id w:val="1474776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r>
        <w:t xml:space="preserve"> 审计类型：</w:t>
      </w:r>
      <w:sdt>
        <w:sdtPr>
          <w:alias w:val="审计类型_现金流量表"/>
          <w:tag w:val="_GBC_c5273b1b55ec4f04bdfdfbb0d2afda5e"/>
          <w:id w:val="147459669"/>
          <w:placeholder>
            <w:docPart w:val="GBC22222222222222222222222222222"/>
          </w:placeholder>
          <w:comboBox>
            <w:listItem w:displayText="未经审计" w:value="false"/>
            <w:listItem w:displayText="经审计" w:value="true"/>
          </w:comboBox>
        </w:sdtPr>
        <w:sdtContent>
          <w:r>
            <w:rPr>
              <w:rFonts w:hint="eastAsia"/>
            </w:rPr>
            <w:t>未经审计</w:t>
          </w:r>
        </w:sdtContent>
      </w:sdt>
    </w:p>
    <w:tbl>
      <w:tblPr>
        <w:tblStyle w:val="38"/>
        <w:tblW w:w="4888"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3"/>
        <w:gridCol w:w="2534"/>
        <w:gridCol w:w="2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1d595a7afe7429b8994c815cb256c16"/>
            <w:id w:val="147473981"/>
          </w:sdtPr>
          <w:sdtContent>
            <w:tc>
              <w:tcPr>
                <w:tcW w:w="2289" w:type="pct"/>
                <w:tcBorders>
                  <w:top w:val="outset" w:color="auto" w:sz="6" w:space="0"/>
                  <w:left w:val="outset" w:color="auto" w:sz="6" w:space="0"/>
                  <w:bottom w:val="outset" w:color="auto" w:sz="6" w:space="0"/>
                  <w:right w:val="outset" w:color="auto" w:sz="6" w:space="0"/>
                </w:tcBorders>
                <w:vAlign w:val="center"/>
              </w:tcPr>
              <w:p>
                <w:pPr>
                  <w:jc w:val="center"/>
                  <w:rPr>
                    <w:b/>
                    <w:bCs/>
                  </w:rPr>
                </w:pPr>
                <w:r>
                  <w:rPr>
                    <w:b/>
                    <w:bCs/>
                  </w:rPr>
                  <w:t>项目</w:t>
                </w:r>
              </w:p>
            </w:tc>
          </w:sdtContent>
        </w:sdt>
        <w:sdt>
          <w:sdtPr>
            <w:tag w:val="_PLD_b6504338422e47888e6f429e47bd2502"/>
            <w:id w:val="147469392"/>
          </w:sdtPr>
          <w:sdtContent>
            <w:tc>
              <w:tcPr>
                <w:tcW w:w="1354" w:type="pct"/>
                <w:tcBorders>
                  <w:top w:val="outset" w:color="auto" w:sz="6" w:space="0"/>
                  <w:left w:val="outset" w:color="auto" w:sz="6" w:space="0"/>
                  <w:bottom w:val="outset" w:color="auto" w:sz="6" w:space="0"/>
                  <w:right w:val="outset" w:color="auto" w:sz="6" w:space="0"/>
                </w:tcBorders>
                <w:vAlign w:val="center"/>
              </w:tcPr>
              <w:p>
                <w:pPr>
                  <w:autoSpaceDE w:val="0"/>
                  <w:autoSpaceDN w:val="0"/>
                  <w:adjustRightInd w:val="0"/>
                  <w:jc w:val="center"/>
                  <w:rPr>
                    <w:b/>
                  </w:rPr>
                </w:pPr>
                <w:r>
                  <w:rPr>
                    <w:rFonts w:hint="eastAsia"/>
                    <w:b/>
                  </w:rPr>
                  <w:t>2026年前三季度</w:t>
                </w:r>
              </w:p>
              <w:p>
                <w:pPr>
                  <w:autoSpaceDE w:val="0"/>
                  <w:autoSpaceDN w:val="0"/>
                  <w:adjustRightInd w:val="0"/>
                  <w:jc w:val="center"/>
                  <w:rPr>
                    <w:b/>
                  </w:rPr>
                </w:pPr>
                <w:r>
                  <w:rPr>
                    <w:rFonts w:hint="eastAsia"/>
                    <w:b/>
                  </w:rPr>
                  <w:t>（1-9月）</w:t>
                </w:r>
              </w:p>
            </w:tc>
          </w:sdtContent>
        </w:sdt>
        <w:sdt>
          <w:sdtPr>
            <w:tag w:val="_PLD_a011bd09fc5b45b2b1625c1ea63f4d66"/>
            <w:id w:val="147461958"/>
          </w:sdtPr>
          <w:sdtContent>
            <w:tc>
              <w:tcPr>
                <w:tcW w:w="1355" w:type="pct"/>
                <w:tcBorders>
                  <w:top w:val="outset" w:color="auto" w:sz="6" w:space="0"/>
                  <w:left w:val="outset" w:color="auto" w:sz="6" w:space="0"/>
                  <w:bottom w:val="outset" w:color="auto" w:sz="6" w:space="0"/>
                  <w:right w:val="outset" w:color="auto" w:sz="6" w:space="0"/>
                </w:tcBorders>
                <w:vAlign w:val="center"/>
              </w:tcPr>
              <w:p>
                <w:pPr>
                  <w:autoSpaceDE w:val="0"/>
                  <w:autoSpaceDN w:val="0"/>
                  <w:adjustRightInd w:val="0"/>
                  <w:jc w:val="center"/>
                  <w:rPr>
                    <w:b/>
                  </w:rPr>
                </w:pPr>
                <w:r>
                  <w:rPr>
                    <w:rFonts w:hint="eastAsia"/>
                    <w:b/>
                  </w:rPr>
                  <w:t>2025年前三季度</w:t>
                </w:r>
              </w:p>
              <w:p>
                <w:pPr>
                  <w:autoSpaceDE w:val="0"/>
                  <w:autoSpaceDN w:val="0"/>
                  <w:adjustRightInd w:val="0"/>
                  <w:jc w:val="center"/>
                  <w:rPr>
                    <w:b/>
                  </w:rPr>
                </w:pPr>
                <w:r>
                  <w:rPr>
                    <w:rFonts w:hint="eastAsia"/>
                    <w:b/>
                  </w:rPr>
                  <w:t>（1-9月）</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9ace7768d8a44df819d3a084ec45c7b"/>
            <w:id w:val="147479331"/>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r>
                  <w:rPr>
                    <w:b/>
                    <w:bCs/>
                  </w:rPr>
                  <w:t>一、经营活动产生的现金流量：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销售商品、提供劳务收到的现金</w:t>
            </w:r>
          </w:p>
        </w:tc>
        <w:tc>
          <w:tcPr>
            <w:tcW w:w="1354" w:type="pct"/>
            <w:tcBorders>
              <w:top w:val="outset" w:color="auto" w:sz="6" w:space="0"/>
              <w:left w:val="outset" w:color="auto" w:sz="6" w:space="0"/>
              <w:bottom w:val="outset" w:color="auto" w:sz="6" w:space="0"/>
              <w:right w:val="outset" w:color="auto" w:sz="6" w:space="0"/>
            </w:tcBorders>
            <w:vAlign w:val="center"/>
          </w:tcPr>
          <w:p>
            <w:pPr>
              <w:jc w:val="right"/>
            </w:pPr>
          </w:p>
        </w:tc>
        <w:tc>
          <w:tcPr>
            <w:tcW w:w="1355"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客户存款和同业存放款项净增加额</w:t>
            </w:r>
          </w:p>
        </w:tc>
        <w:tc>
          <w:tcPr>
            <w:tcW w:w="1354"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13,493,438</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13,635,203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向中央银行借款净增加额</w:t>
            </w:r>
          </w:p>
        </w:tc>
        <w:tc>
          <w:tcPr>
            <w:tcW w:w="1354"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ascii="宋体" w:hAnsi="宋体" w:cs="宋体"/>
                <w:color w:val="000000"/>
              </w:rPr>
            </w:pPr>
            <w:r>
              <w:rPr>
                <w:rFonts w:hint="eastAsia" w:ascii="宋体" w:hAnsi="宋体" w:cs="宋体"/>
                <w:color w:val="000000"/>
              </w:rPr>
              <w:t>2,474,000</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 xml:space="preserve">554,000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向其他金融机构拆入资金净增加额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300,000</w:t>
            </w:r>
          </w:p>
        </w:tc>
        <w:tc>
          <w:tcPr>
            <w:tcW w:w="1355" w:type="pct"/>
            <w:tcBorders>
              <w:top w:val="outset" w:color="auto" w:sz="6" w:space="0"/>
              <w:left w:val="outset" w:color="auto" w:sz="6" w:space="0"/>
              <w:bottom w:val="outset" w:color="auto" w:sz="6" w:space="0"/>
              <w:right w:val="outset" w:color="auto" w:sz="6" w:space="0"/>
            </w:tcBorders>
            <w:shd w:val="clear" w:color="auto" w:fill="auto"/>
            <w:vAlign w:val="top"/>
          </w:tcPr>
          <w:p>
            <w:pPr>
              <w:jc w:val="right"/>
              <w:textAlignment w:val="top"/>
            </w:pPr>
            <w:r>
              <w:rPr>
                <w:rFonts w:hint="eastAsia" w:ascii="宋体" w:hAnsi="宋体" w:cs="宋体"/>
                <w:color w:val="000000"/>
              </w:rPr>
              <w:t>-1,190,000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收取利息、手续费及佣金的现金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5,977,193</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6,569,830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回购业务资金净增加额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-4,725,167</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 xml:space="preserve">12,705,846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收到其他与经营活动有关的现金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16,857</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169,226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ind w:firstLine="0" w:firstLineChars="0"/>
            </w:pPr>
            <w:r>
              <w:t>经营活动现金流入小计</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17,536,321</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32,444,105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客户贷款及垫款净增加额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6,829,214</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4,301,821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存放中央银行和同业款项净增加额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1,059,333</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167,050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rPr>
                <w:rFonts w:hint="eastAsia"/>
              </w:rPr>
              <w:t>为交易目的而持有的金融资产净增加额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1,711,567</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 xml:space="preserve">-1,042,564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rPr>
                <w:rFonts w:hint="eastAsia"/>
              </w:rPr>
              <w:t>拆出资金净增加额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-992,820</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 xml:space="preserve">5,141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rPr>
                <w:rFonts w:hint="eastAsia"/>
              </w:rPr>
              <w:t>返售业务资金净增加额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108,928</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rPr>
                <w:rFonts w:hint="eastAsia"/>
              </w:rPr>
              <w:t>支付利息、手续费及佣金的现金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3,582,899</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3,127,366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支付给职工及为职工支付的现金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712,535</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696,308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支付的各项税费</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ascii="宋体" w:hAnsi="宋体" w:cs="宋体"/>
                <w:color w:val="000000"/>
              </w:rPr>
            </w:pPr>
            <w:r>
              <w:rPr>
                <w:rFonts w:hint="eastAsia" w:ascii="宋体" w:hAnsi="宋体" w:cs="宋体"/>
                <w:color w:val="000000"/>
              </w:rPr>
              <w:t>479,798</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667,966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支付其他与经营活动有关的现金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448,275</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791,500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ind w:firstLine="0" w:firstLineChars="0"/>
            </w:pPr>
            <w:r>
              <w:t>经营活动现金流出小计</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13,939,729</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8,714,588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ind w:firstLine="0" w:firstLineChars="0"/>
            </w:pPr>
            <w:r>
              <w:t>经营活动产生的现金流量净额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3,596,592</w:t>
            </w:r>
          </w:p>
        </w:tc>
        <w:tc>
          <w:tcPr>
            <w:tcW w:w="1355" w:type="pct"/>
            <w:tcBorders>
              <w:top w:val="outset" w:color="auto" w:sz="6" w:space="0"/>
              <w:left w:val="outset" w:color="auto" w:sz="6" w:space="0"/>
              <w:bottom w:val="outset" w:color="auto" w:sz="6" w:space="0"/>
              <w:right w:val="outset" w:color="auto" w:sz="6" w:space="0"/>
            </w:tcBorders>
            <w:shd w:val="clear" w:color="auto" w:fill="auto"/>
          </w:tcPr>
          <w:p>
            <w:pPr>
              <w:jc w:val="right"/>
              <w:textAlignment w:val="top"/>
            </w:pPr>
            <w:r>
              <w:rPr>
                <w:rFonts w:hint="eastAsia" w:ascii="宋体" w:hAnsi="宋体" w:cs="宋体"/>
                <w:color w:val="000000"/>
              </w:rPr>
              <w:t>23,729,517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25e9b3d53ab45189f86ba1d14ec2831"/>
            <w:id w:val="147467363"/>
          </w:sdtPr>
          <w:sdtContent>
            <w:tc>
              <w:tcPr>
                <w:tcW w:w="5000" w:type="pct"/>
                <w:gridSpan w:val="3"/>
                <w:tcBorders>
                  <w:top w:val="outset" w:color="auto" w:sz="6" w:space="0"/>
                  <w:left w:val="outset" w:color="auto" w:sz="6" w:space="0"/>
                  <w:bottom w:val="outset" w:color="auto" w:sz="6" w:space="0"/>
                  <w:right w:val="outset" w:color="auto" w:sz="6" w:space="0"/>
                </w:tcBorders>
                <w:vAlign w:val="center"/>
              </w:tcPr>
              <w:p>
                <w:r>
                  <w:rPr>
                    <w:b/>
                    <w:bCs/>
                  </w:rPr>
                  <w:t>二、投资活动产生的现金流量：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收回投资收到的现金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70,084,562</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75,406,190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取得投资收益收到的现金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495,395</w:t>
            </w:r>
          </w:p>
        </w:tc>
        <w:tc>
          <w:tcPr>
            <w:tcW w:w="1355" w:type="pct"/>
            <w:tcBorders>
              <w:top w:val="outset" w:color="auto" w:sz="6" w:space="0"/>
              <w:left w:val="outset" w:color="auto" w:sz="6" w:space="0"/>
              <w:bottom w:val="outset" w:color="auto" w:sz="6" w:space="0"/>
              <w:right w:val="outset" w:color="auto" w:sz="6" w:space="0"/>
            </w:tcBorders>
            <w:vAlign w:val="center"/>
          </w:tcPr>
          <w:p>
            <w:pPr>
              <w:jc w:val="right"/>
              <w:textAlignment w:val="top"/>
            </w:pPr>
            <w:r>
              <w:rPr>
                <w:rFonts w:hint="eastAsia" w:ascii="宋体" w:hAnsi="宋体" w:cs="宋体"/>
                <w:color w:val="000000"/>
              </w:rPr>
              <w:t>653,763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rPr>
                <w:rFonts w:hint="eastAsia"/>
              </w:rPr>
              <w:t>处置固定资产、无形资产和其他长期资产收回的现金净额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3,413</w:t>
            </w:r>
          </w:p>
        </w:tc>
        <w:tc>
          <w:tcPr>
            <w:tcW w:w="1355" w:type="pct"/>
            <w:tcBorders>
              <w:top w:val="outset" w:color="auto" w:sz="6" w:space="0"/>
              <w:left w:val="outset" w:color="auto" w:sz="6" w:space="0"/>
              <w:bottom w:val="outset" w:color="auto" w:sz="6" w:space="0"/>
              <w:right w:val="outset" w:color="auto" w:sz="6" w:space="0"/>
            </w:tcBorders>
            <w:vAlign w:val="center"/>
          </w:tcPr>
          <w:p>
            <w:pPr>
              <w:jc w:val="right"/>
              <w:textAlignment w:val="top"/>
            </w:pPr>
            <w:r>
              <w:rPr>
                <w:rFonts w:hint="eastAsia" w:ascii="宋体" w:hAnsi="宋体" w:cs="宋体"/>
                <w:color w:val="000000"/>
              </w:rPr>
              <w:t>7,399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收到其他与投资活动有关的现金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p>
        </w:tc>
        <w:tc>
          <w:tcPr>
            <w:tcW w:w="1355"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ind w:firstLine="0" w:firstLineChars="0"/>
            </w:pPr>
            <w:r>
              <w:t>投资活动现金流入小计</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pStyle w:val="37"/>
              <w:jc w:val="right"/>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70,583,370</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rPr>
                <w:rFonts w:hint="eastAsia" w:ascii="宋体" w:hAnsi="宋体" w:cs="宋体"/>
                <w:color w:val="000000"/>
              </w:rPr>
            </w:pPr>
            <w:r>
              <w:rPr>
                <w:rFonts w:hint="eastAsia" w:ascii="宋体" w:hAnsi="宋体" w:cs="宋体"/>
                <w:color w:val="000000"/>
              </w:rPr>
              <w:t>76,067,352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投资支付的现金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66,172,918</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rPr>
                <w:rFonts w:hint="eastAsia" w:ascii="宋体" w:hAnsi="宋体" w:cs="宋体"/>
                <w:color w:val="000000"/>
              </w:rPr>
            </w:pPr>
            <w:r>
              <w:rPr>
                <w:rFonts w:hint="eastAsia" w:ascii="宋体" w:hAnsi="宋体" w:cs="宋体"/>
                <w:color w:val="000000"/>
              </w:rPr>
              <w:t>78,651,661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购建固定资产、无形资产和其他长期资产支付的现金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27,434</w:t>
            </w:r>
          </w:p>
        </w:tc>
        <w:tc>
          <w:tcPr>
            <w:tcW w:w="1355" w:type="pct"/>
            <w:tcBorders>
              <w:top w:val="outset" w:color="auto" w:sz="6" w:space="0"/>
              <w:left w:val="outset" w:color="auto" w:sz="6" w:space="0"/>
              <w:bottom w:val="outset" w:color="auto" w:sz="6" w:space="0"/>
              <w:right w:val="outset" w:color="auto" w:sz="6" w:space="0"/>
            </w:tcBorders>
            <w:vAlign w:val="center"/>
          </w:tcPr>
          <w:p>
            <w:pPr>
              <w:jc w:val="right"/>
              <w:textAlignment w:val="top"/>
              <w:rPr>
                <w:rFonts w:hint="eastAsia" w:ascii="宋体" w:hAnsi="宋体" w:cs="宋体"/>
                <w:color w:val="000000"/>
              </w:rPr>
            </w:pPr>
            <w:r>
              <w:rPr>
                <w:rFonts w:hint="eastAsia" w:ascii="宋体" w:hAnsi="宋体" w:cs="宋体"/>
                <w:color w:val="000000"/>
              </w:rPr>
              <w:t>25,954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支付其他与投资活动有关的现金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eastAsia="宋体" w:cs="宋体"/>
                <w:b w:val="0"/>
                <w:bCs w:val="0"/>
                <w:color w:val="000000"/>
                <w:sz w:val="21"/>
                <w:szCs w:val="21"/>
                <w:lang w:val="en-US" w:eastAsia="zh-CN" w:bidi="ar-SA"/>
              </w:rPr>
            </w:pPr>
          </w:p>
        </w:tc>
        <w:tc>
          <w:tcPr>
            <w:tcW w:w="1355"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ind w:firstLine="0" w:firstLineChars="0"/>
            </w:pPr>
            <w:r>
              <w:t>投资活动现金流出小计</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66,200,352</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78,677,615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ind w:firstLine="0" w:firstLineChars="0"/>
            </w:pPr>
            <w:r>
              <w:t>投资活动产生的现金流量净额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4,383,018</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-2,610,263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5dd6d5005d74aec99788618d95f9c6d"/>
            <w:id w:val="147454189"/>
          </w:sdtPr>
          <w:sdtContent>
            <w:tc>
              <w:tcPr>
                <w:tcW w:w="5000" w:type="pct"/>
                <w:gridSpan w:val="3"/>
                <w:tcBorders>
                  <w:top w:val="outset" w:color="auto" w:sz="6" w:space="0"/>
                  <w:left w:val="outset" w:color="auto" w:sz="6" w:space="0"/>
                  <w:bottom w:val="outset" w:color="auto" w:sz="6" w:space="0"/>
                  <w:right w:val="outset" w:color="auto" w:sz="6" w:space="0"/>
                </w:tcBorders>
                <w:shd w:val="clear" w:color="auto" w:fill="auto"/>
                <w:vAlign w:val="center"/>
              </w:tcPr>
              <w:p>
                <w:r>
                  <w:rPr>
                    <w:b/>
                    <w:bCs/>
                  </w:rPr>
                  <w:t>三、筹资活动产生的现金流量：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吸收投资收到的现金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pPr>
          </w:p>
        </w:tc>
        <w:tc>
          <w:tcPr>
            <w:tcW w:w="1355"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rPr>
                <w:rFonts w:hint="eastAsia"/>
              </w:rPr>
              <w:t>取得借款收到的现金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pPr>
          </w:p>
        </w:tc>
        <w:tc>
          <w:tcPr>
            <w:tcW w:w="1355"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rPr>
                <w:rFonts w:hint="eastAsia"/>
              </w:rPr>
              <w:t>发行债券收到的现金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6,536,984</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 xml:space="preserve">2,988,448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收到其他与筹资活动有关的现金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p>
        </w:tc>
        <w:tc>
          <w:tcPr>
            <w:tcW w:w="1355"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ind w:firstLine="0" w:firstLineChars="0"/>
            </w:pPr>
            <w:r>
              <w:t>筹资活动现金流入小计</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6,536,984</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 xml:space="preserve">2,988,448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偿还债务支付的现金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6,019,507</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 xml:space="preserve">12,890,000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分配股利、利润或偿付利息支付的现金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531,621</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 xml:space="preserve">459,578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支付其他与筹资活动有关的现金</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31,109</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 xml:space="preserve">41,923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ind w:firstLine="0" w:firstLineChars="0"/>
            </w:pPr>
            <w:r>
              <w:t>筹资活动现金流出小计</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6,582,237</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 xml:space="preserve">13,391,501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ind w:firstLine="0" w:firstLineChars="0"/>
            </w:pPr>
            <w:r>
              <w:t>筹资活动产生的现金流量净额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-45,253</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 xml:space="preserve">-10,403,053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rPr>
                <w:b/>
                <w:bCs/>
              </w:rPr>
            </w:pPr>
            <w:r>
              <w:rPr>
                <w:b/>
                <w:bCs/>
              </w:rPr>
              <w:t>四、汇率变动对现金及现金等价物的影响</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jc w:val="right"/>
              <w:textAlignment w:val="top"/>
              <w:rPr>
                <w:rFonts w:hint="eastAsia" w:ascii="宋体" w:hAnsi="宋体" w:cs="宋体"/>
                <w:color w:val="000000"/>
              </w:rPr>
            </w:pPr>
            <w:r>
              <w:rPr>
                <w:rFonts w:hint="eastAsia" w:ascii="宋体" w:hAnsi="宋体" w:cs="宋体"/>
                <w:color w:val="000000"/>
              </w:rPr>
              <w:t>-21,540</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-5,036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rPr>
                <w:b/>
                <w:bCs/>
              </w:rPr>
            </w:pPr>
            <w:r>
              <w:rPr>
                <w:b/>
                <w:bCs/>
              </w:rPr>
              <w:t>五、现金及现金等价物净增加额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pStyle w:val="37"/>
              <w:jc w:val="right"/>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7,912,817</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10,711,165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pStyle w:val="35"/>
            </w:pPr>
            <w:r>
              <w:t>加：期初现金及现金等价物余额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pStyle w:val="37"/>
              <w:wordWrap w:val="0"/>
              <w:jc w:val="right"/>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20,258,643</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16,672,475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pct"/>
            <w:tcBorders>
              <w:top w:val="outset" w:color="auto" w:sz="6" w:space="0"/>
              <w:left w:val="outset" w:color="auto" w:sz="6" w:space="0"/>
              <w:bottom w:val="outset" w:color="auto" w:sz="6" w:space="0"/>
              <w:right w:val="outset" w:color="auto" w:sz="6" w:space="0"/>
            </w:tcBorders>
            <w:vAlign w:val="center"/>
          </w:tcPr>
          <w:p>
            <w:pPr>
              <w:rPr>
                <w:b/>
                <w:bCs/>
              </w:rPr>
            </w:pPr>
            <w:r>
              <w:rPr>
                <w:b/>
                <w:bCs/>
              </w:rPr>
              <w:t>六、期末现金及现金等价物余额</w:t>
            </w:r>
          </w:p>
        </w:tc>
        <w:tc>
          <w:tcPr>
            <w:tcW w:w="1354" w:type="pct"/>
            <w:tcBorders>
              <w:top w:val="outset" w:color="auto" w:sz="6" w:space="0"/>
              <w:left w:val="outset" w:color="auto" w:sz="6" w:space="0"/>
              <w:bottom w:val="outset" w:color="auto" w:sz="6" w:space="0"/>
              <w:right w:val="outset" w:color="auto" w:sz="6" w:space="0"/>
            </w:tcBorders>
            <w:shd w:val="clear" w:color="auto" w:fill="auto"/>
            <w:vAlign w:val="center"/>
          </w:tcPr>
          <w:p>
            <w:pPr>
              <w:pStyle w:val="37"/>
              <w:wordWrap w:val="0"/>
              <w:jc w:val="right"/>
              <w:rPr>
                <w:rFonts w:hint="eastAsia" w:ascii="宋体" w:hAnsi="宋体" w:eastAsia="宋体" w:cs="宋体"/>
                <w:b w:val="0"/>
                <w:bCs w:val="0"/>
                <w:color w:val="000000"/>
                <w:sz w:val="21"/>
                <w:szCs w:val="21"/>
                <w:lang w:val="en-US" w:eastAsia="zh-CN" w:bidi="ar-SA"/>
              </w:rPr>
            </w:pPr>
            <w:r>
              <w:rPr>
                <w:rFonts w:hint="eastAsia" w:ascii="宋体" w:hAnsi="宋体" w:eastAsia="宋体" w:cs="宋体"/>
                <w:b w:val="0"/>
                <w:bCs w:val="0"/>
                <w:color w:val="000000"/>
                <w:sz w:val="21"/>
                <w:szCs w:val="21"/>
                <w:lang w:val="en-US" w:eastAsia="zh-CN" w:bidi="ar-SA"/>
              </w:rPr>
              <w:t>28,171,460</w:t>
            </w:r>
          </w:p>
        </w:tc>
        <w:tc>
          <w:tcPr>
            <w:tcW w:w="1355" w:type="pct"/>
            <w:tcBorders>
              <w:top w:val="outset" w:color="auto" w:sz="6" w:space="0"/>
              <w:left w:val="outset" w:color="auto" w:sz="6" w:space="0"/>
              <w:bottom w:val="outset" w:color="auto" w:sz="6" w:space="0"/>
              <w:right w:val="outset" w:color="auto" w:sz="6" w:space="0"/>
            </w:tcBorders>
          </w:tcPr>
          <w:p>
            <w:pPr>
              <w:jc w:val="right"/>
              <w:textAlignment w:val="top"/>
            </w:pPr>
            <w:r>
              <w:rPr>
                <w:rFonts w:hint="eastAsia" w:ascii="宋体" w:hAnsi="宋体" w:cs="宋体"/>
                <w:color w:val="000000"/>
              </w:rPr>
              <w:t>27,383,640</w:t>
            </w:r>
          </w:p>
        </w:tc>
      </w:tr>
    </w:tbl>
    <w:p>
      <w:pPr>
        <w:ind w:right="-153" w:rightChars="-73"/>
      </w:pPr>
      <w:r>
        <w:rPr>
          <w:rFonts w:hint="eastAsia"/>
        </w:rPr>
        <w:t>公司负责</w:t>
      </w:r>
      <w:r>
        <w:t>人</w:t>
      </w:r>
      <w:r>
        <w:rPr>
          <w:rFonts w:hint="eastAsia"/>
        </w:rPr>
        <w:t>：</w:t>
      </w:r>
      <w:sdt>
        <w:sdtPr>
          <w:rPr>
            <w:rFonts w:hint="eastAsia"/>
          </w:rPr>
          <w:alias w:val="公司负责人"/>
          <w:tag w:val="_GBC_c54dbb0e0ffd41fbb24cd5b55e336407"/>
          <w:id w:val="147475968"/>
          <w:placeholder>
            <w:docPart w:val="GBC22222222222222222222222222222"/>
          </w:placeholder>
          <w:dataBinding w:prefixMappings="xmlns:clcid-mr='clcid-mr'" w:xpath="/*/clcid-mr:GongSiFuZeRenXingMing[not(@periodRef)]" w:storeItemID="{42DEBF9A-6816-48AE-BADD-E3125C474CD9}"/>
          <w:text/>
        </w:sdtPr>
        <w:sdtEndPr>
          <w:rPr>
            <w:rFonts w:hint="eastAsia"/>
          </w:rPr>
        </w:sdtEndPr>
        <w:sdtContent>
          <w:r>
            <w:rPr>
              <w:rFonts w:hint="eastAsia"/>
            </w:rPr>
            <w:t>邵辉</w:t>
          </w:r>
        </w:sdtContent>
      </w:sdt>
      <w:r>
        <w:rPr>
          <w:rFonts w:hint="eastAsia"/>
        </w:rPr>
        <w:t xml:space="preserve">    行长：阙正和   </w:t>
      </w:r>
      <w:r>
        <w:t>主管会计工作负责人</w:t>
      </w:r>
      <w:r>
        <w:rPr>
          <w:rFonts w:hint="eastAsia"/>
        </w:rPr>
        <w:t>：</w:t>
      </w:r>
      <w:sdt>
        <w:sdtPr>
          <w:rPr>
            <w:rFonts w:hint="eastAsia"/>
          </w:rPr>
          <w:alias w:val="主管会计工作负责人姓名"/>
          <w:tag w:val="_GBC_44351345114d4415a569eca2f93fc31f"/>
          <w:id w:val="147483647"/>
          <w:placeholder>
            <w:docPart w:val="GBC22222222222222222222222222222"/>
          </w:placeholder>
          <w:dataBinding w:prefixMappings="xmlns:clcid-mr='clcid-mr'" w:xpath="/*/clcid-mr:ZhuGuanKuaiJiGongZuoFuZeRenXingMing[not(@periodRef)]" w:storeItemID="{42DEBF9A-6816-48AE-BADD-E3125C474CD9}"/>
          <w:text/>
        </w:sdtPr>
        <w:sdtEndPr>
          <w:rPr>
            <w:rFonts w:hint="eastAsia"/>
          </w:rPr>
        </w:sdtEndPr>
        <w:sdtContent>
          <w:r>
            <w:rPr>
              <w:rFonts w:hint="eastAsia"/>
              <w:lang w:eastAsia="zh-CN"/>
            </w:rPr>
            <w:t xml:space="preserve">王清国      </w:t>
          </w:r>
        </w:sdtContent>
      </w:sdt>
      <w:r>
        <w:t>会计机构负责人</w:t>
      </w:r>
      <w:r>
        <w:rPr>
          <w:rFonts w:hint="eastAsia"/>
        </w:rPr>
        <w:t>：</w:t>
      </w:r>
      <w:sdt>
        <w:sdtPr>
          <w:rPr>
            <w:rFonts w:hint="eastAsia"/>
          </w:rPr>
          <w:alias w:val="会计机构负责人姓名"/>
          <w:tag w:val="_GBC_6b520f7123104ea5b9a39404d8c5de39"/>
          <w:id w:val="147460719"/>
          <w:placeholder>
            <w:docPart w:val="GBC22222222222222222222222222222"/>
          </w:placeholder>
          <w:dataBinding w:prefixMappings="xmlns:clcid-mr='clcid-mr'" w:xpath="/*/clcid-mr:KuaiJiJiGouFuZeRenXingMing[not(@periodRef)]" w:storeItemID="{42DEBF9A-6816-48AE-BADD-E3125C474CD9}"/>
          <w:text/>
        </w:sdtPr>
        <w:sdtEndPr>
          <w:rPr>
            <w:rFonts w:hint="eastAsia"/>
          </w:rPr>
        </w:sdtEndPr>
        <w:sdtContent>
          <w:r>
            <w:rPr>
              <w:rFonts w:hint="eastAsia"/>
            </w:rPr>
            <w:t>黄磊</w:t>
          </w:r>
        </w:sdtContent>
      </w:sdt>
    </w:p>
    <w:p>
      <w:pPr>
        <w:ind w:right="-153" w:rightChars="-73"/>
      </w:pPr>
    </w:p>
    <w:p>
      <w:pPr>
        <w:pStyle w:val="3"/>
        <w:numPr>
          <w:ilvl w:val="0"/>
          <w:numId w:val="6"/>
        </w:numPr>
        <w:tabs>
          <w:tab w:val="left" w:pos="709"/>
        </w:tabs>
        <w:spacing w:before="0" w:after="0" w:line="360" w:lineRule="auto"/>
        <w:rPr>
          <w:rFonts w:hAnsi="Times New Roman"/>
          <w:bCs w:val="0"/>
          <w:kern w:val="0"/>
          <w:szCs w:val="20"/>
        </w:rPr>
      </w:pPr>
      <w:bookmarkStart w:id="29" w:name="_Hlk114127309"/>
      <w:bookmarkEnd w:id="29"/>
      <w:bookmarkStart w:id="30" w:name="_Hlk114580964"/>
      <w:r>
        <w:rPr>
          <w:rFonts w:hint="eastAsia" w:hAnsi="Times New Roman"/>
          <w:bCs w:val="0"/>
          <w:kern w:val="0"/>
          <w:szCs w:val="20"/>
        </w:rPr>
        <w:t>2026年起首次执行新会计准则或准则解释等涉及调整首次执行当年年初的财务报表</w:t>
      </w:r>
    </w:p>
    <w:sdt>
      <w:sdtPr>
        <w:alias w:val="首次执行新会计准则或准则解释等涉及调整首次执行当年年初的财务报表[双击切换]"/>
        <w:tag w:val="_GBC_5fb3ea1c466b4f56877ed82e40928d2d"/>
        <w:id w:val="147477932"/>
        <w:placeholder>
          <w:docPart w:val="GBC22222222222222222222222222222"/>
        </w:placeholder>
      </w:sdtPr>
      <w:sdtContent>
        <w:p>
          <w:r>
            <w:rPr>
              <w:rFonts w:ascii="宋体" w:hAnsi="宋体"/>
            </w:rPr>
            <w:fldChar w:fldCharType="begin"/>
          </w:r>
          <w:r>
            <w:rPr>
              <w:rFonts w:hint="eastAsia" w:ascii="宋体" w:hAnsi="宋体"/>
            </w:rPr>
            <w:instrText xml:space="preserve"> MACROBUTTON  SnrToggleCheckbox □适用 </w:instrText>
          </w:r>
          <w:r>
            <w:rPr>
              <w:rFonts w:ascii="宋体" w:hAnsi="宋体"/>
            </w:rPr>
            <w:fldChar w:fldCharType="end"/>
          </w:r>
          <w:r>
            <w:fldChar w:fldCharType="begin"/>
          </w:r>
          <w:r>
            <w:rPr>
              <w:rFonts w:hint="eastAsia"/>
            </w:rPr>
            <w:instrText xml:space="preserve"> MACROBUTTON  SnrToggleCheckbox √不适用 </w:instrText>
          </w:r>
          <w:r>
            <w:fldChar w:fldCharType="end"/>
          </w:r>
        </w:p>
      </w:sdtContent>
    </w:sdt>
    <w:bookmarkEnd w:id="30"/>
    <w:p>
      <w:bookmarkStart w:id="31" w:name="_Hlk114236137"/>
      <w:bookmarkEnd w:id="31"/>
      <w:bookmarkStart w:id="32" w:name="_Hlk4355718"/>
      <w:bookmarkEnd w:id="32"/>
      <w:bookmarkStart w:id="33" w:name="_Hlk114236197"/>
      <w:bookmarkEnd w:id="33"/>
      <w:bookmarkStart w:id="34" w:name="_Hlk4355640"/>
      <w:bookmarkEnd w:id="34"/>
    </w:p>
    <w:p>
      <w:pPr>
        <w:ind w:firstLine="420" w:firstLineChars="200"/>
      </w:pPr>
      <w:r>
        <w:t>特此公告</w:t>
      </w:r>
      <w:r>
        <w:rPr>
          <w:rFonts w:hint="eastAsia"/>
        </w:rPr>
        <w:t>。</w:t>
      </w:r>
    </w:p>
    <w:p>
      <w:pPr>
        <w:jc w:val="right"/>
      </w:pPr>
      <w:sdt>
        <w:sdtPr>
          <w:rPr>
            <w:rFonts w:hint="eastAsia"/>
          </w:rPr>
          <w:alias w:val="公司法定中文名称"/>
          <w:tag w:val="_GBC_5bac813f3c284ca0a3d472188773765e"/>
          <w:id w:val="147456221"/>
          <w:placeholder>
            <w:docPart w:val="GBC22222222222222222222222222222"/>
          </w:placeholder>
        </w:sdtPr>
        <w:sdtEndPr>
          <w:rPr>
            <w:rFonts w:hint="eastAsia"/>
          </w:rPr>
        </w:sdtEndPr>
        <w:sdtContent>
          <w:r>
            <w:rPr>
              <w:rFonts w:hint="eastAsia"/>
            </w:rPr>
            <w:t>江苏紫金农村商业银行股份有限公司</w:t>
          </w:r>
        </w:sdtContent>
      </w:sdt>
      <w:r>
        <w:rPr>
          <w:rFonts w:hint="eastAsia"/>
        </w:rPr>
        <w:t>董事会</w:t>
      </w:r>
    </w:p>
    <w:p>
      <w:pPr>
        <w:jc w:val="right"/>
      </w:pPr>
      <w:sdt>
        <w:sdtPr>
          <w:rPr>
            <w:rFonts w:hint="eastAsia"/>
          </w:rPr>
          <w:alias w:val="报告董事会批准报送日期"/>
          <w:tag w:val="_GBC_23df9fe15e7046c59df0c0eb404906af"/>
          <w:id w:val="147461854"/>
          <w:placeholder>
            <w:docPart w:val="GBC22222222222222222222222222222"/>
          </w:placeholder>
          <w:date w:fullDate="2026-10-29T00:00:00Z">
            <w:dateFormat w:val="yyyy'年'M'月'd'日'"/>
            <w:lid w:val="zh-CN"/>
            <w:storeMappedDataAs w:val="datetime"/>
            <w:calendar w:val="gregorian"/>
          </w:date>
        </w:sdtPr>
        <w:sdtEndPr>
          <w:rPr>
            <w:rFonts w:hint="eastAsia"/>
          </w:rPr>
        </w:sdtEndPr>
        <w:sdtContent>
          <w:r>
            <w:rPr>
              <w:rFonts w:hint="eastAsia"/>
            </w:rPr>
            <w:t>2026年10月29日</w:t>
          </w:r>
        </w:sdtContent>
      </w:sdt>
    </w:p>
    <w:sectPr>
      <w:headerReference r:id="rId3" w:type="default"/>
      <w:footerReference r:id="rId4" w:type="default"/>
      <w:pgSz w:w="11906" w:h="16838"/>
      <w:pgMar w:top="1525" w:right="1276" w:bottom="1440"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Helvetica-Narrow">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Noto Sans CJK JP Regular">
    <w:altName w:val="微软雅黑"/>
    <w:panose1 w:val="00000000000000000000"/>
    <w:charset w:val="86"/>
    <w:family w:val="swiss"/>
    <w:pitch w:val="default"/>
    <w:sig w:usb0="00000000" w:usb1="00000000" w:usb2="00000016" w:usb3="00000000" w:csb0="002E0107"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pP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p>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tabs>
        <w:tab w:val="left" w:pos="8364"/>
        <w:tab w:val="left" w:pos="8505"/>
        <w:tab w:val="clear" w:pos="8306"/>
      </w:tabs>
      <w:ind w:right="21" w:rightChars="10"/>
      <w:rPr>
        <w:b/>
      </w:rPr>
    </w:pPr>
    <w:sdt>
      <w:sdtPr>
        <w:rPr>
          <w:rFonts w:hint="eastAsia"/>
          <w:b/>
        </w:rPr>
        <w:alias w:val="公司法定中文名称"/>
        <w:tag w:val="_GBC_43b4fbea15d34fa28684bb177e141b9f"/>
        <w:id w:val="-467365067"/>
        <w:dataBinding w:prefixMappings="xmlns:clcid-cgi='clcid-cgi'" w:xpath="/*/clcid-cgi:GongSiFaDingZhongWenMingCheng[not(@periodRef)]" w:storeItemID="{42DEBF9A-6816-48AE-BADD-E3125C474CD9}"/>
        <w:text/>
      </w:sdtPr>
      <w:sdtEndPr>
        <w:rPr>
          <w:rFonts w:hint="eastAsia"/>
          <w:b/>
        </w:rPr>
      </w:sdtEndPr>
      <w:sdtContent>
        <w:r>
          <w:rPr>
            <w:rFonts w:hint="eastAsia"/>
            <w:b/>
          </w:rPr>
          <w:t>江苏紫金农村商业银行股份有限公司</w:t>
        </w:r>
      </w:sdtContent>
    </w:sdt>
    <w:r>
      <w:rPr>
        <w:rFonts w:hint="eastAsia"/>
        <w:b/>
      </w:rPr>
      <w:t xml:space="preserve"> 2026年第三季度报告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A7B652"/>
    <w:multiLevelType w:val="singleLevel"/>
    <w:tmpl w:val="FBA7B652"/>
    <w:lvl w:ilvl="0" w:tentative="0">
      <w:start w:val="5"/>
      <w:numFmt w:val="chineseCounting"/>
      <w:suff w:val="nothing"/>
      <w:lvlText w:val="（%1）"/>
      <w:lvlJc w:val="left"/>
      <w:rPr>
        <w:rFonts w:hint="eastAsia"/>
      </w:rPr>
    </w:lvl>
  </w:abstractNum>
  <w:abstractNum w:abstractNumId="1">
    <w:nsid w:val="FFFFFFFB"/>
    <w:multiLevelType w:val="multilevel"/>
    <w:tmpl w:val="FFFFFFFB"/>
    <w:lvl w:ilvl="0" w:tentative="0">
      <w:start w:val="1"/>
      <w:numFmt w:val="chineseCountingThousand"/>
      <w:lvlText w:val="%1、"/>
      <w:lvlJc w:val="left"/>
      <w:pPr>
        <w:ind w:left="0" w:firstLine="0"/>
      </w:pPr>
      <w:rPr>
        <w:rFonts w:hint="default"/>
        <w:b/>
        <w:i w:val="0"/>
        <w:color w:val="auto"/>
      </w:rPr>
    </w:lvl>
    <w:lvl w:ilvl="1" w:tentative="0">
      <w:start w:val="1"/>
      <w:numFmt w:val="decimal"/>
      <w:lvlText w:val="1.%2"/>
      <w:lvlJc w:val="left"/>
      <w:pPr>
        <w:ind w:left="0" w:firstLine="0"/>
      </w:pPr>
      <w:rPr>
        <w:rFonts w:hint="eastAsia"/>
        <w:b/>
        <w:i w:val="0"/>
        <w:color w:val="auto"/>
      </w:rPr>
    </w:lvl>
    <w:lvl w:ilvl="2" w:tentative="0">
      <w:start w:val="1"/>
      <w:numFmt w:val="decimal"/>
      <w:suff w:val="nothing"/>
      <w:lvlText w:val="1.%3、"/>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2">
    <w:nsid w:val="1B5E1084"/>
    <w:multiLevelType w:val="multilevel"/>
    <w:tmpl w:val="1B5E1084"/>
    <w:lvl w:ilvl="0" w:tentative="0">
      <w:start w:val="1"/>
      <w:numFmt w:val="japaneseCounting"/>
      <w:lvlText w:val="(%1)"/>
      <w:lvlJc w:val="left"/>
      <w:pPr>
        <w:ind w:left="945" w:hanging="420"/>
      </w:pPr>
      <w:rPr>
        <w:rFonts w:hint="default"/>
      </w:rPr>
    </w:lvl>
    <w:lvl w:ilvl="1" w:tentative="0">
      <w:start w:val="1"/>
      <w:numFmt w:val="lowerLetter"/>
      <w:lvlText w:val="%2)"/>
      <w:lvlJc w:val="left"/>
      <w:pPr>
        <w:ind w:left="1365" w:hanging="420"/>
      </w:pPr>
    </w:lvl>
    <w:lvl w:ilvl="2" w:tentative="0">
      <w:start w:val="1"/>
      <w:numFmt w:val="lowerRoman"/>
      <w:lvlText w:val="%3."/>
      <w:lvlJc w:val="right"/>
      <w:pPr>
        <w:ind w:left="1785" w:hanging="420"/>
      </w:pPr>
    </w:lvl>
    <w:lvl w:ilvl="3" w:tentative="0">
      <w:start w:val="1"/>
      <w:numFmt w:val="decimal"/>
      <w:lvlText w:val="%4."/>
      <w:lvlJc w:val="left"/>
      <w:pPr>
        <w:ind w:left="2205" w:hanging="420"/>
      </w:pPr>
    </w:lvl>
    <w:lvl w:ilvl="4" w:tentative="0">
      <w:start w:val="1"/>
      <w:numFmt w:val="lowerLetter"/>
      <w:lvlText w:val="%5)"/>
      <w:lvlJc w:val="left"/>
      <w:pPr>
        <w:ind w:left="2625" w:hanging="420"/>
      </w:pPr>
    </w:lvl>
    <w:lvl w:ilvl="5" w:tentative="0">
      <w:start w:val="1"/>
      <w:numFmt w:val="lowerRoman"/>
      <w:lvlText w:val="%6."/>
      <w:lvlJc w:val="right"/>
      <w:pPr>
        <w:ind w:left="3045" w:hanging="420"/>
      </w:pPr>
    </w:lvl>
    <w:lvl w:ilvl="6" w:tentative="0">
      <w:start w:val="1"/>
      <w:numFmt w:val="decimal"/>
      <w:lvlText w:val="%7."/>
      <w:lvlJc w:val="left"/>
      <w:pPr>
        <w:ind w:left="3465" w:hanging="420"/>
      </w:pPr>
    </w:lvl>
    <w:lvl w:ilvl="7" w:tentative="0">
      <w:start w:val="1"/>
      <w:numFmt w:val="lowerLetter"/>
      <w:lvlText w:val="%8)"/>
      <w:lvlJc w:val="left"/>
      <w:pPr>
        <w:ind w:left="3885" w:hanging="420"/>
      </w:pPr>
    </w:lvl>
    <w:lvl w:ilvl="8" w:tentative="0">
      <w:start w:val="1"/>
      <w:numFmt w:val="lowerRoman"/>
      <w:lvlText w:val="%9."/>
      <w:lvlJc w:val="right"/>
      <w:pPr>
        <w:ind w:left="4305" w:hanging="420"/>
      </w:pPr>
    </w:lvl>
  </w:abstractNum>
  <w:abstractNum w:abstractNumId="3">
    <w:nsid w:val="3629713D"/>
    <w:multiLevelType w:val="multilevel"/>
    <w:tmpl w:val="3629713D"/>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E2E6532"/>
    <w:multiLevelType w:val="multilevel"/>
    <w:tmpl w:val="5E2E6532"/>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4DE2CB7"/>
    <w:multiLevelType w:val="multilevel"/>
    <w:tmpl w:val="74DE2CB7"/>
    <w:lvl w:ilvl="0" w:tentative="0">
      <w:start w:val="1"/>
      <w:numFmt w:val="chineseCountingThousand"/>
      <w:lvlText w:val="（%1）"/>
      <w:lvlJc w:val="left"/>
      <w:pPr>
        <w:ind w:left="525" w:hanging="420"/>
      </w:pPr>
      <w:rPr>
        <w:rFonts w:hint="eastAsia"/>
      </w:rPr>
    </w:lvl>
    <w:lvl w:ilvl="1" w:tentative="0">
      <w:start w:val="1"/>
      <w:numFmt w:val="lowerLetter"/>
      <w:lvlText w:val="%2)"/>
      <w:lvlJc w:val="left"/>
      <w:pPr>
        <w:ind w:left="945" w:hanging="420"/>
      </w:pPr>
    </w:lvl>
    <w:lvl w:ilvl="2" w:tentative="0">
      <w:start w:val="1"/>
      <w:numFmt w:val="lowerRoman"/>
      <w:lvlText w:val="%3."/>
      <w:lvlJc w:val="right"/>
      <w:pPr>
        <w:ind w:left="1365" w:hanging="420"/>
      </w:pPr>
    </w:lvl>
    <w:lvl w:ilvl="3" w:tentative="0">
      <w:start w:val="1"/>
      <w:numFmt w:val="decimal"/>
      <w:lvlText w:val="%4."/>
      <w:lvlJc w:val="left"/>
      <w:pPr>
        <w:ind w:left="1785" w:hanging="420"/>
      </w:pPr>
    </w:lvl>
    <w:lvl w:ilvl="4" w:tentative="0">
      <w:start w:val="1"/>
      <w:numFmt w:val="lowerLetter"/>
      <w:lvlText w:val="%5)"/>
      <w:lvlJc w:val="left"/>
      <w:pPr>
        <w:ind w:left="2205" w:hanging="420"/>
      </w:pPr>
    </w:lvl>
    <w:lvl w:ilvl="5" w:tentative="0">
      <w:start w:val="1"/>
      <w:numFmt w:val="lowerRoman"/>
      <w:lvlText w:val="%6."/>
      <w:lvlJc w:val="right"/>
      <w:pPr>
        <w:ind w:left="2625" w:hanging="420"/>
      </w:pPr>
    </w:lvl>
    <w:lvl w:ilvl="6" w:tentative="0">
      <w:start w:val="1"/>
      <w:numFmt w:val="decimal"/>
      <w:lvlText w:val="%7."/>
      <w:lvlJc w:val="left"/>
      <w:pPr>
        <w:ind w:left="3045" w:hanging="420"/>
      </w:pPr>
    </w:lvl>
    <w:lvl w:ilvl="7" w:tentative="0">
      <w:start w:val="1"/>
      <w:numFmt w:val="lowerLetter"/>
      <w:lvlText w:val="%8)"/>
      <w:lvlJc w:val="left"/>
      <w:pPr>
        <w:ind w:left="3465" w:hanging="420"/>
      </w:pPr>
    </w:lvl>
    <w:lvl w:ilvl="8" w:tentative="0">
      <w:start w:val="1"/>
      <w:numFmt w:val="lowerRoman"/>
      <w:lvlText w:val="%9."/>
      <w:lvlJc w:val="right"/>
      <w:pPr>
        <w:ind w:left="3885" w:hanging="420"/>
      </w:pPr>
    </w:lvl>
  </w:abstractNum>
  <w:num w:numId="1">
    <w:abstractNumId w:val="1"/>
  </w:num>
  <w:num w:numId="2">
    <w:abstractNumId w:val="5"/>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 w:name="RemovedBindingXPath" w:val="true"/>
  </w:docVars>
  <w:rsids>
    <w:rsidRoot w:val="0031577A"/>
    <w:rsid w:val="00170D94"/>
    <w:rsid w:val="001A6CB8"/>
    <w:rsid w:val="0031577A"/>
    <w:rsid w:val="00480B9F"/>
    <w:rsid w:val="00D46AC1"/>
    <w:rsid w:val="022C4A6E"/>
    <w:rsid w:val="028521BE"/>
    <w:rsid w:val="05B01562"/>
    <w:rsid w:val="06A905A2"/>
    <w:rsid w:val="0B0067F6"/>
    <w:rsid w:val="0B215E9A"/>
    <w:rsid w:val="0D981EB2"/>
    <w:rsid w:val="10555439"/>
    <w:rsid w:val="12CC5D44"/>
    <w:rsid w:val="131B3CC6"/>
    <w:rsid w:val="18E831AB"/>
    <w:rsid w:val="198F7ACB"/>
    <w:rsid w:val="1C35495A"/>
    <w:rsid w:val="1C854F5A"/>
    <w:rsid w:val="1D7414B2"/>
    <w:rsid w:val="1DC83613"/>
    <w:rsid w:val="1E546940"/>
    <w:rsid w:val="205E3F6C"/>
    <w:rsid w:val="20785014"/>
    <w:rsid w:val="20B30C30"/>
    <w:rsid w:val="25924903"/>
    <w:rsid w:val="26882BFE"/>
    <w:rsid w:val="2BA534E1"/>
    <w:rsid w:val="2CE34F5B"/>
    <w:rsid w:val="2D6C5832"/>
    <w:rsid w:val="2E9637FB"/>
    <w:rsid w:val="2EE12975"/>
    <w:rsid w:val="30DA3B1B"/>
    <w:rsid w:val="31E96171"/>
    <w:rsid w:val="32636E18"/>
    <w:rsid w:val="32673C7A"/>
    <w:rsid w:val="34AF2210"/>
    <w:rsid w:val="36A0199C"/>
    <w:rsid w:val="38B13611"/>
    <w:rsid w:val="3E7F3EF0"/>
    <w:rsid w:val="46F81265"/>
    <w:rsid w:val="479F1710"/>
    <w:rsid w:val="48A04909"/>
    <w:rsid w:val="4E2669EA"/>
    <w:rsid w:val="4F582C87"/>
    <w:rsid w:val="51A23DE3"/>
    <w:rsid w:val="54CA2FCF"/>
    <w:rsid w:val="55BB16B6"/>
    <w:rsid w:val="55CF53D0"/>
    <w:rsid w:val="55E65D14"/>
    <w:rsid w:val="57BE1D80"/>
    <w:rsid w:val="58296C2D"/>
    <w:rsid w:val="582B42CC"/>
    <w:rsid w:val="5A715E56"/>
    <w:rsid w:val="5C981F4E"/>
    <w:rsid w:val="5DDB4C02"/>
    <w:rsid w:val="61C27B1F"/>
    <w:rsid w:val="634B6C77"/>
    <w:rsid w:val="6A1E5193"/>
    <w:rsid w:val="6A2C7217"/>
    <w:rsid w:val="6FDD600F"/>
    <w:rsid w:val="707B1AAA"/>
    <w:rsid w:val="708C17E3"/>
    <w:rsid w:val="726C3FE2"/>
    <w:rsid w:val="72E13808"/>
    <w:rsid w:val="73B66EFD"/>
    <w:rsid w:val="74463A57"/>
    <w:rsid w:val="74BF14D9"/>
    <w:rsid w:val="75650035"/>
    <w:rsid w:val="76F26AEF"/>
    <w:rsid w:val="77AA0DA7"/>
    <w:rsid w:val="78E73CFD"/>
    <w:rsid w:val="7A564644"/>
    <w:rsid w:val="7AF35A5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1"/>
    <w:basedOn w:val="1"/>
    <w:next w:val="1"/>
    <w:link w:val="45"/>
    <w:qFormat/>
    <w:uiPriority w:val="0"/>
    <w:pPr>
      <w:keepNext/>
      <w:keepLines/>
      <w:widowControl w:val="0"/>
      <w:adjustRightInd w:val="0"/>
      <w:spacing w:before="340" w:after="330" w:line="578" w:lineRule="atLeast"/>
      <w:outlineLvl w:val="0"/>
    </w:pPr>
    <w:rPr>
      <w:b/>
      <w:kern w:val="44"/>
    </w:rPr>
  </w:style>
  <w:style w:type="paragraph" w:styleId="3">
    <w:name w:val="heading 2"/>
    <w:basedOn w:val="1"/>
    <w:next w:val="1"/>
    <w:link w:val="46"/>
    <w:semiHidden/>
    <w:unhideWhenUsed/>
    <w:qFormat/>
    <w:uiPriority w:val="0"/>
    <w:pPr>
      <w:keepNext/>
      <w:keepLines/>
      <w:widowControl w:val="0"/>
      <w:adjustRightInd w:val="0"/>
      <w:spacing w:before="120" w:after="120" w:line="480" w:lineRule="atLeast"/>
      <w:outlineLvl w:val="1"/>
    </w:pPr>
    <w:rPr>
      <w:rFonts w:hAnsi="Courier New"/>
      <w:b/>
      <w:bCs/>
      <w:kern w:val="2"/>
    </w:rPr>
  </w:style>
  <w:style w:type="paragraph" w:styleId="4">
    <w:name w:val="heading 3"/>
    <w:basedOn w:val="1"/>
    <w:next w:val="1"/>
    <w:link w:val="47"/>
    <w:semiHidden/>
    <w:unhideWhenUsed/>
    <w:qFormat/>
    <w:uiPriority w:val="0"/>
    <w:pPr>
      <w:outlineLvl w:val="2"/>
    </w:pPr>
  </w:style>
  <w:style w:type="paragraph" w:styleId="5">
    <w:name w:val="heading 4"/>
    <w:basedOn w:val="1"/>
    <w:next w:val="1"/>
    <w:link w:val="48"/>
    <w:semiHidden/>
    <w:unhideWhenUsed/>
    <w:qFormat/>
    <w:uiPriority w:val="0"/>
    <w:pPr>
      <w:keepNext/>
      <w:keepLines/>
      <w:widowControl w:val="0"/>
      <w:numPr>
        <w:ilvl w:val="3"/>
        <w:numId w:val="1"/>
      </w:numPr>
      <w:adjustRightInd w:val="0"/>
      <w:spacing w:before="280" w:after="290" w:line="376" w:lineRule="atLeast"/>
      <w:outlineLvl w:val="3"/>
    </w:pPr>
    <w:rPr>
      <w:rFonts w:ascii="Arial" w:hAnsi="Arial" w:eastAsia="黑体"/>
      <w:b/>
      <w:sz w:val="28"/>
    </w:rPr>
  </w:style>
  <w:style w:type="paragraph" w:styleId="6">
    <w:name w:val="heading 5"/>
    <w:basedOn w:val="1"/>
    <w:next w:val="1"/>
    <w:link w:val="49"/>
    <w:semiHidden/>
    <w:unhideWhenUsed/>
    <w:qFormat/>
    <w:uiPriority w:val="0"/>
    <w:pPr>
      <w:keepNext/>
      <w:keepLines/>
      <w:widowControl w:val="0"/>
      <w:numPr>
        <w:ilvl w:val="4"/>
        <w:numId w:val="1"/>
      </w:numPr>
      <w:adjustRightInd w:val="0"/>
      <w:spacing w:before="280" w:after="290" w:line="376" w:lineRule="atLeast"/>
      <w:outlineLvl w:val="4"/>
    </w:pPr>
    <w:rPr>
      <w:b/>
      <w:sz w:val="28"/>
    </w:rPr>
  </w:style>
  <w:style w:type="paragraph" w:styleId="7">
    <w:name w:val="heading 6"/>
    <w:basedOn w:val="1"/>
    <w:next w:val="1"/>
    <w:link w:val="50"/>
    <w:semiHidden/>
    <w:unhideWhenUsed/>
    <w:qFormat/>
    <w:uiPriority w:val="0"/>
    <w:pPr>
      <w:keepNext/>
      <w:keepLines/>
      <w:widowControl w:val="0"/>
      <w:numPr>
        <w:ilvl w:val="5"/>
        <w:numId w:val="1"/>
      </w:numPr>
      <w:adjustRightInd w:val="0"/>
      <w:spacing w:before="240" w:after="64" w:line="320" w:lineRule="atLeast"/>
      <w:outlineLvl w:val="5"/>
    </w:pPr>
    <w:rPr>
      <w:rFonts w:ascii="Arial" w:hAnsi="Arial" w:eastAsia="黑体"/>
      <w:b/>
      <w:sz w:val="24"/>
    </w:rPr>
  </w:style>
  <w:style w:type="paragraph" w:styleId="8">
    <w:name w:val="heading 7"/>
    <w:basedOn w:val="1"/>
    <w:next w:val="1"/>
    <w:link w:val="51"/>
    <w:semiHidden/>
    <w:unhideWhenUsed/>
    <w:qFormat/>
    <w:uiPriority w:val="0"/>
    <w:pPr>
      <w:keepNext/>
      <w:keepLines/>
      <w:widowControl w:val="0"/>
      <w:numPr>
        <w:ilvl w:val="6"/>
        <w:numId w:val="1"/>
      </w:numPr>
      <w:adjustRightInd w:val="0"/>
      <w:spacing w:before="240" w:after="64" w:line="320" w:lineRule="atLeast"/>
      <w:outlineLvl w:val="6"/>
    </w:pPr>
    <w:rPr>
      <w:b/>
      <w:sz w:val="24"/>
    </w:rPr>
  </w:style>
  <w:style w:type="paragraph" w:styleId="9">
    <w:name w:val="heading 8"/>
    <w:basedOn w:val="1"/>
    <w:next w:val="1"/>
    <w:link w:val="52"/>
    <w:semiHidden/>
    <w:unhideWhenUsed/>
    <w:qFormat/>
    <w:uiPriority w:val="0"/>
    <w:pPr>
      <w:keepNext/>
      <w:keepLines/>
      <w:widowControl w:val="0"/>
      <w:numPr>
        <w:ilvl w:val="7"/>
        <w:numId w:val="1"/>
      </w:numPr>
      <w:adjustRightInd w:val="0"/>
      <w:spacing w:before="240" w:after="64" w:line="320" w:lineRule="atLeast"/>
      <w:outlineLvl w:val="7"/>
    </w:pPr>
    <w:rPr>
      <w:rFonts w:ascii="Arial" w:hAnsi="Arial" w:eastAsia="黑体"/>
      <w:sz w:val="24"/>
    </w:rPr>
  </w:style>
  <w:style w:type="paragraph" w:styleId="10">
    <w:name w:val="heading 9"/>
    <w:basedOn w:val="1"/>
    <w:next w:val="1"/>
    <w:link w:val="53"/>
    <w:semiHidden/>
    <w:unhideWhenUsed/>
    <w:qFormat/>
    <w:uiPriority w:val="0"/>
    <w:pPr>
      <w:keepNext/>
      <w:keepLines/>
      <w:widowControl w:val="0"/>
      <w:numPr>
        <w:ilvl w:val="8"/>
        <w:numId w:val="1"/>
      </w:numPr>
      <w:adjustRightInd w:val="0"/>
      <w:spacing w:before="240" w:after="64" w:line="320" w:lineRule="atLeast"/>
      <w:outlineLvl w:val="8"/>
    </w:pPr>
    <w:rPr>
      <w:rFonts w:ascii="Arial" w:hAnsi="Arial" w:eastAsia="黑体"/>
      <w:sz w:val="24"/>
    </w:rPr>
  </w:style>
  <w:style w:type="character" w:default="1" w:styleId="40">
    <w:name w:val="Default Paragraph Font"/>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widowControl w:val="0"/>
      <w:ind w:left="2520" w:leftChars="1200"/>
      <w:jc w:val="both"/>
    </w:pPr>
    <w:rPr>
      <w:rFonts w:asciiTheme="minorHAnsi" w:hAnsiTheme="minorHAnsi" w:eastAsiaTheme="minorEastAsia" w:cstheme="minorBidi"/>
      <w:kern w:val="2"/>
      <w:szCs w:val="22"/>
    </w:rPr>
  </w:style>
  <w:style w:type="paragraph" w:styleId="12">
    <w:name w:val="Note Heading"/>
    <w:basedOn w:val="1"/>
    <w:next w:val="1"/>
    <w:link w:val="65"/>
    <w:qFormat/>
    <w:uiPriority w:val="0"/>
    <w:pPr>
      <w:widowControl w:val="0"/>
      <w:jc w:val="center"/>
    </w:pPr>
    <w:rPr>
      <w:kern w:val="2"/>
    </w:rPr>
  </w:style>
  <w:style w:type="paragraph" w:styleId="13">
    <w:name w:val="Normal Indent"/>
    <w:basedOn w:val="1"/>
    <w:qFormat/>
    <w:uiPriority w:val="0"/>
    <w:pPr>
      <w:widowControl w:val="0"/>
      <w:ind w:firstLine="420" w:firstLineChars="200"/>
      <w:jc w:val="both"/>
    </w:pPr>
    <w:rPr>
      <w:kern w:val="2"/>
    </w:rPr>
  </w:style>
  <w:style w:type="paragraph" w:styleId="14">
    <w:name w:val="Document Map"/>
    <w:basedOn w:val="1"/>
    <w:link w:val="70"/>
    <w:qFormat/>
    <w:uiPriority w:val="0"/>
    <w:pPr>
      <w:shd w:val="clear" w:color="auto" w:fill="000080"/>
    </w:pPr>
  </w:style>
  <w:style w:type="paragraph" w:styleId="15">
    <w:name w:val="toa heading"/>
    <w:basedOn w:val="1"/>
    <w:next w:val="1"/>
    <w:qFormat/>
    <w:uiPriority w:val="0"/>
    <w:pPr>
      <w:widowControl w:val="0"/>
      <w:spacing w:before="120"/>
      <w:jc w:val="both"/>
    </w:pPr>
    <w:rPr>
      <w:rFonts w:ascii="Arial" w:hAnsi="Arial"/>
      <w:b/>
      <w:bCs/>
      <w:kern w:val="2"/>
    </w:rPr>
  </w:style>
  <w:style w:type="paragraph" w:styleId="16">
    <w:name w:val="annotation text"/>
    <w:basedOn w:val="1"/>
    <w:link w:val="67"/>
    <w:qFormat/>
    <w:uiPriority w:val="0"/>
  </w:style>
  <w:style w:type="paragraph" w:styleId="17">
    <w:name w:val="Salutation"/>
    <w:basedOn w:val="1"/>
    <w:next w:val="1"/>
    <w:link w:val="64"/>
    <w:qFormat/>
    <w:uiPriority w:val="0"/>
    <w:pPr>
      <w:widowControl w:val="0"/>
      <w:jc w:val="both"/>
    </w:pPr>
    <w:rPr>
      <w:kern w:val="2"/>
    </w:rPr>
  </w:style>
  <w:style w:type="paragraph" w:styleId="18">
    <w:name w:val="List Bullet 3"/>
    <w:basedOn w:val="1"/>
    <w:qFormat/>
    <w:uiPriority w:val="0"/>
    <w:pPr>
      <w:widowControl w:val="0"/>
      <w:tabs>
        <w:tab w:val="left" w:pos="1200"/>
      </w:tabs>
      <w:jc w:val="both"/>
    </w:pPr>
    <w:rPr>
      <w:kern w:val="2"/>
    </w:rPr>
  </w:style>
  <w:style w:type="paragraph" w:styleId="19">
    <w:name w:val="Body Text"/>
    <w:basedOn w:val="1"/>
    <w:link w:val="78"/>
    <w:qFormat/>
    <w:uiPriority w:val="0"/>
    <w:pPr>
      <w:widowControl w:val="0"/>
      <w:spacing w:after="120"/>
      <w:jc w:val="both"/>
    </w:pPr>
    <w:rPr>
      <w:kern w:val="2"/>
    </w:rPr>
  </w:style>
  <w:style w:type="paragraph" w:styleId="20">
    <w:name w:val="toc 5"/>
    <w:basedOn w:val="1"/>
    <w:next w:val="1"/>
    <w:qFormat/>
    <w:uiPriority w:val="0"/>
    <w:pPr>
      <w:widowControl w:val="0"/>
      <w:ind w:left="1680" w:leftChars="800"/>
      <w:jc w:val="both"/>
    </w:pPr>
    <w:rPr>
      <w:rFonts w:asciiTheme="minorHAnsi" w:hAnsiTheme="minorHAnsi" w:eastAsiaTheme="minorEastAsia" w:cstheme="minorBidi"/>
      <w:kern w:val="2"/>
      <w:szCs w:val="22"/>
    </w:rPr>
  </w:style>
  <w:style w:type="paragraph" w:styleId="21">
    <w:name w:val="toc 3"/>
    <w:basedOn w:val="1"/>
    <w:next w:val="1"/>
    <w:qFormat/>
    <w:uiPriority w:val="0"/>
    <w:pPr>
      <w:spacing w:after="100" w:line="276" w:lineRule="auto"/>
      <w:ind w:left="440"/>
    </w:pPr>
    <w:rPr>
      <w:rFonts w:ascii="Calibri" w:hAnsi="Calibri"/>
      <w:sz w:val="22"/>
      <w:szCs w:val="22"/>
    </w:rPr>
  </w:style>
  <w:style w:type="paragraph" w:styleId="22">
    <w:name w:val="Plain Text"/>
    <w:basedOn w:val="1"/>
    <w:link w:val="72"/>
    <w:qFormat/>
    <w:uiPriority w:val="0"/>
    <w:pPr>
      <w:widowControl w:val="0"/>
      <w:jc w:val="both"/>
    </w:pPr>
    <w:rPr>
      <w:rFonts w:hint="eastAsia" w:hAnsi="Courier New"/>
      <w:kern w:val="2"/>
      <w:sz w:val="28"/>
    </w:rPr>
  </w:style>
  <w:style w:type="paragraph" w:styleId="23">
    <w:name w:val="toc 8"/>
    <w:basedOn w:val="1"/>
    <w:next w:val="1"/>
    <w:qFormat/>
    <w:uiPriority w:val="0"/>
    <w:pPr>
      <w:widowControl w:val="0"/>
      <w:ind w:left="2940" w:leftChars="1400"/>
      <w:jc w:val="both"/>
    </w:pPr>
    <w:rPr>
      <w:rFonts w:asciiTheme="minorHAnsi" w:hAnsiTheme="minorHAnsi" w:eastAsiaTheme="minorEastAsia" w:cstheme="minorBidi"/>
      <w:kern w:val="2"/>
      <w:szCs w:val="22"/>
    </w:rPr>
  </w:style>
  <w:style w:type="paragraph" w:styleId="24">
    <w:name w:val="Date"/>
    <w:basedOn w:val="1"/>
    <w:next w:val="1"/>
    <w:link w:val="63"/>
    <w:qFormat/>
    <w:uiPriority w:val="0"/>
    <w:pPr>
      <w:ind w:left="100" w:leftChars="2500"/>
    </w:pPr>
  </w:style>
  <w:style w:type="paragraph" w:styleId="25">
    <w:name w:val="endnote text"/>
    <w:basedOn w:val="1"/>
    <w:link w:val="86"/>
    <w:qFormat/>
    <w:uiPriority w:val="0"/>
    <w:pPr>
      <w:snapToGrid w:val="0"/>
    </w:pPr>
    <w:rPr>
      <w:rFonts w:cs="宋体"/>
      <w:szCs w:val="24"/>
    </w:rPr>
  </w:style>
  <w:style w:type="paragraph" w:styleId="26">
    <w:name w:val="Balloon Text"/>
    <w:basedOn w:val="1"/>
    <w:link w:val="71"/>
    <w:qFormat/>
    <w:uiPriority w:val="0"/>
    <w:rPr>
      <w:sz w:val="18"/>
      <w:szCs w:val="18"/>
    </w:rPr>
  </w:style>
  <w:style w:type="paragraph" w:styleId="27">
    <w:name w:val="footer"/>
    <w:basedOn w:val="1"/>
    <w:link w:val="59"/>
    <w:qFormat/>
    <w:uiPriority w:val="0"/>
    <w:pPr>
      <w:tabs>
        <w:tab w:val="center" w:pos="4153"/>
        <w:tab w:val="right" w:pos="8306"/>
      </w:tabs>
      <w:snapToGrid w:val="0"/>
    </w:pPr>
    <w:rPr>
      <w:sz w:val="18"/>
      <w:szCs w:val="18"/>
    </w:rPr>
  </w:style>
  <w:style w:type="paragraph" w:styleId="28">
    <w:name w:val="header"/>
    <w:basedOn w:val="1"/>
    <w:link w:val="58"/>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0"/>
  </w:style>
  <w:style w:type="paragraph" w:styleId="30">
    <w:name w:val="toc 4"/>
    <w:basedOn w:val="1"/>
    <w:next w:val="1"/>
    <w:qFormat/>
    <w:uiPriority w:val="0"/>
    <w:pPr>
      <w:widowControl w:val="0"/>
      <w:ind w:left="1260" w:leftChars="600"/>
      <w:jc w:val="both"/>
    </w:pPr>
    <w:rPr>
      <w:rFonts w:asciiTheme="minorHAnsi" w:hAnsiTheme="minorHAnsi" w:eastAsiaTheme="minorEastAsia" w:cstheme="minorBidi"/>
      <w:kern w:val="2"/>
      <w:szCs w:val="22"/>
    </w:rPr>
  </w:style>
  <w:style w:type="paragraph" w:styleId="31">
    <w:name w:val="toc 6"/>
    <w:basedOn w:val="1"/>
    <w:next w:val="1"/>
    <w:qFormat/>
    <w:uiPriority w:val="0"/>
    <w:pPr>
      <w:widowControl w:val="0"/>
      <w:ind w:left="2100" w:leftChars="1000"/>
      <w:jc w:val="both"/>
    </w:pPr>
    <w:rPr>
      <w:rFonts w:asciiTheme="minorHAnsi" w:hAnsiTheme="minorHAnsi" w:eastAsiaTheme="minorEastAsia" w:cstheme="minorBidi"/>
      <w:kern w:val="2"/>
      <w:szCs w:val="22"/>
    </w:rPr>
  </w:style>
  <w:style w:type="paragraph" w:styleId="32">
    <w:name w:val="toc 2"/>
    <w:basedOn w:val="1"/>
    <w:next w:val="1"/>
    <w:qFormat/>
    <w:uiPriority w:val="0"/>
    <w:pPr>
      <w:tabs>
        <w:tab w:val="right" w:leader="dot" w:pos="8296"/>
      </w:tabs>
      <w:ind w:left="420" w:leftChars="200"/>
    </w:pPr>
  </w:style>
  <w:style w:type="paragraph" w:styleId="33">
    <w:name w:val="toc 9"/>
    <w:basedOn w:val="1"/>
    <w:next w:val="1"/>
    <w:qFormat/>
    <w:uiPriority w:val="0"/>
    <w:pPr>
      <w:widowControl w:val="0"/>
      <w:ind w:left="3360" w:leftChars="1600"/>
      <w:jc w:val="both"/>
    </w:pPr>
    <w:rPr>
      <w:rFonts w:asciiTheme="minorHAnsi" w:hAnsiTheme="minorHAnsi" w:eastAsiaTheme="minorEastAsia" w:cstheme="minorBidi"/>
      <w:kern w:val="2"/>
      <w:szCs w:val="22"/>
    </w:rPr>
  </w:style>
  <w:style w:type="paragraph" w:styleId="34">
    <w:name w:val="Normal (Web)"/>
    <w:basedOn w:val="1"/>
    <w:qFormat/>
    <w:uiPriority w:val="0"/>
    <w:pPr>
      <w:spacing w:before="100" w:beforeAutospacing="1" w:after="100" w:afterAutospacing="1"/>
    </w:pPr>
    <w:rPr>
      <w:rFonts w:cs="宋体"/>
      <w:sz w:val="24"/>
      <w:szCs w:val="24"/>
    </w:rPr>
  </w:style>
  <w:style w:type="paragraph" w:styleId="35">
    <w:name w:val="index 1"/>
    <w:basedOn w:val="1"/>
    <w:next w:val="1"/>
    <w:qFormat/>
    <w:uiPriority w:val="0"/>
    <w:pPr>
      <w:ind w:firstLine="420" w:firstLineChars="200"/>
    </w:pPr>
  </w:style>
  <w:style w:type="paragraph" w:styleId="36">
    <w:name w:val="Title"/>
    <w:basedOn w:val="1"/>
    <w:next w:val="1"/>
    <w:link w:val="84"/>
    <w:qFormat/>
    <w:uiPriority w:val="0"/>
    <w:pPr>
      <w:widowControl w:val="0"/>
      <w:spacing w:before="240" w:after="60"/>
      <w:jc w:val="center"/>
      <w:outlineLvl w:val="0"/>
    </w:pPr>
    <w:rPr>
      <w:rFonts w:asciiTheme="majorHAnsi" w:hAnsiTheme="majorHAnsi" w:cstheme="majorBidi"/>
      <w:b/>
      <w:bCs/>
      <w:kern w:val="2"/>
      <w:sz w:val="32"/>
      <w:szCs w:val="32"/>
    </w:rPr>
  </w:style>
  <w:style w:type="paragraph" w:styleId="37">
    <w:name w:val="annotation subject"/>
    <w:basedOn w:val="16"/>
    <w:next w:val="16"/>
    <w:link w:val="66"/>
    <w:qFormat/>
    <w:uiPriority w:val="0"/>
    <w:rPr>
      <w:b/>
      <w:bCs/>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1">
    <w:name w:val="Strong"/>
    <w:basedOn w:val="40"/>
    <w:qFormat/>
    <w:uiPriority w:val="0"/>
    <w:rPr>
      <w:b/>
      <w:bCs/>
    </w:rPr>
  </w:style>
  <w:style w:type="character" w:styleId="42">
    <w:name w:val="endnote reference"/>
    <w:basedOn w:val="40"/>
    <w:qFormat/>
    <w:uiPriority w:val="0"/>
    <w:rPr>
      <w:vertAlign w:val="superscript"/>
    </w:rPr>
  </w:style>
  <w:style w:type="character" w:styleId="43">
    <w:name w:val="Hyperlink"/>
    <w:basedOn w:val="40"/>
    <w:qFormat/>
    <w:uiPriority w:val="0"/>
    <w:rPr>
      <w:color w:val="0000FF" w:themeColor="hyperlink"/>
      <w:u w:val="single"/>
      <w14:textFill>
        <w14:solidFill>
          <w14:schemeClr w14:val="hlink"/>
        </w14:solidFill>
      </w14:textFill>
    </w:rPr>
  </w:style>
  <w:style w:type="character" w:styleId="44">
    <w:name w:val="annotation reference"/>
    <w:basedOn w:val="40"/>
    <w:qFormat/>
    <w:uiPriority w:val="0"/>
    <w:rPr>
      <w:sz w:val="21"/>
      <w:szCs w:val="21"/>
    </w:rPr>
  </w:style>
  <w:style w:type="character" w:customStyle="1" w:styleId="45">
    <w:name w:val="标题 1 Char"/>
    <w:basedOn w:val="40"/>
    <w:link w:val="2"/>
    <w:qFormat/>
    <w:uiPriority w:val="99"/>
    <w:rPr>
      <w:b/>
      <w:kern w:val="44"/>
    </w:rPr>
  </w:style>
  <w:style w:type="character" w:customStyle="1" w:styleId="46">
    <w:name w:val="标题 2 Char2"/>
    <w:basedOn w:val="40"/>
    <w:link w:val="3"/>
    <w:qFormat/>
    <w:uiPriority w:val="0"/>
    <w:rPr>
      <w:rFonts w:ascii="宋体" w:hAnsi="Courier New"/>
      <w:b/>
      <w:bCs/>
      <w:color w:val="000000"/>
      <w:kern w:val="2"/>
      <w:sz w:val="21"/>
      <w:szCs w:val="21"/>
    </w:rPr>
  </w:style>
  <w:style w:type="character" w:customStyle="1" w:styleId="47">
    <w:name w:val="标题 3 Char"/>
    <w:basedOn w:val="40"/>
    <w:link w:val="4"/>
    <w:qFormat/>
    <w:uiPriority w:val="9"/>
    <w:rPr>
      <w:rFonts w:ascii="宋体" w:hAnsi="宋体"/>
      <w:color w:val="000000"/>
      <w:sz w:val="21"/>
    </w:rPr>
  </w:style>
  <w:style w:type="character" w:customStyle="1" w:styleId="48">
    <w:name w:val="标题 4 Char"/>
    <w:basedOn w:val="40"/>
    <w:link w:val="5"/>
    <w:qFormat/>
    <w:uiPriority w:val="9"/>
    <w:rPr>
      <w:rFonts w:ascii="Arial" w:hAnsi="Arial" w:eastAsia="黑体"/>
      <w:b/>
      <w:color w:val="000000"/>
      <w:sz w:val="28"/>
    </w:rPr>
  </w:style>
  <w:style w:type="character" w:customStyle="1" w:styleId="49">
    <w:name w:val="标题 5 Char"/>
    <w:basedOn w:val="40"/>
    <w:link w:val="6"/>
    <w:qFormat/>
    <w:uiPriority w:val="9"/>
    <w:rPr>
      <w:rFonts w:ascii="宋体" w:hAnsi="宋体"/>
      <w:b/>
      <w:color w:val="000000"/>
      <w:sz w:val="28"/>
    </w:rPr>
  </w:style>
  <w:style w:type="character" w:customStyle="1" w:styleId="50">
    <w:name w:val="标题 6 Char"/>
    <w:basedOn w:val="40"/>
    <w:link w:val="7"/>
    <w:qFormat/>
    <w:uiPriority w:val="9"/>
    <w:rPr>
      <w:rFonts w:ascii="Arial" w:hAnsi="Arial" w:eastAsia="黑体"/>
      <w:b/>
      <w:color w:val="000000"/>
      <w:sz w:val="24"/>
    </w:rPr>
  </w:style>
  <w:style w:type="character" w:customStyle="1" w:styleId="51">
    <w:name w:val="标题 7 Char"/>
    <w:basedOn w:val="40"/>
    <w:link w:val="8"/>
    <w:qFormat/>
    <w:uiPriority w:val="0"/>
    <w:rPr>
      <w:rFonts w:ascii="宋体" w:hAnsi="宋体"/>
      <w:b/>
      <w:color w:val="000000"/>
      <w:sz w:val="24"/>
    </w:rPr>
  </w:style>
  <w:style w:type="character" w:customStyle="1" w:styleId="52">
    <w:name w:val="标题 8 Char"/>
    <w:basedOn w:val="40"/>
    <w:link w:val="9"/>
    <w:qFormat/>
    <w:uiPriority w:val="0"/>
    <w:rPr>
      <w:rFonts w:ascii="Arial" w:hAnsi="Arial" w:eastAsia="黑体"/>
      <w:color w:val="000000"/>
      <w:sz w:val="24"/>
    </w:rPr>
  </w:style>
  <w:style w:type="character" w:customStyle="1" w:styleId="53">
    <w:name w:val="标题 9 Char"/>
    <w:basedOn w:val="40"/>
    <w:link w:val="10"/>
    <w:qFormat/>
    <w:uiPriority w:val="0"/>
    <w:rPr>
      <w:rFonts w:ascii="Arial" w:hAnsi="Arial" w:eastAsia="黑体"/>
      <w:color w:val="000000"/>
      <w:sz w:val="24"/>
    </w:rPr>
  </w:style>
  <w:style w:type="paragraph" w:customStyle="1" w:styleId="54">
    <w:name w:val="Char Char Char Char Char Char Char Char Char"/>
    <w:basedOn w:val="1"/>
    <w:qFormat/>
    <w:uiPriority w:val="0"/>
    <w:pPr>
      <w:widowControl w:val="0"/>
      <w:jc w:val="both"/>
    </w:pPr>
    <w:rPr>
      <w:kern w:val="2"/>
      <w:sz w:val="24"/>
      <w:szCs w:val="24"/>
    </w:rPr>
  </w:style>
  <w:style w:type="paragraph" w:customStyle="1" w:styleId="55">
    <w:name w:val="Char Char Char Char Char Char Char Char Char1"/>
    <w:basedOn w:val="1"/>
    <w:qFormat/>
    <w:uiPriority w:val="0"/>
    <w:pPr>
      <w:widowControl w:val="0"/>
      <w:tabs>
        <w:tab w:val="left" w:pos="315"/>
      </w:tabs>
      <w:ind w:left="315" w:hanging="315"/>
      <w:jc w:val="both"/>
    </w:pPr>
    <w:rPr>
      <w:kern w:val="2"/>
      <w:sz w:val="24"/>
      <w:szCs w:val="24"/>
    </w:rPr>
  </w:style>
  <w:style w:type="paragraph" w:customStyle="1" w:styleId="56">
    <w:name w:val="Char Char Char Char Char Char1 Char Char Char"/>
    <w:basedOn w:val="1"/>
    <w:qFormat/>
    <w:uiPriority w:val="0"/>
    <w:pPr>
      <w:widowControl w:val="0"/>
      <w:autoSpaceDE w:val="0"/>
      <w:autoSpaceDN w:val="0"/>
      <w:adjustRightInd w:val="0"/>
      <w:textAlignment w:val="baseline"/>
    </w:pPr>
    <w:rPr>
      <w:kern w:val="2"/>
      <w:sz w:val="30"/>
    </w:rPr>
  </w:style>
  <w:style w:type="paragraph" w:customStyle="1" w:styleId="57">
    <w:name w:val="xl61"/>
    <w:basedOn w:val="1"/>
    <w:qFormat/>
    <w:uiPriority w:val="99"/>
    <w:pPr>
      <w:spacing w:before="100" w:after="100"/>
      <w:jc w:val="right"/>
    </w:pPr>
    <w:rPr>
      <w:rFonts w:ascii="Arial Unicode MS" w:eastAsia="Arial Unicode MS"/>
      <w:sz w:val="18"/>
      <w:szCs w:val="18"/>
    </w:rPr>
  </w:style>
  <w:style w:type="character" w:customStyle="1" w:styleId="58">
    <w:name w:val="页眉 Char"/>
    <w:basedOn w:val="40"/>
    <w:link w:val="28"/>
    <w:qFormat/>
    <w:uiPriority w:val="0"/>
    <w:rPr>
      <w:rFonts w:ascii="宋体" w:hAnsi="宋体"/>
      <w:color w:val="000000"/>
      <w:sz w:val="18"/>
      <w:szCs w:val="18"/>
    </w:rPr>
  </w:style>
  <w:style w:type="character" w:customStyle="1" w:styleId="59">
    <w:name w:val="页脚 Char"/>
    <w:basedOn w:val="40"/>
    <w:link w:val="27"/>
    <w:qFormat/>
    <w:uiPriority w:val="99"/>
    <w:rPr>
      <w:rFonts w:ascii="宋体" w:hAnsi="宋体"/>
      <w:color w:val="000000"/>
      <w:sz w:val="18"/>
      <w:szCs w:val="18"/>
    </w:rPr>
  </w:style>
  <w:style w:type="character" w:customStyle="1" w:styleId="60">
    <w:name w:val="style61"/>
    <w:basedOn w:val="40"/>
    <w:qFormat/>
    <w:uiPriority w:val="0"/>
    <w:rPr>
      <w:b/>
      <w:bCs/>
      <w:sz w:val="24"/>
      <w:szCs w:val="24"/>
    </w:rPr>
  </w:style>
  <w:style w:type="character" w:styleId="61">
    <w:name w:val="Placeholder Text"/>
    <w:basedOn w:val="40"/>
    <w:semiHidden/>
    <w:qFormat/>
    <w:uiPriority w:val="99"/>
    <w:rPr>
      <w:color w:val="auto"/>
    </w:rPr>
  </w:style>
  <w:style w:type="paragraph" w:styleId="62">
    <w:name w:val="List Paragraph"/>
    <w:basedOn w:val="1"/>
    <w:qFormat/>
    <w:uiPriority w:val="99"/>
    <w:pPr>
      <w:ind w:firstLine="420" w:firstLineChars="200"/>
    </w:pPr>
  </w:style>
  <w:style w:type="character" w:customStyle="1" w:styleId="63">
    <w:name w:val="日期 Char"/>
    <w:basedOn w:val="40"/>
    <w:link w:val="24"/>
    <w:qFormat/>
    <w:uiPriority w:val="99"/>
    <w:rPr>
      <w:rFonts w:ascii="宋体" w:hAnsi="宋体"/>
      <w:color w:val="000000"/>
      <w:sz w:val="21"/>
    </w:rPr>
  </w:style>
  <w:style w:type="character" w:customStyle="1" w:styleId="64">
    <w:name w:val="称呼 Char"/>
    <w:basedOn w:val="40"/>
    <w:link w:val="17"/>
    <w:qFormat/>
    <w:uiPriority w:val="99"/>
    <w:rPr>
      <w:rFonts w:ascii="Times New Roman" w:hAnsi="Times New Roman"/>
      <w:kern w:val="2"/>
      <w:sz w:val="21"/>
      <w:szCs w:val="21"/>
    </w:rPr>
  </w:style>
  <w:style w:type="character" w:customStyle="1" w:styleId="65">
    <w:name w:val="注释标题 Char"/>
    <w:basedOn w:val="40"/>
    <w:link w:val="12"/>
    <w:qFormat/>
    <w:uiPriority w:val="99"/>
    <w:rPr>
      <w:rFonts w:ascii="Times New Roman" w:hAnsi="Times New Roman"/>
      <w:kern w:val="2"/>
      <w:sz w:val="21"/>
      <w:szCs w:val="21"/>
    </w:rPr>
  </w:style>
  <w:style w:type="character" w:customStyle="1" w:styleId="66">
    <w:name w:val="批注主题 Char"/>
    <w:basedOn w:val="40"/>
    <w:link w:val="37"/>
    <w:qFormat/>
    <w:uiPriority w:val="99"/>
    <w:rPr>
      <w:rFonts w:ascii="宋体" w:hAnsi="宋体"/>
      <w:b/>
      <w:bCs/>
      <w:color w:val="000000"/>
      <w:sz w:val="21"/>
    </w:rPr>
  </w:style>
  <w:style w:type="character" w:customStyle="1" w:styleId="67">
    <w:name w:val="批注文字 Char3"/>
    <w:basedOn w:val="40"/>
    <w:link w:val="16"/>
    <w:qFormat/>
    <w:uiPriority w:val="0"/>
    <w:rPr>
      <w:rFonts w:ascii="宋体" w:hAnsi="宋体"/>
      <w:color w:val="000000"/>
      <w:sz w:val="21"/>
    </w:rPr>
  </w:style>
  <w:style w:type="character" w:customStyle="1" w:styleId="68">
    <w:name w:val="批注文字 字符1"/>
    <w:semiHidden/>
    <w:qFormat/>
    <w:locked/>
    <w:uiPriority w:val="0"/>
    <w:rPr>
      <w:rFonts w:ascii="宋体" w:hAnsi="宋体"/>
      <w:color w:val="000000"/>
      <w:sz w:val="21"/>
    </w:rPr>
  </w:style>
  <w:style w:type="character" w:customStyle="1" w:styleId="69">
    <w:name w:val="批注文字 Char"/>
    <w:qFormat/>
    <w:uiPriority w:val="0"/>
    <w:rPr>
      <w:rFonts w:ascii="宋体" w:hAnsi="宋体"/>
      <w:color w:val="000000"/>
      <w:sz w:val="21"/>
    </w:rPr>
  </w:style>
  <w:style w:type="character" w:customStyle="1" w:styleId="70">
    <w:name w:val="文档结构图 Char"/>
    <w:basedOn w:val="40"/>
    <w:link w:val="14"/>
    <w:semiHidden/>
    <w:qFormat/>
    <w:uiPriority w:val="99"/>
    <w:rPr>
      <w:rFonts w:ascii="宋体" w:hAnsi="宋体"/>
      <w:color w:val="000000"/>
      <w:sz w:val="21"/>
      <w:shd w:val="clear" w:color="auto" w:fill="000080"/>
    </w:rPr>
  </w:style>
  <w:style w:type="character" w:customStyle="1" w:styleId="71">
    <w:name w:val="批注框文本 Char"/>
    <w:basedOn w:val="40"/>
    <w:link w:val="26"/>
    <w:qFormat/>
    <w:uiPriority w:val="99"/>
    <w:rPr>
      <w:rFonts w:ascii="宋体" w:hAnsi="宋体"/>
      <w:color w:val="000000"/>
      <w:sz w:val="18"/>
      <w:szCs w:val="18"/>
    </w:rPr>
  </w:style>
  <w:style w:type="character" w:customStyle="1" w:styleId="72">
    <w:name w:val="纯文本 Char"/>
    <w:basedOn w:val="40"/>
    <w:link w:val="22"/>
    <w:qFormat/>
    <w:uiPriority w:val="0"/>
    <w:rPr>
      <w:rFonts w:ascii="宋体" w:hAnsi="Courier New"/>
      <w:color w:val="000000"/>
      <w:kern w:val="2"/>
      <w:sz w:val="28"/>
    </w:rPr>
  </w:style>
  <w:style w:type="character" w:customStyle="1" w:styleId="73">
    <w:name w:val="标题 3 Char1"/>
    <w:basedOn w:val="40"/>
    <w:qFormat/>
    <w:uiPriority w:val="9"/>
    <w:rPr>
      <w:b/>
      <w:bCs/>
      <w:kern w:val="2"/>
      <w:sz w:val="21"/>
      <w:szCs w:val="32"/>
    </w:rPr>
  </w:style>
  <w:style w:type="character" w:customStyle="1" w:styleId="74">
    <w:name w:val="标题 4 Char1"/>
    <w:basedOn w:val="40"/>
    <w:qFormat/>
    <w:uiPriority w:val="9"/>
    <w:rPr>
      <w:rFonts w:ascii="Cambria" w:hAnsi="Cambria"/>
      <w:b/>
      <w:bCs/>
      <w:kern w:val="2"/>
      <w:sz w:val="21"/>
      <w:szCs w:val="28"/>
    </w:rPr>
  </w:style>
  <w:style w:type="paragraph" w:customStyle="1" w:styleId="75">
    <w:name w:val="TOC 标题1"/>
    <w:basedOn w:val="2"/>
    <w:next w:val="1"/>
    <w:qFormat/>
    <w:uiPriority w:val="39"/>
    <w:pPr>
      <w:widowControl/>
      <w:adjustRightInd/>
      <w:spacing w:before="480" w:after="0" w:line="276" w:lineRule="auto"/>
      <w:jc w:val="center"/>
      <w:outlineLvl w:val="9"/>
    </w:pPr>
    <w:rPr>
      <w:rFonts w:ascii="Cambria" w:hAnsi="Cambria"/>
      <w:bCs/>
      <w:color w:val="365F91"/>
      <w:kern w:val="0"/>
      <w:sz w:val="28"/>
      <w:szCs w:val="28"/>
    </w:rPr>
  </w:style>
  <w:style w:type="character" w:customStyle="1" w:styleId="76">
    <w:name w:val="notnullcss1"/>
    <w:basedOn w:val="40"/>
    <w:qFormat/>
    <w:uiPriority w:val="99"/>
    <w:rPr>
      <w:rFonts w:eastAsia="宋体" w:cs="Times New Roman"/>
      <w:color w:val="FF0000"/>
      <w:kern w:val="2"/>
      <w:sz w:val="24"/>
      <w:szCs w:val="24"/>
      <w:lang w:val="en-US" w:eastAsia="zh-CN" w:bidi="ar-SA"/>
    </w:rPr>
  </w:style>
  <w:style w:type="character" w:customStyle="1" w:styleId="77">
    <w:name w:val="headline-content2"/>
    <w:basedOn w:val="40"/>
    <w:qFormat/>
    <w:uiPriority w:val="0"/>
    <w:rPr>
      <w:rFonts w:eastAsia="宋体" w:cs="Times New Roman"/>
      <w:kern w:val="2"/>
      <w:sz w:val="24"/>
      <w:szCs w:val="24"/>
      <w:lang w:val="en-US" w:eastAsia="zh-CN" w:bidi="ar-SA"/>
    </w:rPr>
  </w:style>
  <w:style w:type="character" w:customStyle="1" w:styleId="78">
    <w:name w:val="正文文本 Char"/>
    <w:basedOn w:val="40"/>
    <w:link w:val="19"/>
    <w:qFormat/>
    <w:uiPriority w:val="99"/>
    <w:rPr>
      <w:rFonts w:ascii="Times New Roman" w:hAnsi="Times New Roman"/>
      <w:kern w:val="2"/>
      <w:sz w:val="21"/>
      <w:szCs w:val="21"/>
    </w:rPr>
  </w:style>
  <w:style w:type="paragraph" w:customStyle="1" w:styleId="79">
    <w:name w:val="write2"/>
    <w:basedOn w:val="1"/>
    <w:qFormat/>
    <w:uiPriority w:val="99"/>
    <w:pPr>
      <w:tabs>
        <w:tab w:val="left" w:pos="709"/>
      </w:tabs>
      <w:overflowPunct w:val="0"/>
      <w:autoSpaceDE w:val="0"/>
      <w:autoSpaceDN w:val="0"/>
      <w:adjustRightInd w:val="0"/>
      <w:jc w:val="both"/>
      <w:textAlignment w:val="baseline"/>
    </w:pPr>
    <w:rPr>
      <w:rFonts w:ascii="Helvetica-Narrow" w:hAnsi="Helvetica-Narrow"/>
      <w:szCs w:val="24"/>
      <w:lang w:val="en-AU"/>
    </w:rPr>
  </w:style>
  <w:style w:type="paragraph" w:customStyle="1" w:styleId="80">
    <w:name w:val="标题5"/>
    <w:basedOn w:val="1"/>
    <w:qFormat/>
    <w:uiPriority w:val="0"/>
    <w:pPr>
      <w:keepNext/>
      <w:keepLines/>
      <w:widowControl w:val="0"/>
      <w:spacing w:before="60" w:after="60"/>
      <w:ind w:hanging="420" w:hangingChars="200"/>
      <w:jc w:val="both"/>
      <w:outlineLvl w:val="4"/>
    </w:pPr>
    <w:rPr>
      <w:b/>
      <w:bCs/>
      <w:kern w:val="2"/>
    </w:rPr>
  </w:style>
  <w:style w:type="paragraph" w:customStyle="1" w:styleId="81">
    <w:name w:val="修订1"/>
    <w:hidden/>
    <w:semiHidden/>
    <w:qFormat/>
    <w:uiPriority w:val="99"/>
    <w:rPr>
      <w:rFonts w:ascii="Times New Roman" w:hAnsi="Times New Roman" w:eastAsia="宋体" w:cs="Times New Roman"/>
      <w:kern w:val="2"/>
      <w:sz w:val="21"/>
      <w:szCs w:val="22"/>
      <w:lang w:val="en-US" w:eastAsia="zh-CN" w:bidi="ar-SA"/>
    </w:rPr>
  </w:style>
  <w:style w:type="character" w:customStyle="1" w:styleId="82">
    <w:name w:val="正文的样式 Char"/>
    <w:basedOn w:val="40"/>
    <w:link w:val="83"/>
    <w:qFormat/>
    <w:uiPriority w:val="0"/>
    <w:rPr>
      <w:kern w:val="2"/>
      <w:sz w:val="21"/>
      <w:szCs w:val="24"/>
    </w:rPr>
  </w:style>
  <w:style w:type="paragraph" w:customStyle="1" w:styleId="83">
    <w:name w:val="正文的样式"/>
    <w:basedOn w:val="1"/>
    <w:link w:val="82"/>
    <w:qFormat/>
    <w:uiPriority w:val="0"/>
    <w:pPr>
      <w:widowControl w:val="0"/>
      <w:spacing w:before="100" w:after="100"/>
      <w:jc w:val="both"/>
    </w:pPr>
    <w:rPr>
      <w:rFonts w:ascii="Calibri" w:hAnsi="Calibri"/>
      <w:kern w:val="2"/>
      <w:szCs w:val="24"/>
    </w:rPr>
  </w:style>
  <w:style w:type="character" w:customStyle="1" w:styleId="84">
    <w:name w:val="标题 Char"/>
    <w:basedOn w:val="40"/>
    <w:link w:val="36"/>
    <w:qFormat/>
    <w:uiPriority w:val="10"/>
    <w:rPr>
      <w:rFonts w:asciiTheme="majorHAnsi" w:hAnsiTheme="majorHAnsi" w:cstheme="majorBidi"/>
      <w:b/>
      <w:bCs/>
      <w:kern w:val="2"/>
      <w:sz w:val="32"/>
      <w:szCs w:val="32"/>
    </w:rPr>
  </w:style>
  <w:style w:type="paragraph" w:styleId="85">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86">
    <w:name w:val="尾注文本 Char"/>
    <w:basedOn w:val="40"/>
    <w:link w:val="25"/>
    <w:semiHidden/>
    <w:qFormat/>
    <w:uiPriority w:val="99"/>
    <w:rPr>
      <w:rFonts w:ascii="宋体" w:hAnsi="宋体" w:cs="宋体"/>
      <w:sz w:val="21"/>
      <w:szCs w:val="24"/>
    </w:rPr>
  </w:style>
  <w:style w:type="character" w:customStyle="1" w:styleId="87">
    <w:name w:val="批注主题 Char1"/>
    <w:basedOn w:val="69"/>
    <w:semiHidden/>
    <w:qFormat/>
    <w:uiPriority w:val="99"/>
    <w:rPr>
      <w:rFonts w:ascii="Times New Roman" w:hAnsi="Times New Roman" w:eastAsia="宋体" w:cs="Times New Roman"/>
      <w:b/>
      <w:bCs/>
      <w:color w:val="000000"/>
      <w:sz w:val="21"/>
      <w:szCs w:val="21"/>
    </w:rPr>
  </w:style>
  <w:style w:type="paragraph" w:customStyle="1" w:styleId="88">
    <w:name w:val="标题  3"/>
    <w:basedOn w:val="1"/>
    <w:next w:val="1"/>
    <w:link w:val="89"/>
    <w:qFormat/>
    <w:uiPriority w:val="0"/>
    <w:pPr>
      <w:keepNext/>
      <w:keepLines/>
      <w:widowControl w:val="0"/>
      <w:spacing w:before="100" w:beforeAutospacing="1" w:after="100" w:afterAutospacing="1" w:line="415" w:lineRule="auto"/>
      <w:jc w:val="both"/>
    </w:pPr>
    <w:rPr>
      <w:b/>
      <w:kern w:val="2"/>
      <w:szCs w:val="24"/>
    </w:rPr>
  </w:style>
  <w:style w:type="character" w:customStyle="1" w:styleId="89">
    <w:name w:val="标题  3 Char"/>
    <w:basedOn w:val="40"/>
    <w:link w:val="88"/>
    <w:qFormat/>
    <w:uiPriority w:val="0"/>
    <w:rPr>
      <w:rFonts w:ascii="Times New Roman" w:hAnsi="Times New Roman"/>
      <w:b/>
      <w:kern w:val="2"/>
      <w:sz w:val="21"/>
      <w:szCs w:val="24"/>
    </w:rPr>
  </w:style>
  <w:style w:type="character" w:customStyle="1" w:styleId="90">
    <w:name w:val="批注主题 字符1"/>
    <w:basedOn w:val="69"/>
    <w:semiHidden/>
    <w:qFormat/>
    <w:uiPriority w:val="99"/>
    <w:rPr>
      <w:rFonts w:ascii="Times New Roman" w:hAnsi="Times New Roman" w:eastAsia="宋体" w:cs="Times New Roman"/>
      <w:b/>
      <w:bCs/>
      <w:color w:val="000000"/>
      <w:sz w:val="21"/>
      <w:szCs w:val="21"/>
    </w:rPr>
  </w:style>
  <w:style w:type="character" w:customStyle="1" w:styleId="91">
    <w:name w:val="span_"/>
    <w:basedOn w:val="40"/>
    <w:qFormat/>
    <w:uiPriority w:val="0"/>
  </w:style>
  <w:style w:type="paragraph" w:customStyle="1" w:styleId="92">
    <w:name w:val="4"/>
    <w:basedOn w:val="1"/>
    <w:next w:val="62"/>
    <w:qFormat/>
    <w:uiPriority w:val="34"/>
    <w:pPr>
      <w:widowControl w:val="0"/>
      <w:ind w:firstLine="420" w:firstLineChars="200"/>
      <w:jc w:val="both"/>
    </w:pPr>
    <w:rPr>
      <w:rFonts w:ascii="Calibri" w:hAnsi="Calibri"/>
      <w:kern w:val="2"/>
      <w:szCs w:val="22"/>
    </w:rPr>
  </w:style>
  <w:style w:type="table" w:customStyle="1" w:styleId="93">
    <w:name w:val="无格式表格 21"/>
    <w:basedOn w:val="38"/>
    <w:qFormat/>
    <w:uiPriority w:val="42"/>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94">
    <w:name w:val="3"/>
    <w:basedOn w:val="1"/>
    <w:next w:val="62"/>
    <w:qFormat/>
    <w:uiPriority w:val="34"/>
    <w:pPr>
      <w:widowControl w:val="0"/>
      <w:ind w:firstLine="420" w:firstLineChars="200"/>
      <w:jc w:val="both"/>
    </w:pPr>
    <w:rPr>
      <w:rFonts w:ascii="Calibri" w:hAnsi="Calibri"/>
      <w:kern w:val="2"/>
      <w:szCs w:val="22"/>
    </w:rPr>
  </w:style>
  <w:style w:type="paragraph" w:customStyle="1" w:styleId="95">
    <w:name w:val="2"/>
    <w:basedOn w:val="1"/>
    <w:next w:val="62"/>
    <w:qFormat/>
    <w:uiPriority w:val="34"/>
    <w:pPr>
      <w:widowControl w:val="0"/>
      <w:ind w:firstLine="420" w:firstLineChars="200"/>
      <w:jc w:val="both"/>
    </w:pPr>
    <w:rPr>
      <w:rFonts w:ascii="Calibri" w:hAnsi="Calibri"/>
      <w:kern w:val="2"/>
      <w:szCs w:val="22"/>
    </w:rPr>
  </w:style>
  <w:style w:type="paragraph" w:customStyle="1" w:styleId="96">
    <w:name w:val="1"/>
    <w:basedOn w:val="1"/>
    <w:next w:val="62"/>
    <w:qFormat/>
    <w:uiPriority w:val="34"/>
    <w:pPr>
      <w:widowControl w:val="0"/>
      <w:ind w:firstLine="420" w:firstLineChars="200"/>
      <w:jc w:val="both"/>
    </w:pPr>
    <w:rPr>
      <w:rFonts w:ascii="Calibri" w:hAnsi="Calibri"/>
      <w:kern w:val="2"/>
      <w:szCs w:val="22"/>
    </w:rPr>
  </w:style>
  <w:style w:type="paragraph" w:customStyle="1" w:styleId="97">
    <w:name w:val="Table Paragraph"/>
    <w:basedOn w:val="1"/>
    <w:qFormat/>
    <w:uiPriority w:val="1"/>
    <w:pPr>
      <w:widowControl w:val="0"/>
      <w:autoSpaceDE w:val="0"/>
      <w:autoSpaceDN w:val="0"/>
      <w:spacing w:after="160" w:line="259" w:lineRule="auto"/>
    </w:pPr>
    <w:rPr>
      <w:rFonts w:ascii="Noto Sans CJK JP Regular" w:hAnsi="Noto Sans CJK JP Regular" w:eastAsia="Noto Sans CJK JP Regular" w:cs="Noto Sans CJK JP Regular"/>
      <w:sz w:val="22"/>
      <w:szCs w:val="22"/>
      <w:lang w:eastAsia="en-US"/>
    </w:rPr>
  </w:style>
  <w:style w:type="character" w:customStyle="1" w:styleId="98">
    <w:name w:val="批注文字 Char1"/>
    <w:qFormat/>
    <w:uiPriority w:val="99"/>
    <w:rPr>
      <w:rFonts w:ascii="宋体" w:hAnsi="宋体"/>
      <w:color w:val="000000"/>
      <w:sz w:val="21"/>
    </w:rPr>
  </w:style>
  <w:style w:type="character" w:customStyle="1" w:styleId="99">
    <w:name w:val="标题 2 Char"/>
    <w:qFormat/>
    <w:uiPriority w:val="0"/>
    <w:rPr>
      <w:rFonts w:ascii="宋体" w:hAnsi="宋体"/>
      <w:color w:val="000000"/>
      <w:sz w:val="21"/>
      <w:szCs w:val="21"/>
    </w:rPr>
  </w:style>
  <w:style w:type="character" w:customStyle="1" w:styleId="100">
    <w:name w:val="标题 2 Char1"/>
    <w:qFormat/>
    <w:uiPriority w:val="0"/>
    <w:rPr>
      <w:rFonts w:ascii="宋体" w:hAnsi="宋体"/>
      <w:color w:val="000000"/>
      <w:sz w:val="21"/>
      <w:szCs w:val="21"/>
    </w:rPr>
  </w:style>
  <w:style w:type="character" w:customStyle="1" w:styleId="101">
    <w:name w:val="标题 2 字符1"/>
    <w:qFormat/>
    <w:uiPriority w:val="0"/>
    <w:rPr>
      <w:rFonts w:ascii="宋体" w:hAnsi="宋体"/>
      <w:color w:val="000000"/>
      <w:sz w:val="21"/>
      <w:szCs w:val="21"/>
    </w:rPr>
  </w:style>
  <w:style w:type="character" w:customStyle="1" w:styleId="102">
    <w:name w:val="批注文字 Char2"/>
    <w:qFormat/>
    <w:uiPriority w:val="0"/>
    <w:rPr>
      <w:rFonts w:ascii="宋体" w:hAnsi="宋体"/>
      <w:color w:val="000000"/>
      <w:sz w:val="21"/>
    </w:rPr>
  </w:style>
  <w:style w:type="table" w:customStyle="1" w:styleId="103">
    <w:name w:val="g1"/>
    <w:semiHidden/>
    <w:unhideWhenUsed/>
    <w:qFormat/>
    <w:uiPriority w:val="99"/>
    <w:rPr>
      <w:rFonts w:asciiTheme="minorHAnsi" w:hAnsiTheme="minorHAnsi" w:eastAsiaTheme="minorEastAsia" w:cstheme="minorBidi"/>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sin\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22222222222222222222222222222"/>
        <w:style w:val=""/>
        <w:category>
          <w:name w:val="常规"/>
          <w:gallery w:val="placeholder"/>
        </w:category>
        <w:types>
          <w:type w:val="bbPlcHdr"/>
        </w:types>
        <w:behaviors>
          <w:behavior w:val="content"/>
        </w:behaviors>
        <w:description w:val=""/>
        <w:guid w:val="{AD7BB79B-5ABD-406E-97F8-D2F171990422}"/>
      </w:docPartPr>
      <w:docPartBody>
        <w:p>
          <w:r>
            <w:rPr>
              <w:rStyle w:val="4"/>
              <w:rFonts w:hint="eastAsia"/>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BD789F"/>
    <w:rsid w:val="00BD789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template xmlns:t="http://mapping.word.org/2012/template">
  <t:sse><![CDATA[mlOYf2i7YClhLCkBrG7s8tHKKV6aUo4dgwSl2m7/EVQAbeamTrptQEr4LP6iL5/Ue26OstYD9PMjbWzFbUqJyENfb9ImfAkJNl0weP5Zs4HFGB2Qug5UJMGdDky4oK/UzFoi+98kgfkTamXNnVfWy/lqTgJeU6fEJ4SCuoGRrvylOu+5oFuv4EYoU3h0tgcpCKa/DyqOkDwkY8nw2kOmkgHFpZVY/Sw0bvqwuX+6crWCVyltJ1saKMSFthFrU5t8TXn59VeT1oqtcGKaFJUbF5Qh9xAkg5o0fAkrUZwuLFrzIvUn2PbFitwh3aSYRQRqz7gGf5O000GAbY31WQshyLLH3y07ZUA79phhCSCYcRKgDXpCAUEtdhAtJG9+M0m0EJw2qrOu7WV75HqooambDog1Ax4zOOZpNuDqMIusytBRBrkjYfXUbEHdsObXRG9BHuSq96iWbh6Ewv2vDPDqG9RBA9MQ8oH/BjDOGIKtPl1y2GE4hX+PmMmO41dkqlcdpNA87SrVFkW7g9x9zFmXq7mtRS02+/OfsjlJSUs1v38giC2qJOnrEqCTZ3aSMBimS4E69jFajv4O1WoI5iDr8FTbfJ7/p+jscGTLIAokgmppRHAoNgVa9TbRouEIFAu9U5JDiowQk5v/YrWp4C9zzCnOcL+uaJD2U9n3sFw81rDnhT4A8EQ7Iy6b98zO7m/low38ag/HuFjFqaQD2QoYYwEkph5QyiZOxAWvhZX9jZ7dAJbqVeUys0pTEGX94i4G23IQWUqWnGGe4rRm570Dy4/Txvz8LuAQY1H5z1MAGAG3tmY5W/EwhyAs8C/0UH8Rb74ZZGYhkVlUFVlxGxrxqTL2ArMcUOZBjQP+GCmMlP060JD9M+sFsbXOUHQBKjv6GV9Hj/utxgJsAyuJizskCgNkPpqFHBWflVhMK5P2yzJxGFFjF61+GZCJAujOjReUOyUOhLBYDNb6pyTte/TuKkML2kdiIQ6Ft7LNQpBL85NERBIANp+PtivDRkFt2xGsaNirnyN6kkwQVDIQt/VNJ8Rh4sjFP6hZIYu+rs4llYvwlIvRzFnd1baFdqU6pXxRQh+5MNkmaSX8jF8n4bdTyyNi+FOi7MTnWbJQ+Tj1PDCIWGqqiTb6akgDMk54Un/2D6Ll1XuIa2jeXgD7BAa0dTCL+M+0GRSvhD4U/dhhAUh9mk5azfvSRN+mBmpogdgi2NJ9DEcQ2mb3+hUwSSn0iOuGc6OtkrudxNiDLyr37bzi8gshu7Puv5pjPQKYUn4XtUn4iHSkbYmlVC+oMGC+ozrsj93iPk6ES1f/nUP8SmflUvvXQvHneV3MPA2gL3mgjCXnyCdTP4W17Gacqn1fEqovDYD1SKb6fB3hzApWt8ddx63ACMwf5dbPJzCZYtTmtKqk62R4CfDYTxwW18IRJtK8/mb8zT+bZXE/IeT4fjaYPJ5kpMb5xN5uLcHogKy5oa9zEuISKYzdfZNLvu5SPvOtE0DNvgguyMPOFMAve8PDY9xtianH/Gqmfh7Dtpov+CjUlFWctNVmkicvZ3TeMg23clXq3nfI9VkmJ9A9+tivHvO6XYpnKLNU9kH2YOj9opiwthRQsnOGoOOfQ3U3qBvXQeMyzwmOU/eh7+Byr7tjEKXk9wm1a4nIg1M6OzVXSJffv+PbGhoBFog1+krOhABllo/WY3UUFHXG/itHJCRRRtoHb7X1/YSNvNonZC+N8QYScWQEgPjMa1eICSmjH0DXw87Uw88YApfToxx1Gj56nZqK0c72pW3XZ2hHaSU1SQkUFXIO/UeuNAt/YuhA9rRy9DUar55EbPXwPMJf4FzwgSLDlcKnBghn3G92FrjF1/s7smRhHZEb1Xy00iFdr/Ldve7gqT+BXminB/2gSPsdKoFJwY0cCVGrFbeWip8eeLGohD47xnfGBRDPe5W4woas7HWbG7byMaE4Ox2vlNQ3N8FKIInmGbZf05MSzQNqK0gdLOEaZ3yvjj6EgNHE/hXDIADJmtZzWNZlurzScDazt3j3FZKvP9qk8DRQ5vakks1rF13fSqGwzEuDB7qcOjTVekzIwpB9ZW1XaHXHctq2eRb25/qUXbRYdfKLe7lUcbl47rGZHM8tuLPTvU6d35vl0u/rBTdP2P1VbghG8om79N8iZ5utXJz2+EooeuD6E4nZCQtwl0oXQhd2bknATln7QCi6wox5L5vi/b72JF89F0SDKU+Y9Yivm7Yeo7pdgh8h6xukN+/uqN6j6YJbelYZ+yOnJ0PB02xX/v8//ZcGpDtMa7p9vgA+3hv2TzWPllDu3mgmCRyNpU1FkZwtASvsnxoBzP7L9QkcQZZKXEIAhSLbIVNCptLAFSMWmu7uA1ngkJJSrNUs8XA2ZmtgpDw1tdTmpl7ZUIiED8kjeWAr36jWslqXonpoAbiEmv78Bed26G+a9g9bRJVNcyjET68acLuwwdCpmuNVeWoa2xlGkkQ3ba8IyrfSM+Tt841Di4VcuMkZFoOFy7KqmMScXnzBXzYojtdp+XJXJCrpqeJYAVwivb1eowovAzOJxNT6G7wlMIj65ftKrLbpKGVgEuR3n1X9iBdxTdh9fg1UrFVWvGdNNSQjZCYVxRLXBadq0RRFSWyqDFBysNb8XeBACepqzoyLkFL8Ec8iT6No/nN4QFRjM3mKQzLN4suPqaxeLWFs9TzjpnUfAjKWsDYWUD+xGQz42bMXxpXtgJhkdSIOl+3x41kkDHS37eJSuNG+vmNIPB3xC0H4QWwiJA6uOiVOfY29Oe0TqOj/2yGf4DelBl1vkiZlxJde8h3bDjZQmWWPRFjCwcCLfsGUJcw1zVHtanySD13h8MDWQLHWWJEXiA+1uLBc80Hrobk2kN1x3R3QdgA9lSygb7i8fUnaE/+Og0Mm2Jp0nWhH+K46HvQciCve9LbL9P3TEBznfdN6DRl/YJkFRa6VvTQzvu157eH+TKw+ZHA0w/ureFCWmdtn2ScBsvyZKrQ2us9Vew7tQ2Chy/9vuSkqTSuH76vdwhZl2I8PohbIJ1TJUOpr9fJvlk7yHRihAQbwlZmWW/tLI7itH3v6J9zT7bt921yky59iDNMmEEOsgrZl8cZjgDpJrJlTmRWqGTvcXeYtBqxb2BBOAMI3e/UQLQojhygP0rLp1Kb7S4k5orPdvKyWsIqZ6Y28sz32otnnxBu+ZthUEecHkVRW4k9bvDHYtkPaGGgzPkPoZmkkve0M4MhgyYRg4jIp1un1/k89zd1AuEOq0t5ddSnNdXlsnV1MChO8Dx4hK3Mqj54gEysiZ2az1Gkryti7IGQCT8+xAFMRhJr31H0iFFGTyAwnAGfEiFQscbWEAUFDgD4j4eD/AdBOGXlpq9yhnKSxpMgw0FnISipYXOf8fjrduJgZOyeMEqZPPsKYXamwrYhk5u+lwtcjIrrl6QxaOotLqrLsgmvt46n4lbxGHeigBP8u6P1qtvAOpUT75C8qoXcObUDTRz+/AE4uMu3obpKlbrIPzaHslGdodsdT4PGngC0uQpntSWcZpUYP1ZmDX1AQWLDahOn0SjhyLDU9ogsevV8fb7YyAvUOiVGPYdwdxKoxbAU/RAYRN6on6+9tl2KOksCD06guCaJLv0DDWCLHiMdUbKLiPev42dbm5MpymEvZReWK4CvAmXuKOExegkpM3P7Fnjgj6v+mv4jk31saZlT/03++MQ5LHJH/Ba3Aa872ccTzFcEr4m/rvSWI725XAAA1v4ljsYqgMM2o5Mgq/+5xeU8wX+xLYt+iIwoWdXu8vWmevZyjoX5WYX4Z8IXngnDqwz6VZ4lqkw3+oAcMz1Ylbe1WbqhW8XJ5kpTgCMsWaNYfy7o2SZs5j4PPHQVU1KTw2jUdyMsHAorfG+WNsIDtLADKb6H7KhDJXlGwU/0IeUGzC/Fvt1uoQR9dZggJqe3RNi0siG2Cyp3YFRbso39+K+GrR61Qy05+fOS4jmtAcV9boWgR3zkg5Ao0DFUC2/jv5cTnVwrPax7Vpjq6uAzX/eygEu4nQ0lkAdNBIXlvGJYtxJ2H4teLHYdufZhXzCtwkwqR9aGByYUzS8naOyFzQtDV4CGVuc99J77E8Vn0cbab/uaOUQTmPX6kIOASOzDEe1h2S9ULZBv/F4OZzvDDLjbZtW8jq0aOX4mSSsplpPp7Fp2EhJ/Xn6hDBb10vNwgZHb8P1Rmm4Lx6MwnPN/Qvq3O0Col2AARrr6gWu4w/PjIIQ7qjNYPJgQ+wqWGhfWGa+RMUN3K9qOB3vFdziVUcXetIpthS3xeQXIO0/pTRaPYt2NSzl6hzsi6xfwCZ0ApOTAETwgIfw3uMy44Uw98zSQxT9f/zSzJlThUKA3rR3nSO1/4H26Vz8bIQENHuNZBmH8cJtV8O2QwOQp70ExCmxyLw9gSKLBPapK40MiVbgFJr8sd3uEnY3Ur9arjrkNOkrC5AEgz90H8NSujBHvxOjZhvDajS9fzpRNf50wQ1kxngD0oy2pNuKld+xCeMLtkb5GRTDyueNjFoIVBjs5S6EikBODBKmzZ5eXnWRrdEpDaiJhLjqTRZhqIcXVmw3l4BkxD5PelickfdhFgGDt05/Q6BhUzpf39AjTZ+QHOwrMz1hAl4PCFG6UEAmx+L+Dd8UzUOVX+3grWpGY9tLoZXXWRk4JtFNcClMyzThw9s09ji6JEDPe42lmSNXZaPdN4aZ2y8hLt0H514teFxvCKUC733afFWxYPK4mxT3KcA4P38/ZCyyOQC+8H+P9I6z9DusCFGRN/hKMQWHzUCP7qGUX97RcHuuR48j5X1lC3sU+f7A8ejI745oYmfBnaYMteXVFnNKuQQeaPBPyJCAGT9F+IhkrFXdCA3NRnCTssg3HC8CZpwC09tnPFo23wmyUBZau/VWvlfMuRgx+6rAZu4ldg3X6hxuTucb+CH76/xF76+r/EjMXyKE1fu4xxg8Vu5WCS5G3zykxuTxgipS0KqI3lESTF/PFSqOeni41tbuGT3SgPP1nH3mqNcXORTmlWvUhsbmu9YNMvBgTGRIEQSHzplMAlhNOoGVnMdT84pVkJE5GfzwJUFFtpjqbtvPZWMjeIwElKd1+EKIuM1/mgYFXO/U/zKQgy77ParAYZjJlpcqRvSkBUxBuEKwKhVqJMVhP02WiVX2n1RO+p8E2iD9B5LJ+BuIlUsZ3X9GXUOWeEtOxGhyyO5Od+8f9ykYuDUXVjJAJSFio4QaogrGPL9aUEKqKdQ9IJLaKKA/mWi4Eq0ldG1ZQ4vOQobBV+ICJRzHFs1KEfEZNJssrs8mhtUi8txmkr3zt+J29z9HhXW/8qCHL/mfByc508e2nC7av8y3Vykhw4jynNuZr/iOAzfARRR72R4eYstQpn63wv83HtBPcvJlXXaFiQ2T6PXcmCyOe/vyUm5EMtjJxmCAPn4Ujzeef2TfqgOTCffYY8dHh0jKP5km/LN80DoQjpVKwmnYn+YR9jp0GrYjBjoo9D12C34D+erCNf6/TSVWbo6tPhYczNSV6XSI+PqkeB4n9mxhhlGWVRpX37T/NSl/7jTzVmviHo0KI1udt9HoJHnaNGRCUP4AkXPukElm+ILdkYoCowx5tATE4qazMBjd8MjYvLtTSi1mfx4wD19qvVIzgPMt2FK7rWUsCtwZXRwnAJz7d9hOZuylCbtBCqRB/NowOTIPMgFwhtTGXGerHIE4oxM8LrP8P5qBIau7DdKSzh8p83ZBVz3x69WHVmtIm4NHw/lk/zeFL6uRk689WIb8Cwbmkgue9NV0OhoN3WbOQPOCOXN07+Kjz92CtZFqPrw4swEWTSTAsISKaTuiUXOGg+Z1TDJfIdn0IAt6kXTDC74m8l5M3Mqu46lwebbOYwoORvNTosPNELIhpFy2Z9wmjAbErd5o/+Zqmc9cutXg7kYD3s7n777Wd6/Yigm8AluozzuJbA99Xm5e5UlCHN121YxHDLFyjnflzwZDK58M1xCRuaUYr9gGwMvzsJxGu1bu9vft4qNvpyqDYf74/0MnKvDD/BmDK7ja0UcjYIqCoO5zM1HfIL4g2EUye/LFfzgSphY7foC4ny6nhcDEmA+AXxKRIxxfCLQ3DcwwqWsw5D0EccKadczMPqzY8ID7abMLHpGLTatD7J0Or8LL2phxIzd9WTzvDCtEG3FN5dX5/zONlsq2V/+kLLtuvc634q4YZDDWER39A7gzxk3sQ3EkZ+IdFDTEGt7XAgvAfyXyJwTw0EVE3HAz+Z97jRyFH7XEmyka45AiwVbThXkdaVEVbt4VbKKNVFUNtsVBGT0AB+mDFLENyWghEnWVMPlR7O+v+WNg7IcYMWcoTajB5h9eV5oVozXlOZiGHzXshQM8cNGyvjh2TEw6qulnDLyRHtCCsp9nqxthLEqTTwL7m6NfKSlXHUaUPrbLND1r0lDVOYwvRBR0AzOO4BAuP7XrpHZM5ejEJRP4up2iDTuhwU8F6YdhhLMHvTr+qtkjWD/2Bc+akrmEMnyzeX157RKT5ZUuBzwMLmvBqb7L64tNjutmatEFcpZnRV2uKi0PDeRE7r3Iya0Jx95l7/LP+unc/7Js8zH9YAPgoVFmjB8fYRSp2jMQTbuz4TGRkNOxYU2xE+xus5Bn+g2fzK3YnNjFSym/LpwH6nhA90QSsucfkol10eCw1QIe6LH/nwhdZbpmw3Q2RhqExv3A3CVOhJY9L8GJwRBKTMvSosciuQUlHfIHTDrkGIY/os1WBeBraPdacDQfgWNPDlUcPeipvHRdpk68TvgrzCaj+Y7fOLIr0hfgkFUgL2oBAnQIPd/HlkCowDicHaYXVDzUgBBwd1J4qAqJ2bPOHMD73ZrDFJXrhOnvStyz1LEB+EfQKNPwGLltUgXVg6rNpIC/4eGX5A+OhEY4HlEzipaLCfr3hyc6jCMOIeVPjUuiD74Me1efXFfDHofXuP6CPJmq3wAC5VfBZR/pEe5JAbrIx/6EwPdEVBk1NfIZmk+Nh2t0KU29/MpoNXIKLILqUF7IsOIxfEOQ4TZR/9oXJxT7w4TfdLo9Udf/vDnbq7MUSI/afulBss9mznQSoO5Ul1+QhOlT7gvIE2FtCczKMdSixgt9uPy/2SuiUAMaV+C6nwh70l/6meTilwV3cM7cvtkRc5ortG0Sfa0VLfRZn0JFYYqSAzOa+4PCQCKk5DBymADqLhkLRT/pMpSfeDMzAKwK+Vt9bKd+62IowoCnqa/2G+Dyx9TEtO4tvd6aR/853yP0BKEWvCh6Zdap46XY6gI2I2sx5Q8WriXdjRQB2xRKfQXcwYZZmlq+EkqF4Wfs42QBe99hxjLZx81New+VJrGU1KqbixRLM6D7kEYiVfKzSZZ7VrPlsc893WC0SnaPpa5wfS6frYiUmQaRzAolvKqFNb747a4YSDwpAVhvrcWnFbubI8SGomA202g8y8NrvySIwazJD57IhPxO2Il4okZOVsgsLEdoBnK+f3ypzOswRZp8MT2gFIRkLtlr2eAUMVBzQdhCVFvW5dcgyJ9Iwht6VVWg1qoLfrar0vM+7k6xo1Bp62vgY3HYRBcdR2nU5RLG4ry4fG1zaTE15cW6upxfF0JG6QcQRAmecikSyaT5I40mYNod4pBP3DZbLpE2dnXFGtxA2+ac15xhpnqe2942ajzYDdo0aA6DjEcO4VqxOhL/KIs4e0whDWfEPji7TvL2mFPMsyKVR+UvvEtBv5Yb6PF0MELjemXTIAy5645rsb9LmR5IuqorLZ9Fstl4cwNeIVvnzM9mHRJuetzmJZeJZ/kZUIWG7so60K4pW/PNDaVOnBWnqKd3olU78IbM5sguBAgEPqtSqGGLBDcr4BeLskqvC7lxW8P8z4tQVQoxB3tAFJzwpD8eds3ZMUTl/ZW+utV5hvaTaN6Xz57hrYbaLP1RWHGswpS3pGAl44Q8i7i8dIt2qWFDKyAviwnCavsUysVQ3RIbnoXDi6xQ14157ijxAr+bgE9FgsuJKGIwg2CyqN8/Pby+yCnP1xrrdRchd14w7rYvqtuKLf4nFa81loEWgUaHPOycALN2K3Qt2Af6A2mCoDkz2mfDDNTibKN/Nv3ht5I+WoRF5q/wtPKT6TM5C8lsDFvYKFdkLWq7SgYl4jBKUglVOck3lpmUAmYf9iLAMmtYRkTgr2euheSE9WYavtOY0tkaBIHLcp9Izs3f7rt3QTq4eJ/yi9fpyGbNVMVU5HQvM+k9VJ9fPIzC4ozkrpDVn0E6aAproXU+uhLY94IKZWJny866EGmGFjt/sVMsZeo8JWDUgWevnDMkAXJvF4oMscRMPNsjxNxiFyPjFRJtBTo7TUWaNErzpMAFAo6Aeb2ydDlVAgSp/KtkvqEsnETOaKw83IE9fagNFCMlk2Mz8s+A2Ioivs42QxnYG6+yTyngZFw+jZ+W234PofU5B5z3I9x7gXno0t2c1eXT1+D+x8kYyMqIqUBRKCJnvvpzOKFUN42Elbuy+TXDLaon/E8ZVrGno4weSHCmpUmmgYuJMjtwZBAEbu/JUsPujjRNdiGqf3ppBfkEorclt/SEH98IRKOeIaHXNlgZNwtDoBQzyYWlbznb0MWZE4Br3TdP12WXUrTt29KoA1BhsaVcafftac80s5Ya16bjUyCVd4vNJoaZxkzB+MfpdXauo60mUkc3X0KNHxOSn0nrny5hDhSelBBYBpWGT0f7ITcbz70tHqnqzqAT1Ke4ggUCm1vMfyXgwLQZZJ1ISCAJMfVWgUkjLEkdCJ5on5Me9cwSu1xEYUCu4l49CTIoZIATJXxNLXtDTsp97JSnS8Y87F21i/lLcK+a7muKX6rn2wszI1V+GZ+fEJzNuM9U3iyS5IBCrNDHqKe2+pf7cxzgfHwwqgGrY6AkkaDGNlnvl7f33XKwrJ+3y5iZ6vSKe7vmuLHuRqXyQDdHd9pNSYGa6xps0EQSyN0U8VSNWSDerzmacz7GU8orgpD7hw+ktgGScWuQ+XfFv5FQKsW+/98dPj55nzYynUvjD8rlBsX8TbhVSj+BYfuaKF01YuvACHGuEwndc6ITCJqfOIKBQjsslNKtmv3ns68L322uTXHWxBx75YpoUSwQCPZfJ/mVzuiVQTdTmkLnEW6v4xmALOC8ETi7BpybyYxWH64xuLJEL5v5GCWcviVdc+9Rp+0GKlbHp4cbgJmaMhMwzd/i67D5dYP5PaYJpu589bU2e0end6JEC3P/9bng7xOxvPvnZ46fl8CgCFj+zIjZkeZGAhrS77HWfT8Mzpar0DvdzF7G1NGBPRJ+pZ7TraVnz6o7tCrNZmCYMhcicYQPf+rFUBJxFIP3qFwtZi9bMH9MfNoTGKqjvM+Ar3zeEdWM8CjRrPTTGeNzFYdCqxsUVE+9wvMynvdVv3Ohy3F83X6O1Nc4Gd82SmsvGFgwk4xogl8U00Jzj50KjerAcguckBnceDu6Jefw35u2gUSW9D0DNnrYjkyKMW76p+M3bfZI5nCy2bprCie/jG9JE0lamKyngyIPLxLBxb+6Slt1WYNXLBw9a2SLp6C4OYfgtELubfs+LG45cy7gqGDa/QY/2sr1c1CRIVp4fiGTsjYFVte6hy/RhwtCUKSF9OzcFESoI9RaJfsX3qR3XJaX7MpOnRQS498/Dfq7xwjEKUo5/pHmXtEJ3Vkj/NqJDQYgTtaX26vFcsTBxb4s4eR+T0+RmNCC8YwQStDXcVKGfI0pyw0g7yYm2iEOOCjzMrcjHE3azT9QuNj/xh51/Zxu0xFwO7iFuCblyMBuLIDqrMfLIUcTqH1rWjRMNiJWpMN8Vdf2sQzy//mEoisy8k1nDdZ7ds/f4CWJaRcf6ZzWH3ybyAZja2uCWq+y8deQKnsZmKn1mnO5LYB1mXF3i1jXddmLOk7VOyi8xQ7dLvnooZAEfo5gE9pUENYVf+3hSXbaDmD4Q1yn129V9omPYLF6aFRJHFWTwuyctIJ1ItIuxvm8GQ/GBglKVbxpF08+gsRbQQQZzRHJEPdyJVcE2Z1wmE6z1x+jGuCAyfobKBRom5ds1jPlbekcnI1vS3uGO6lIJB/C34FquwrFvhTDeTvUaI4ID7uK5nqcRM3BfmYiEtbVIfjDMXdJEPrmcuZiamn72fCw4tMoX1b7vZQkZ+dZkw2HDDBEwUzw57gcGoJrQp0vLftr6BqwmPQJc9Epk0Mla8GBUcnoxo8nR/CNktYvEnbflczH0czGIq5kzQp/PpnLIYyWK0fTAPdn9lNpm6KfWRGKecmJ1rcir6xsesZgostIoo3TUb8NGaOJ2igjdlC0yETAxNajgTNWb5wH+Ku/65lT8L/52xNXYbCzgR3cHk47/yqniz0WQ79My8/rtHKXLcuzrPqf7gn+TVyiIOxVrT2Xb6jIqmPvT/bdDyknWcGfJ9pWciQTJcz8OMRYN6of8bUZY+OQd/pz25J/JrI+5Z6Wu1bheEpIaFkzUy6xSz0FTEcvHuaewjLqzK5TRNJ7cS9zKa0YpUN3sqN7xSQFybPGVh6L5oZUQENZslbQroUshdgIUd3I1WwifQqLw8mLj/rys71XNBjm3TKK5VvqUysPkgmJovjl90RRJaTokh6uM789DuLD8AHxF4TOLAp+fe2HdGLZzCaeOlOnKp/zei4E1ar4cHtAy73YLKh+faYzurLG8y4qdgP263HXCcIk+BKtzMftpMAcw1rJ81geCrVYFfm19DA6hARQiOfHrTiOAl01+TpK+55JH0bpNjzguZY9Sa583gwA4lc2z/WpLd4HIPxep5Uc34Bzccr0w7jcvvxpj0AL7xUfrraL8u8PZ7ZzYvpYdJNXJxSxwdYSeD7PlO1U2f/9bKepVt6jWAVDQg1nH33OU6ZIFO8QmOhGesBye1DJEZas7HyEa8izXgY+t3p1S84Ocdp6+l/aPh1kTIygAWSK7BukbDGpkBnWZwvl9t7208eSVvGT3mXbpxLcVKTnmVFVeGl4P/Mcr/wzAt73QIiaBd/YZbmKE8mx9JHKCcV/jWUpFlRphDI3acGjOoDEwXg7+5qJVH1MMlyX33YXx5iwyCF8oCWntyXbHWFjOYTgmqJBOzXPrQN9pfmxUzVndnxHNDW9hP9AEmQoF0Ybu1GM7CJrapqqwqHXMtOiKyvaAcUTE0Df1mPX/nU5bszSOqZn1eHHp7o5c3Zr5Z9EpX7+869/wRwhtkTbef6I/VdSYPvEpjjyOIoXr2yx2a+nvD/qAavpKzXbhAjdhOKM/jk+HxcAgvXq6fQ/Z56iYxVljfauAM/PloU25WMo3XitcUkx3wpUAyuKqSvGWBlYMm11DRw3V4tWBPC74Pq2ofEEZJc4X3ueyYT9YU9eCWW5mifNvxOiEfFG4lGTKbaaetR3rzS71VVuyw+1d9QBwbMVwKn/MKSVo57mZbTY0h6dyYSM/tuJ0xmT/DIV4u1bnxLrTE9kHkFb+OOVC+ic4hadmPzsS6tbUCW4b8LwgGn/quALLNZTXqYSD+pY1cgguKp2wi/kXiU+/XHf0NTpgoiBWObzHiQ287YClZlFweBEzQTl2j5oJt1/wmCacfM/pSiLHFGL/692hjhpatbnurpYw1pDWFROP4RHI9DF2ETxuM48qD06bZcz89YWNSoglz7GeU+rF6SnVqeKP4v4gly/ZzqTOexmP9C1pfKkCCohAzLGSr9sRlRWBb+iJIv7XwYRG3wbxZFkmXfs3Bsn6wWk2OK9D/RFLFB6XjZPqtjF4fh8BzEWF+qE3oPHnOmI/IQyVTUX2Hl7WuTuVysSE2HP9Xmb+zCTKMjk1h7GtnXbz6GliCHeBV5rXyC4HomdWjUfw21wVMKQ/+Kb1l9ZBQmmlJ/E1w8Elih+Z5EXdPRn09CIJT7Mko2zanKMaHcrk/h9+EXON/LT7G8BxnYeYvgUxmTKwvS/Gss6owflRT47059brcEtyXr8WxhugtqkreR3gOr2pVxdw1WJgCo3dqIFhbXTwWGpYVYwuF48BGNhehMsfP1Z+dbQJNomAOywmufhi7j0wHDKj6xYfco1xEXQX8dunrTlMf6pk0pNTFIhxJ9BPvxa8zmKA+z2Y/gXoLU6QA96sWlZg3U/1Nz7Neqe6mdhgvgxZREm4tXpwe4Bf5vj1Zu21YWpNrbAtKQCGsGMu6BU5YV6l3TrWNyC/QVxyJcUfFD/gkAJiUG7sUs2bJOyMGBeA+AuNzUFUkXqD93lremTkH+2L0ieuZeR5TfZUMYUDFlwt3CHNsdCYXjVAw6ezWmAIAupyAfMIFW/AieU8PMIjHhrjMb5evx5jRIHJ5q+jN0s+VwMxGxLs+PVV3W975of7bsyz+ZBa17U6xU0DD58R7i43EpXhh0Hi8nd+W94MRNTQ/+d6ANM7+s/hb/YqpQ+OL86SFQTUk8iMC10vxy/IowdxA/DrvQJhquhe0rsVi8uPyqeiK8kbaivhrpPe26AhrWhiSjR1zK+OdL0F1iYmnsAOdjiatPBWuAZxlDqeQHN7tMP5kKuNYJA2ZhYHE+JcWfef9BQiHCrqftofmt3wwKfAwpY550WWBe17YjZzD8Qd7AA0EvnnE0xvnOeHKDe+iqLB3hhR4Fm4yH/bO6ivYmafG8YIe6601+6sVlMV5JimzdJmMIU1vcodQfWfsCsM5aMKTLt+Uz8opQoOKliW/hwTFXTzEBIubwCbURVuuJjKQ+6CY/IyhcmP2QswJgFW1AnIf+tZfnYpasE+0C6W9MyPs1CM+Pc4e8XnfbLOalnzsznwpQnhTZiRMwajN8uiGQmeCJcPNX1yvuOZKT/o7MJCX1pxQ97zSXracblv0pThFppkNcoZPeizLh3GIM2TynDYGBux4dWggNo+pRZl1CgSS4j9cglhtvPLV7tI3vIrARwx0Bo+NxKFFaaKnm9fhQBGHTMN9c6IJB360Nz/4JZTr0wOozkkbbp8nEF3MdDUi+nHjvKGYdRAMslFYtbRZFKu2yPwOi755OYoD3rCIw4QudPQejtEsFb1aG0FbzZB6u2y/M1DXM4Nyid4z9F3KL84BczQ/UdHeUTHSTXlO9LSmf56NKypaKzpvHHqbVD1LV7TFCB7vmjq/US+6v2GSVkFOkkMYb8ZjxKY/YrMCk1yq1t4xYNf455sWcRh8GsbdMlDQnKf/9Q5TuKfhPmclc7alX8Q+HqFzSVRxvK2HElu4eJ5+McSMIqrF72yM8OnGVqLwTEo/naeMAY8fh4N8f49z+DdID++eemzlQOT+MPEafK2Pj5M077dg5KP2d0zkMOFVV0Q9HqAQ3v1GtsHRvOhlq27bYJWIRAnCqk+STAPVxtFXnz3HeMQ3cB44sd0Ja/zvtbDK+mfMiC9klgzXXsDZAz/1wJx27iiWw5Iwz4p/FzdnW9W3o8b2I9khCsVSPYXjDNJ33VI1U+BU4mvi8gR7sUp85w3O2hb7foM1DSjEE5DCeHL6cL+24JNdpypKN2GZSMrk0tJvSjFEpBjMKdGLbgE2zmVTHQGS/7ouR9u43Iwe6dbdqIxhA6V99weanzqF7+C8Nm6SJrAPyN/YFOScI8DOjjL42u2WRsFyrCOeaqyizej/tfHO1KUYzMzGMfRsvpkm4OI6NWQg4nS98vXJr0+tVa8KG7sM69J7FqSvkGpRfpHO6NimP4DJdEwIhacOil6xEjXKyKlliRMQR/m1/zoA1GLZpRMPKT2F1afcyN7CkL+XhBVVpo8bqsHoBamJx8tVe+QnIx046RpEThtd44AnjJeJgM3+WOzh7S/FWHF9NXttNiHW6ROMcEZjDoPf1rf1vJhoO1Wh6poT8YHUn4pQXtxnvurdZUUtiet99qUzzMWAOFkz9tfZAcjuXKLjopVJIkaKsuV30TY0kbjl6ArtMUT3zWtsWZdLBB8MJAjjHhp2U1tcAQMCjCntd4IsnRn0vT94gygwZHO4M0KivvAGcrRmtGZBxkjOudYjun+dSD9Una0VEcIi+ZhceZqdiWPV4zwVi0ISyBDL4eSGrRoUVv1qZ+K+Rty7BzLSGfh53j5LrbCbbJxQWR4G3QgwLOwcNIuj39jDChvxFy4GjnGPRpOx9F0O2iMcpRqGJJF3EQc0ZUNqNA/bChX3s926P6oeSJxI6UizbwewgqLNHYYCDQRzlIpxjtAQMK6d0KRnTihLgvIskvBc8u48rWzNaFu6Mt63rP2oxD0jESpQlmWSPSVi2TeRe0Os91cNpv+y1o6m/v9A0Miam/e616dp32fx/C5CwlZcpJ9MudZBTXfTE11QCRqift/vfjoctIaNbwyErPWbZMyMlRqjPB85SefBx0bbdf4C++rvpkoiZ3ZkjmFv4y+cSpoTH9hHCReuiKbkLvuhnvyoXKv9ZumZp8Eh8GU0qBlSRXQV/LHzjJcm6RoHr0bXcXXV8N7mpwQ1bsh0oOT7maVfrpeK8p6VqFgFbKeZr6GKshtc3Px2KrHEDZBXcGTetaxkRKdvhe0bawOCSDRIi4PgGjD3o5ViHmOI2KGKwdGl9uzp0WTf+8ESmTtz8jelgd/HCEv7oUo5GL05A9/cC/rPQ4b0TS6A2AopOWO7sjA10EGd/PFnsCjGCQaHZ2+OLBWIMivVBajRHZQwoG3+TfUXtspIyIFUJ+ZBnCLVanu9zMDE6Qz7P1PboK/Yr+W1UOf0z5c+e2tF88wr2CGWhOxjAUa9Kzhym5mCCBNGyQjrlVoc7uQ1vj+EmfXEq1r5Ol+cFCuHDtL3gNUrzlU9IiixTMB+QnG8nUkCu9AmWSLgc5rLrL+XszWcpSoJHu8ZdxDSZnNCLltGTAFPMhnHllaNf1mC5jxOa8gTilZ1gTHJ5pbJkVP9t9mAnGcwsf+8guKWbboXQlCSReYHiDh4+qTt1eK5WNqvPvO1ZviWzJ3lbOnUnSwYCKg3gEHzAqvTf/EGahBIMaLHudKBhzegc1q/6cG7KGBEHEHQU4az7wNpnnhOfKezrlgMFmOwUP3bdcew1CZjiFVUEFygGzTVdwYl28bp0vI5B1kuOyRasZIPcx7k5w0lfOlHQGmEzOB9ZNScKnj/+RbQFx2RYJ6c+0umUcMpMYHQ4oA7vIx5/tTnvITg7mNZKHOowccbJsi/NXes4RJMcRTkK3UMjMGo6PljspjvWFTE2iihCxmR4Qy+sDtn/BbG2eN3byZMbswwgko+Gc9bLMXuGZBHjLtdkJEV6erZ3uJ55Jl02Q4iKQLZah3Ph7PTaJ1+5Xge+lfyBW6tZL1bpf6W2Prz219fmNV0EneO4Jg59R1nTv2yVI4XFw4R/6tBpry/ad5oSq5MHF/1cBDf8QedeiwFKWWZvePZW6JJPNq+PWtHLSx6FQor+3sekckCS5EA43YNjcU7o9qPNQxKmx3QVtQQRldRW9LU+a7PgaVYbPdR18k8kjyC1IDAh+4+LDV/Np5bOvV2Q2uLnqVUrukB8s3sY+ZLorT+PMsrtrywYWuOFdMuXGCWKt6nbXQAuB319WM8qb6Mzj5zqN0kxxKUSbiFeu3PUqbd8P7il2UfB85aJaqWraOEYLp5EL2twjte7ZsaPe31KJ+X0kmz91of/a5rO+vhznS/xq2UvGmmRYf7RX6zQuglcgu+2TiuWFD6M8ej0hg9RvTAKajr8fBejSWfowkXog+BS0wNWitKitUSFi+F9kmIuRl0BZO1a/3t71rc8ESRQk4KHNdJA22bos7tz9dRpdQPru0R3m5ZMkRBkRMqcNo5Eqh3WIN1fR1umCq86ofJLFu1upQ5Tf0bEvyoNGWWagNe9BVHjJLW27jZ1dpX0d7YO5DQRtme9Velv4CgSOgiSa4ix/RnovJ6eqNrgSRQZHwt5oj+12ElyKFZicHXgHrhpbOZx0fYkDhW9U78B1LlXYodnwfS539xlFR3jZ8sIs2up59ceXtIujoS2WG4jHy11agTy+rNpTsOlIsR/MRWVg6KSKYFoykV2T03Dn9NI9I6K1k7T5S6txFew0vB7dXjWY5nulEQ5tpGx4OMJaCsk3CdE+lvUmULNQAZgFFKik0cPVI+QKdmZUeElWPvURvkMq6EDOvLSiEsL6NLF8G9JTvMZOwwPKScg6l/PA8ZtOFuqRNALl/NGH6R+BjcEvT34lSZzuyxCGYWay/WwRa3PKZTJY3aSq4HYuiiSlBQA5nKlofU1kwy6OaHY2g7dxyPwlRbGybTJOkQrN/uOIJ7xEoAPezoHl6IiEfqy87sek3FDc8KSJ1De/MFHy1+Po/NlBqgtdfPZ/jIG13pQgrAFlCRmgupGLYa2kASMDzEGDdbLhmXphuEYaT1NAJZaceR1KnNodZHo5cfno+d4vPtDFIADAqW6Cu7tRpc4jEMNSii8CKNYnmnbGxb+5XpQGoFBqj7aLOzH4nRDqxOZSKhiet3qp+xlfbEuoC38QRElJ6Vvlir+VJkjPnrQ1tKQjdp74d283Kqw4kTXwdNVk0JGYsl6A8pK74fAJV6l25BtAUAU/lT4jAViIZcpso+Jm5l8On+5SIYOCk0atVjMa0dOCsY7ZauMoHj0awWmqcuuXZvlMmPUbx9u4VBw8lRxI/6S/7zcRHSpp2t1psy8NpLRnPsGJ9So4D9LUeu1HWHZk9z20k5kfrOBhte0GzMILVbnihVacGSmA6zgLHt8UHefzIGW1FNPP2VmYzVbqXEI0JmEOtVRW8TJJhQYp3i8lMuptc7rN1fulqPhiaRSIidNJ6w/dYj57/GN2m6mhAscAoMy4llEHwK2l3cDeu771qe3AAFNyrZSY0WZwXyUFYDm6UK0XRRvzhgrkPocZDG80dzfsDlaUGE80XVRTNUVwUo7jySSLe2RvNErko5nIJDWYEC1aHknETx/vg1NDx0VOGOboA1ql5ilcJUjJ5zpF01/X131h2hzNv3Vp0BxjhxA9hZOlpMo3/7qLYnj3xfw86JFb+vzLmH5ZCOnNxQZ6rLnbuVqiozm+HTvalj49bHbal7XWTHmJPZp05RW/Uh6tq3rf9n7BDcXvH/nIaKmdRIhjg1oFRYVRhLx23aDtQXAcjxWgXyqTKCiuQAv354H8u9x6EcrulldHAIpgtqfBrxKQ+8CcLpwQu/i3hhCazwdrivC8r0P+kobd6uZ5PArQF31x12IHhsSarHy3WYMej83stH7byTj6R1y47zcNkIl+RLdelPZ0gvpCmWtw3yeiGInM7BmBJ1YkzYXKetoXm4ueKDW3OKSEGVeUr64e1KvRdwg7tjbAlFKh00LICKjgDKoqbKA6YScGzQPVtFHdP67twf71KZBCoIlTDiSGZqDQkAzl6NVoIjBTlNnXg1ZEWjwirmGQrdcXumLllXBXwFMxxfGvxtSXW9SRGm2tC0jH2mw0dsqmWvyo4wC9tKxkrUSyzD3qC9TbaLoaRUFlRyQN1oZxqGcir5IvtUYWxMnIDit4oEEZ2yX2z4uF/W3QiCYhSBwZc+NXnlXm7Wu8cu0QkiMlmYHtNb0LoKi7v6dUBtaSlIUz3pgfc4/UMJXOFIeWWzPinDTpFkucfjc+ZM2855yETJhrwXKkeFlLNdo9TlwGr11USP/COj/uEFnXuInW0GCv61zj3Y2kZrRJ6FqWidYprE0aTH4bAc7HBs5gkqe5/lrt7q9RuYxEpD9qfZBxSHkctd8kUXKtNNeDlPqDlHznhpLZgl5pT+Q+Fexg38/1y7RMMbTrcns8M3rdV4OpUfA5FGQ8FL+Frx610UFgoaoSH7/zJeJQAogxNHEmideueJmuy9UAnmK9ftRdzQy/DUBCcGDw2IcMtjiWp2VcqP+iSh60rN1Pm6IGZDvoCaY09CTK2HugDJTXfdXTAuryccJGKJVqO794JVIWHlyxl5EgcgYixBjbjv+JkVvn3DjcgRAONv8ZpO/BqVDgLjhf2GRU1xYRrZkp0OdE8Z60pknFuvwDuFLHiPW5ixG/zuSVk1xvtUcflgdCEG3EgH2A2EDW5uLNxcnlAj63Du7NywekxxiEs/7BFIWBIZHDEi32xwmQTSp/GAs+/cUB3jK8hrQKkqRfhVgJa4i1edriEAnwf5lSoKsg4Mza8RAJsmQ0WV4LkjTtAC7G7e5Mz6PkyBd5IWhMqcLw7o8k92iNKT5gsdUPzU0d+CbNYw/neIr24HN12VL9xhcdppU4eYRVEoxZX2qibRd4Xuqa8MuQY28fXFwiUdrFToSdhZb0kevlPIyXxxRdbLOu3p/EO1uQw+StQvcI4JyGjnsHAaKLlJSPoUJhFKSGaJOD/xza+V0PuB/+Of5PxyuW1VoGKEP3h8762IOvgSbLsyD+X/s++IfvO9ndIroPLHQreQCjqTjPXKLeYG4Zz93cAXMwhf4BaOLHm1bFLuXMUF8L6Zzn1hB8pNVzA4yeT8G9VJs8y5JDjLdiEwszDEDTcz6UL2ZarJfzHhgl6B8ZXKVOrCi6TR+VPOucFOEvDallstgePQMFGGLW8yY0btZsBg1/75JAVYAlz0ND6tzo+Re1MwXQqoC9e/uuJO+QgZ3C3g1KX/78XpTGEToc0+fhkFBlhEcmoBymJ6Jtx0/PBbDThqv0QzCl1f6/iKCsSRHYCrw4SAk859OsRewnY1fVZcpkY242nEZ93F96Kc4axNiAM/ZODyUuWMjPh+cusiT2YiekAirMe5vdA7D79tY+gYP1YkfewFJnuuQQSC+VZ44SB0uWXiNrv+kKcdQsoGOJLLeknepOvuL7v5231JXagb0Xu1mfTZqZrvY6B9pqxalu05sjerBr5UaQhJiJ3iSbrPPtQ84I+PN1guBImWBr81yt2uHtVlejw9pd9om9NjmhO+dtJ/QlLlcFn5Qxp/NqHXXCwmbUjlTtuWpeGEtOxdb+7IQdO8ItOVMCgwpPi8LmH6Hw1vDZcMKzUPgNnwvNgxFXo/7DqWhI7AYiFGQu8NFNWkKIeTEiNnRM4Ghcbd90TgiTrZQLHw6y924Sk+ixndGisyChgGhEGsfDSpHK74mEqcrCt3W5EWNWDcXgOXHY/8ZHoOyZkgiu9nerNQomEGbCWlU+BVnPZ2OEy0RQ5J7kQ1iWfdP3Jkoa638mW4ZUPKLDR4MGzJsrY+AJ7qtn2h6mhqnUDL3hGOHfZM40WMaRfeKjpidANWaTJiByNp3wmW1+yHeX3snb8sxGCb2vLflbcA+09PMHJ9iYl2UmnFZwsWPKJHjaAtpn88kuZC4wbYRR+/sMZO19IGShT7t0k1VmaPYngJED2lcO0dIMY39bstc9vD40j0wrJlGa4xpVyM0YB+/LwDj08PAqGYQBQJI/16pP3B11yxF7E3OMtHAFMnVfuV1wy8LoIK7eI8DehafDa0grFsLv27b7MHX8d4N91qh8dGQp3Szvch6KkWwH77uoxJhSBH76Vqbql9vWACO1OyWeqvN9844RMx2RtoOpbUdhg7Ff8/uqBG9B9WGOCa41K+jP1mGi7SXpPKIG2hKFsR1NRB9gDOMXrFZunXoPXjCggvOXCNHUbsGIU4IdqUQGvi2oUL6BRvA+KmWXgDoqWtNT7V7e34CDJpZ8uL0hF1xq8pOjI+G1gF04BamAJ4obKA2FbLr5DiBeEnHk7sMTpx7Xb/VUtHBZNUtJK7IS4xCCy3HBLYoagXw2i0oYR6u3cir4OnKxOHQqIyliM6aY+4aVeDT9CCkTrIBd8300+FtFDalJini/vCQii0aJ9dXBhiyGaIa5wEpNaUgkmBK0VT18yYtmzuQCubc0aoh7AxyGwfASAFz7tpmmrj2TFDrg+2y0AUodNERtnj2uu8nhpDYYoy3BtGX16VVeoJewHzxlePou1p7fCF3YZy1kI2YBRnOf8btkL+6JiCgZjX8YGUkpQsDrg8huETU+yOZjFCp1DivmPjHHkf8RoTOwUYFj0U0vL/QHCc5BoY3sKaPiNFgxGVR25Ednwead67y9SjBKYxCfWtzn7xrEEWJpAcGkELoaqdk5KYH2R4SRa8uxH/ATEOBKKasc74TbCdenalZ7NYfrL9Wld8oSL6J1b9zTxdM5G0aQ5gPbwWv0muU3pBo2mheywdI0uRwjC3Tk/jmnPq5UHAwEVQrTwu3r0YKBKEZXn7bHUkI97dSto2RGeY/Sqa0ZmxqdMZmtqrN8lf7de79J1fBIWHsuuyLJXshyjOnfITXXMuKK4CLdMZxM1vGMIv3CvopgI=]]></t:sse>
</t:template>
</file>

<file path=customXml/item2.xml><?xml version="1.0" encoding="utf-8"?>
<sc:sections xmlns:sc="http://mapping.word.org/2014/section/customize"/>
</file>

<file path=customXml/item3.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邵辉</clcid-mr:GongSiFuZeRenXingMing>
  <clcid-mr:ZhuGuanKuaiJiGongZuoFuZeRenXingMing>王清国      </clcid-mr:ZhuGuanKuaiJiGongZuoFuZeRenXingMing>
  <clcid-mr:KuaiJiJiGouFuZeRenXingMing>黄磊</clcid-mr:KuaiJiJiGouFuZeRenXingMing>
  <clcid-cgi:GongSiFaDingZhongWenMingCheng>江苏紫金农村商业银行股份有限公司</clcid-cgi:GongSiFaDingZhongWenMingCheng>
  <clcid-cgi:GongSiFaDingDaiBiaoRen/>
  <clcid-pte:KuaiJiJiGouFuZeRen/>
  <clcid-ar:ShenJiYiJianLeiXing xmlns:clcid-ar="clcid-ar">带强调事项段、其他事项段或与持续经营相关的重大不确定性段的无保留意见</clcid-ar:ShenJiYiJianLeiXing>
  <clcid-ci-qr:DanWeiKouChuFeiJingChangXingSunYiXiangMuHeJinE>元</clcid-ci-qr:DanWeiKouChuFeiJingChangXingSunYiXiangMuHeJinE>
  <clcid-ci-qr:BiZhongKouChuFeiJingChangXingSunYiXiangMuHeJinE>人民币</clcid-ci-qr:BiZhongKouChuFeiJingChangXingSunYiXiangMuHeJinE>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DeShuoMingFeiJingChangXingSunYiXiangMu/>
</b:binding>
</file>

<file path=customXml/item4.xml><?xml version="1.0" encoding="utf-8"?>
<m:mapping xmlns:m="http://mapping.word.org/2012/mapping">
  <m:sm4><![CDATA[P9kyMiRXu1uGfvoE0pCPurE7zGDq42H1YcGl84u4JnjuA1p6zIQXFKIsE1uE/lwmXOVStRHHP49F+ItQ73Lkie8jdx+fm2gWQpEot+8eP+jlxD1XdJlm2x388859VIhhpp409XuoUPakq2OtV+c+WThxaqkzwBE+XodmhCAhcM+iqhyR4I6HhWxW7aRIe/IQP6tw2w7Ff36QB5Y1q140ggPswAkp5j/Tnxc2xURnpdVrGPeFNo8BuRU4KFDB5QJe5VHKncyvL/rOayMnXdDW/D/6AM3/ZUPWFEvyE6/QXzJIS4vtUwR8H+N5C873zjgrR8DsDPiY1kVnMcGvAqSwIbzL0eY5ZdowSh1Mp3hrg9dfkXVlb/NBcDMJ9GjzR4z1T0+iH3yXBTbMeSXmtsz3MnfTZlDVD7jJdoKgcZp1Zi0FYy4FKD5/zZ4fs6R2IcItkGrzHME+SekpJmT6Xug1QuzVxRYC+M+WHv93HB9MTJ9GBlgtdqpdk0NdSTeR1YfvznMCDJSNPjwif2lyPJ+00v6hNRHuHVhBwgNk1jzOOtKSe9EJKqsj6NK+JaYaHzikDNpqEid/nkK7egYM0VYpsKXW+tKxz4rZEq0S5hYxzE3BcIPidgOOIu12mPg9pQjcqtgyH7cVk4621h20dE5DgPwQ1P1xEKD7uMKWbw5xgm1Uh2fi3/GvWZPJT/qOxDTQX5smUZGpZgIrAP+uyfHV+bKDzg8v67ksNpD8zoBOwWOz+sfKo4uD5QYCMcuSKczB1gAk/NkErqBeOfoVVnfzAMgpN06VutEDwKEAyESzgESsLHJnP79nHsdEaU0X8T4iBfU8NSRXRAIL9V++Q5WvG6DYSur4XcvXQjrBBdMZ/UJjXn04SdroSTP0lUvwh9hwIyHmnI7Z0KwRg1NJQQ2oTQrYAgzt8RmCv1aNZif4KF1B9dJ1mLsXShJcn3K1YKzx1lUK4zfXZ5yllZSol8F6NuPuE+F1vHc70ZbHgN9H9JDzBcXEwX2V0Z2PVyNNaBcMSHgt105HDXC6jhOPgzbIQgmP/Vh+GRRf7WGuU9+Ehk36754hAz8t8xmCKwTp0E7yJqfdJqZsZX4M+6SEJb0Wv63dH767JgQhLwhkHsFIwx5/qVvBTf/MKO658+Glc4qjWOLurVMozbEPFJX1aRVbOSSpoNc2yJZfIJyFdzpDWP2XUcR3VSKRfOy44j3r+98uhSihWh1l9q9rTgpCKneQ77UHY6TEADZdQqn1TYTz7O8MmAvzt5PmjSeCk+LluwPWCvpAdLG6TTLv1+3lZ75dYdEKEBU2RsR8iPtgLDe1KbN4NUpjqK2bj49fYbq3pjK25xzNS4NM8BNj3IFwVPALCCzfm9+dZOWVSpno3jBug/Xrj2JFRpUANCeSQ/ewYCv56XJm6G2HgB5IzKyObKANn1veioJaWAzwVfi13ybfQW9d37hqzeBYTkysQ2oXTxHld3Xzi5/6zrNOBoC8k0fKbq5v8vk2WOTESJc8rfjhR/t3jZG1J7iO/pIxt8wM2QvhG7KGylmmph+TJSep8/o4jrHBnSpiTpYhDvTWG5WXzOsKCEIPnxeFAs3X628BDm4h0UTwxfdT+vGHXxlS4dsjIKKhti1vfK8x1qOdHd3xu9o8qOe0uj8MIxBBB88W80VGD4x2YlAnI9Tjd+C///YAjYCWxMCunqCtdXEMrrZvfvtHtJsXTj26zciHXTzmtzHClDjvVPIP8xRmn77IkFoXPtNvHf1C0hN0TuIAMHdAgIzoWPYgy95dPK+PMdkOL/lO+bYyLy+vZY2Y1BwS5DFhHgxG9r7Qx8LRXllBS0h7Lkv1vpim2FtI21ve33nESkTU2uQcYLc7WbgwxLzAR2ivWdZGq/ntOw7XJDNmATcGqm0qW7EnXS9zXRZ5KXyFV4xU3z+71r6iaqJFQMU+2BKYLThAnMUgcjaTc8NMXlB/NefMRKTg6JLAcGZEoIc3ezV76Wi6Dy5cIxby6aVvFyt2hgwLGVKxc+9+ShtyHUpHaP5JCFh95I3dHkzLt9XLxhRDMy4Gprv49j1VZGNugYLyMZ83SSXuzN29dP8yLqDIuMR6haPsKGhFAB9p447955IhZID090uZD6JnQjrBSOZ0VGB868x+pH/1486AlSj4qTL/0/v2YnToySqNvX9b5AVjNSN0HaFvRl4WpK0zGymQME0/qRAp1/CQKop9Qmd4SQgKYUPZvLenwM+DD2ZkhP5RHjnnqPXMgjeV1wj0ceWUhQ2TYbLD61wJvjLYAUhYEUnNyXMcWHZjhPWXLj0tyKCR8Pbgjpc+AuCTGqX3z3GgsJecdr3lRIhL0v6TZIjTeGZ8hK3OuYTb6ToW1Y/0BbxXUtmrp6qkgpHIt4dKvLls0Dy5k+8t81XUMRJkOTAWLeLII5yueESuHhXV6GdcW0Wa44e81bmj0+eQ5wDD7tiYmRobE9nhbhQd4GiDnKjSNCxhAnrg1O0NlIi3d27oSKahXDtvzTjzT4mXgbdLV3KzTb6XiOibnbN75hMWcg838qi5nCVufqxRAKabCREZSrCcTkh8H0/xmZs9OAnKZ7In8bBsQR6txS6X4nqW1XmdZQDmucc5ilaC+7hw/uwA43wGEvQChGoYITSzgTOkXAb1nX3tTeWrrW9oUwdqiOC3khGXU5Su7YJpbwYJ1ZNitf6mbq9GLGZ0fYJFAYx0qqeshQHvQZNwsQMH9yd+niR4RjSmlaLvu+MCphNu8p/f9p3nK5rOVZXo+OQ1YQN0AXIJFWqUhNrZ5G75/NzgU51l3otqHexz++wUfu2Cexrg15+5QaCidprFHEhpWGvb+GzCzwqTt5rQWr45nzqQfdbvY7wnYNgGQHrO30WugWeY7cJ0BAeFWvzPIBFm2iEiF3uX3XgFg6KRwsBwjEEVY+JSzm9pBDluQgs/rNwSZvqffK1hT672DZtV2/MBonE0HDi+EuV8HDBc27Pfuc8AXO6zIrOqeDu5J53kvJkjHzzI9ACZCb0MZzv7j/U1OcuqgAB6bp25PbdjQNBQl4tQXCIPKbcpepwpgUXYuS0GPauWXvHQclR8a/UtCdQebFeEGOfjQvJZd4jZksdi59mbyCAKiinzVgkWkbS68g5wWQ6ad9o4n0dhEZ4/lt0pxKaNKQmBCXybCiM3MbcbaYeC4v1o9Vr2wxGs/k58nyfB76OmLj0LBT2HdtmhAPYoYOryg1Ket8AdxwZnwBCLuKxcG1wrnZQXOdH1its0PhBD5KzsXB9gjdt5dDKv5PpzoXIza8Ou9eoXXjRUb+XaDDzM7GxU3vE3GlHltrCvfEpqGTHUuxtGMuH8TkS2H7i/3q9fiVraL37a1qTBKEitiBGjyCKwBI6QI4yIuqpBaKkEm4+24wGrcNZxWvtmntV927Z1qpcH1NFcYLHYBgvh8Ff0Q6Hl3wLVEdwvTHS6gZ/A0uqpL1AlofIsvRhFpbtsU4NS9nBv15T58zhTXZKQbFEyN5qd48VKhgUVQ5YSz7VyPTpZ4sI5lNSMoRhnGx3Rd3r/b0MO3nXqIlS1FZqY7brstDM6AlvvfFYu1Bg2iFObUdM5i2GPiCxj1XFhf7ntRUZPow8xCn2QEJNsaUkS99a3fDTgzTs38+4ji6gLnYuvyVF5BNEN4g5vEaIsS5f1QvGY+mjcNBPswAymMvRXf0mkAPVahwDZuKKEMsGJLzinhSeJyUSHnx6zN05wXaHvmoVO39EDnecLvO+uQ9YDnacxvMDz5qkDBQG4vItQGSXhRlU1MO7NIhZj83UAQK6QxqI+pPmB5PArEXGyAUNlZX4rpN8uXgLowk2+z/b6FSFHOoLhswUXWjixusm1/fPgGI7IVsbWjeeolQK/DHYEXq5s1XTLuTjYvMUgfYVOnI1/9P3pkEtQOjDDS8L97zQO0pfh1rwBTC6fxAzwl8cZhsl3BE5w+AAvwuQsxNB6kGL+237GlsSwibnsdX1dweHXl5EAn16O5cNQgAjZz36sxFMx8jRrC3zU58zMqdMkAYaomjepRgMSkAEMi24xAwA4uS5uk8dNc/jCd87m9K62SxBZIY6RVjKI9PosL1qfyPYdnm0OJKLWUUv843dVzq8t44XrWUkGfZKOFb0VRTeKUPuN3k08u3xYK02sDYk+CuEbXnR61hEag4AiPE6TK8ofJKi2yK+C31mHeaeCz8S2NG6kBjfAHrpDelkgQforThDyaOe1zGc1yhJUFWv2awUpS+FEyaNztrr5wkQFQi/XFaoAF1D6Ku/U6jVRKbkQXvgDenxXwRir+EpDcaTmTDBuNDNle78pb3XYew7gLRE4/BEjM7BphmxPPPVaDrnVJQpMfmBrw0mHojH8tX8IFotmh9rIMpdpASFwVdx62LH7OMNYOPkU7/32hjKbD2Uo7eSjGjQDd8GTtV/fymbUHKeu48tUgKCz4Vmi06KFAJ1+qGgl/z/hN22OLgFrv29yipQGblDdvne7pu1fOMc4yH3+jfI5fPz/LMyiX4xjTzqoXxVSlbsI3Zd9CkxbJCgmjPnJ6PkFV91RSkUZjXLzRSe2FKIHOKc4qq1oMhXjd9xC38cwyZa7EoSo2P1V2Q+7Sghm299QITQ66MxC/SLMqe/kr5OeP01y7cWeM5eANXMKKkT9F0uOSPkSDNe9uAhSkzAB1BXmIxmH3piplbS6DMt9uh/U9x6YuXkrCZ80R3DkklUy0PzJmHCBDBquSRGZBIAIorkJPxdG6ptc9mYCCkW+2jGmf6gE8F9qjDeUY/yX5bcYn5areaKapiQCRqDQTVwzLTITQ7sxkXxctze45MV+m5CN8mQj9gc31puTPIaVxeZQfTVLIdoAIrjZYVMZKKWRp8sMebpJO2DFEkaSt7LtQ80CMJGfBMPZedmQBeyFpEaWgUSyD/upFX7holKlV6Q2f8PGcsZnX3OPgEVIbxJqmpoJkXTGkMyRvSb0kxE4ohKQzMQqJfiouorZGzMAaMLsyS6LRg6WkrOeyHPw0GbtsP9QIdyFvm4QgBljT+zUyx1hyQteu1uoPuPwjllNsihffcg6NPYViuQvP7sFUG/KgeYMi3UL6lyRDLFBg9HxLxYno6KZzqcQhkaUS7OJfD6L/W+ObIzGxfqvxP228tDWnC4/jLv+DyUblMaMBA8cYdt/rpzavaT9KsswAGJhQKWIrREOXKVzUFeAG0tITd/FMMakR5DfP2Hucx7oEgoU+Dk99vrdZ6KOha6/wUDQ4xZ3n2yr3L+yk3CTU4hcbIUyClszcdSj5J4ZcUJoN8QYYjIsBqQAqDv9gBUhIRFacbFu68TGckuPCNGSeBR0KSm4aVSuehuGLZ59XVQAGAp5rU+hCTHQjPHi4p5jZonnqbkM+vAHQPMEu94YGheJuyiUGW0Ur+Px8hkvNmgYZaBgSAgZhmWC4064dC8GPLVb3nOkBiEClNSKnEH1K+JAhyO1umBq7lgjAnlFW2DPmPPuao3ByTmY0armbqWDstsQ3E7IgzCXA8VGJW04mh79fpCB4Cch/gTqqVCOHiDcwaI8QhMsgJvulb8a0bBVTpwZn3CDxn0heGsjrE/3FE2OT8wkQt5w6k99SGL3TZFJK6YdP1OVGMFN/wgZOODGI0H7unHxdl6dsiLB6Ze1r1ofFaRack5k9qc/k5k0RvaGWM0pTS0U06QJWhHbID/K5d4AAoGo9nFSz0DYHiabKiYO2i0A7rqGm9USzBQQ0XkeAoiT+eLOm72QjvvRz+B+20E+zrtg9H3IZgD/Mt2rbpYxXErtT+VAkXRqppwwkJwn1tEKpj2/Y9tMgRLEz45Lm7xn8XG7r0/huaHvwiv2FXAJFXu4CommJVMV43NxpfqGrpqYFmUPW+qmGpKbnTUlymQBcF6C9PWfYKGTVo8Az9hTsJSx3UHCoPDn9+n5Ndde8wKswuRpqWupDEX+WQirVykuDcdWRgatxlbk911Rp0zaacOlwQLjemhK+ep+/sTJ0lbT8//7T1C4U4GLTlPVLshztf4cnNLeVmPXkGejDoqpSskXduf3xlT/xOVtTQ2KYzAusRkcYXTXvADc73qp5Srnw6Jm5VhysuDobQxo0ft35topyxAPIjD/3NZAus+f42TL72KA6jEogQMxSY2Dq0hAWUdUziEkxsOvHszenGaL4y9dulXkclKJ6UcxSzJhBy3lEGDIK0ejAjIsZ8F0WuPO2JrbMcThxmCB8JNisKV5NyrXEiKiYpjyw4wPLP8qmWND5z+qdY1h4DbSaT+9Fwz0Rc+pVkOvPYMIKKnI9c2ih+xJM8vDErXe3QW25oCJMwDEZ0H2ipcWJkI8mi7Y054oMTWg1LMSke7AEApyzyHMlDZWyoN9LuT8xcGZc3knG6MJ265fJqWQ7o+4UAtq4XdcKm/vfnlftBQfUt7LwW2GXxrIyQs9JYdQ85oXlblBmeS5sefjBQiHpcF01UnT4bvg0geVsOSEhOYmTMVyCSEjqAHO+iTgBLYEHToYq03blPxqCwgvWdqulYPX0VrJEqJTnNQg+RzuLGcL20H3qAKfucAqJ40pgFh9PyUPTm0JkdjwvE2nEkzrXEMkbIPtDz34BuafylOKMUJ4D213nTPkyaFqrfs92/cOeLvBqlZ7+WIDwBnWw9WgcORRspusstid2zJPXSt6Sn/60rBbtQ2IEwrsY7CJJZdtelN6hji4MTHy9IlBCBwhWJmlK2EB+679IngFN64N2MrwdaSJsbcWfXxXWLT/2PdGxbidhCKiwQ6Hm8lJdyyodvqVKmY1H1Tf6GHW4tUk+nU9aOymHEj6CwQvx7igyxDfedAcGiz/zuFZCu8ubuqWtICvPNYzKmQxzAGYFSz+XLDhpaRTs8VHVbbAcBd64o/QtMh5cbmoLSLYpYMWkG4CTiOl2yQDNDBOZA88DUPKIxsA2GhL4AdM7OI713LBCPdIFsNsv09OxXEEycrwSbkdwi4jF/NhKDTir4rvqVYqi73KMxv8/5ZOKFmPYR7WHkUAu8S2mH1YM8CelIKTJGj6R4pVg+imXcdIN0W1PJsmlwxi4a+4YhcVUEgsdUd/J5eq2qjJ+4aVZjRYGrYj3HGJMWOIoz/c7gdrpdqSf4A4pm2SKI9tEbi9KRyeh+agTtmj8sqEhBatD+oCU8jOJBe/oTDpLHBLHtXRDjm8scn+JpusER3kfWQjNPXy+WMZeMktc09XAexxDYgXU2fdmjPdlu5hdyk10xaf2qiheeMxoNezFlngKZv/vsrFyJDckD3NNcUl6GTHK5cvT4OH9zWX1MpqRh9AgTIzQkGbZ1KRggGhK2sn2ZzvWPAmaQqCaFfFf9jJ06f1Ek2bNJXxPi3u+I0MVChBOzQu1ho5kQlneB0P/V3FEhgaiCeuMz5F4ZaZDxJtKL4lu5T59liWQ4/g/+QCCA2kqzNT9nttwgTR9p5OQqdPqaTU5zy/zueA0EhmiC89ZyNOyIVNEcJ3XOgUvEg2k30IrpCHkGvc+PDPytTU7E5Nxwf6uZypqHIXf75paFB41lJ5J440inUDQxgEnZzFDp6MjEdDnLY3qi4uOI1rnObyQKGH0drHAWu9L0tKOgB5P0VGPs/2bA51kcAXQVUJd7HNaOtGRj6YN6o1aqsU5s1i+gTvsqObnNM6t4IdrUsSVaE75CmzDNcDFaJPal3eCxJQZCLrHuGq3DcILCPBLI//wFgOnN5cnC5nFY6q4jVRlA8blsHh9StEZ3i6+/ies/7dbShq/CNILRG2KgnqAgPdfCUAQdb4osD2HH/fEnl2X/gv4JUNXgPcZncpIzg=]]></m:sm4>
</m:mapping>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51DBC-C2B6-4CF8-BEC1-32E56F355B40}">
  <ds:schemaRefs/>
</ds:datastoreItem>
</file>

<file path=customXml/itemProps2.xml><?xml version="1.0" encoding="utf-8"?>
<ds:datastoreItem xmlns:ds="http://schemas.openxmlformats.org/officeDocument/2006/customXml" ds:itemID="{7C75BD2A-030F-4326-BAA7-99C21004B0A0}">
  <ds:schemaRefs/>
</ds:datastoreItem>
</file>

<file path=customXml/itemProps3.xml><?xml version="1.0" encoding="utf-8"?>
<ds:datastoreItem xmlns:ds="http://schemas.openxmlformats.org/officeDocument/2006/customXml" ds:itemID="{42DEBF9A-6816-48AE-BADD-E3125C474CD9}">
  <ds:schemaRefs/>
</ds:datastoreItem>
</file>

<file path=customXml/itemProps4.xml><?xml version="1.0" encoding="utf-8"?>
<ds:datastoreItem xmlns:ds="http://schemas.openxmlformats.org/officeDocument/2006/customXml" ds:itemID="{478DE9FD-6687-4EDB-A4D7-8FA1A99AEC5F}">
  <ds:schemaRefs/>
</ds:datastoreItem>
</file>

<file path=customXml/itemProps5.xml><?xml version="1.0" encoding="utf-8"?>
<ds:datastoreItem xmlns:ds="http://schemas.openxmlformats.org/officeDocument/2006/customXml" ds:itemID="{0566243E-C413-4A4D-A7A3-D34F576A19C0}">
  <ds:schemaRefs/>
</ds:datastoreItem>
</file>

<file path=docProps/app.xml><?xml version="1.0" encoding="utf-8"?>
<Properties xmlns="http://schemas.openxmlformats.org/officeDocument/2006/extended-properties" xmlns:vt="http://schemas.openxmlformats.org/officeDocument/2006/docPropsVTypes">
  <Template>SSEReport.dotm</Template>
  <Company>微软中国</Company>
  <Pages>11</Pages>
  <Words>1524</Words>
  <Characters>8687</Characters>
  <Lines>72</Lines>
  <Paragraphs>20</Paragraphs>
  <TotalTime>3</TotalTime>
  <ScaleCrop>false</ScaleCrop>
  <LinksUpToDate>false</LinksUpToDate>
  <CharactersWithSpaces>10191</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2026-10-13T08:01:00Z</dcterms:created>
  <dc:creator>k</dc:creator>
  <cp:lastModifiedBy>Administrator</cp:lastModifiedBy>
  <dcterms:modified xsi:type="dcterms:W3CDTF">2026-10-27T01:34:35Z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eyJoZGlkIjoiYWEyMzEyZjZhMzcxZjhlYzIwMDU2ZWYxYzU4NTZkM2YiLCJ1c2VySWQiOiIxMjMxNDkzNDE3In0=</vt:lpwstr>
  </property>
  <property fmtid="{D5CDD505-2E9C-101B-9397-08002B2CF9AE}" pid="3" name="KSOProductBuildVer">
    <vt:lpwstr>2052-11.8.2.11813</vt:lpwstr>
  </property>
  <property fmtid="{D5CDD505-2E9C-101B-9397-08002B2CF9AE}" pid="4" name="ICV">
    <vt:lpwstr>61BEF6C1FAAC4F4C8FCD9F454C7BCAA8</vt:lpwstr>
  </property>
</Properties>
</file>