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紫金农商银行2026年三季度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关联交易专项报告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本行根据《银行保险机构关联交易管理办法》和本行《关联交易管理办法》的相关规定，依法合规开展关联交易，现将2026年三季度末关联交易的具体情况披露如下：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一、授信类关联交易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截至2026年三季度末，本行与关联方发生的授信类关联交易净额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70.58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亿元，占资本净额的27.95%，均符合监管规定。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二、资产转移类关联交易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2026年三季度，本行与关联方发生的资产转移类关联交易金额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10.94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亿元，符合监管规定。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三、服务类关联交易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2026年三季度，本行与关联方发生的服务类关联交易金额</w:t>
      </w:r>
      <w:r>
        <w:rPr>
          <w:rFonts w:hint="eastAsia" w:ascii="仿宋_GB2312" w:hAnsi="宋体" w:eastAsia="仿宋_GB2312"/>
          <w:sz w:val="32"/>
          <w:szCs w:val="32"/>
        </w:rPr>
        <w:t>0.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亿元，符合监管规定。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四、存款和其他类型关联交易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2026年三季度，本行与关联方发生的存款类关联交易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3.33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亿元，其他类关联交易</w:t>
      </w:r>
      <w:r>
        <w:rPr>
          <w:rFonts w:hint="eastAsia" w:ascii="仿宋_GB2312" w:hAnsi="宋体" w:eastAsia="仿宋_GB2312"/>
          <w:sz w:val="32"/>
          <w:szCs w:val="32"/>
        </w:rPr>
        <w:t>0.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亿元。均符合监管规定。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江苏紫金农村商业银行股份有限公司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2026年10月29日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A3DE7"/>
    <w:rsid w:val="007C0C3E"/>
    <w:rsid w:val="088A7CE8"/>
    <w:rsid w:val="0C05784B"/>
    <w:rsid w:val="0FB62F8C"/>
    <w:rsid w:val="116577BB"/>
    <w:rsid w:val="15AC1D9E"/>
    <w:rsid w:val="20282F3B"/>
    <w:rsid w:val="266A5F61"/>
    <w:rsid w:val="3A8C2B82"/>
    <w:rsid w:val="3F5F1F2E"/>
    <w:rsid w:val="484418FD"/>
    <w:rsid w:val="5795565B"/>
    <w:rsid w:val="5CB852C5"/>
    <w:rsid w:val="64EC1599"/>
    <w:rsid w:val="691A3DE7"/>
    <w:rsid w:val="6A1C2111"/>
    <w:rsid w:val="6EAE26B0"/>
    <w:rsid w:val="7731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2025-04-23T10:08:00Z</dcterms:created>
  <dc:creator>夏</dc:creator>
  <cp:lastModifiedBy>葛伶燕</cp:lastModifiedBy>
  <dcterms:modified xsi:type="dcterms:W3CDTF">2026-10-28T06:18:11Z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BC6B4D4A8CD14B1BB9D39AE53E170C9E_13</vt:lpwstr>
  </property>
</Properties>
</file>