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FEB04">
      <w:pPr>
        <w:spacing w:line="360" w:lineRule="auto"/>
        <w:rPr>
          <w:rFonts w:hint="default" w:ascii="Times New Roman" w:hAnsi="Times New Roman" w:eastAsia="宋体"/>
          <w:sz w:val="24"/>
          <w:lang w:val="en-US" w:eastAsia="zh-CN"/>
        </w:rPr>
      </w:pPr>
      <w:r>
        <w:rPr>
          <w:rFonts w:hint="eastAsia" w:ascii="Times New Roman" w:hAnsi="Times New Roman" w:eastAsia="宋体"/>
          <w:sz w:val="24"/>
        </w:rPr>
        <w:t>证券代码：6</w:t>
      </w:r>
      <w:r>
        <w:rPr>
          <w:rFonts w:ascii="Times New Roman" w:hAnsi="Times New Roman" w:eastAsia="宋体"/>
          <w:sz w:val="24"/>
        </w:rPr>
        <w:t xml:space="preserve">01860     </w:t>
      </w:r>
      <w:r>
        <w:rPr>
          <w:rFonts w:hint="eastAsia" w:ascii="Times New Roman" w:hAnsi="Times New Roman" w:eastAsia="宋体"/>
          <w:sz w:val="24"/>
        </w:rPr>
        <w:t xml:space="preserve">证券简称：紫金银行 </w:t>
      </w:r>
      <w:r>
        <w:rPr>
          <w:rFonts w:ascii="Times New Roman" w:hAnsi="Times New Roman" w:eastAsia="宋体"/>
          <w:sz w:val="24"/>
        </w:rPr>
        <w:t xml:space="preserve">         </w:t>
      </w:r>
      <w:r>
        <w:rPr>
          <w:rFonts w:hint="eastAsia" w:ascii="Times New Roman" w:hAnsi="Times New Roman" w:eastAsia="宋体"/>
          <w:sz w:val="24"/>
        </w:rPr>
        <w:t>公告编号：2</w:t>
      </w:r>
      <w:r>
        <w:rPr>
          <w:rFonts w:ascii="Times New Roman" w:hAnsi="Times New Roman" w:eastAsia="宋体"/>
          <w:sz w:val="24"/>
        </w:rPr>
        <w:t>0</w:t>
      </w:r>
      <w:r>
        <w:rPr>
          <w:rFonts w:hint="eastAsia" w:ascii="Times New Roman" w:hAnsi="Times New Roman" w:eastAsia="宋体"/>
          <w:sz w:val="24"/>
          <w:lang w:val="en-US" w:eastAsia="zh-CN"/>
        </w:rPr>
        <w:t>26</w:t>
      </w:r>
      <w:r>
        <w:rPr>
          <w:rFonts w:hint="eastAsia" w:ascii="Times New Roman" w:hAnsi="Times New Roman" w:eastAsia="宋体"/>
          <w:sz w:val="24"/>
        </w:rPr>
        <w:t>-0</w:t>
      </w:r>
      <w:r>
        <w:rPr>
          <w:rFonts w:hint="eastAsia" w:ascii="Times New Roman" w:hAnsi="Times New Roman" w:eastAsia="宋体"/>
          <w:sz w:val="24"/>
          <w:lang w:val="en-US" w:eastAsia="zh-CN"/>
        </w:rPr>
        <w:t>21</w:t>
      </w:r>
    </w:p>
    <w:p w14:paraId="07F0CD83">
      <w:pPr>
        <w:spacing w:line="360" w:lineRule="auto"/>
        <w:rPr>
          <w:rFonts w:ascii="Times New Roman" w:hAnsi="Times New Roman" w:eastAsia="宋体"/>
          <w:sz w:val="24"/>
        </w:rPr>
      </w:pPr>
      <w:r>
        <w:rPr>
          <w:rFonts w:hint="eastAsia" w:ascii="Times New Roman" w:hAnsi="Times New Roman" w:eastAsia="宋体"/>
          <w:sz w:val="24"/>
        </w:rPr>
        <w:t>转债代码：1</w:t>
      </w:r>
      <w:r>
        <w:rPr>
          <w:rFonts w:ascii="Times New Roman" w:hAnsi="Times New Roman" w:eastAsia="宋体"/>
          <w:sz w:val="24"/>
        </w:rPr>
        <w:t>13037</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转债简称：紫银转债</w:t>
      </w:r>
    </w:p>
    <w:p w14:paraId="43431218">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jc w:val="center"/>
        <w:textAlignment w:val="auto"/>
        <w:rPr>
          <w:rFonts w:ascii="黑体" w:hAnsi="黑体" w:eastAsia="黑体"/>
          <w:b/>
          <w:color w:val="FF0000"/>
          <w:sz w:val="32"/>
          <w:szCs w:val="44"/>
        </w:rPr>
      </w:pPr>
      <w:bookmarkStart w:id="0" w:name="_Hlk60848199"/>
      <w:r>
        <w:rPr>
          <w:rFonts w:ascii="黑体" w:hAnsi="黑体" w:eastAsia="黑体"/>
          <w:b/>
          <w:color w:val="FF0000"/>
          <w:sz w:val="32"/>
          <w:szCs w:val="44"/>
        </w:rPr>
        <w:t>江苏紫金农村商业银行股份有限公司</w:t>
      </w:r>
      <w:bookmarkEnd w:id="0"/>
    </w:p>
    <w:p w14:paraId="251179D3">
      <w:pPr>
        <w:keepNext w:val="0"/>
        <w:keepLines w:val="0"/>
        <w:pageBreakBefore w:val="0"/>
        <w:widowControl w:val="0"/>
        <w:kinsoku/>
        <w:wordWrap/>
        <w:overflowPunct/>
        <w:topLinePunct w:val="0"/>
        <w:autoSpaceDE/>
        <w:autoSpaceDN/>
        <w:bidi w:val="0"/>
        <w:adjustRightInd w:val="0"/>
        <w:snapToGrid w:val="0"/>
        <w:spacing w:after="313" w:line="240" w:lineRule="auto"/>
        <w:jc w:val="center"/>
        <w:textAlignment w:val="auto"/>
        <w:rPr>
          <w:sz w:val="16"/>
        </w:rPr>
      </w:pPr>
      <w:r>
        <w:rPr>
          <w:rFonts w:hint="eastAsia" w:ascii="黑体" w:hAnsi="黑体" w:eastAsia="黑体"/>
          <w:b/>
          <w:color w:val="FF0000"/>
          <w:sz w:val="32"/>
          <w:szCs w:val="44"/>
        </w:rPr>
        <w:t>关于</w:t>
      </w:r>
      <w:r>
        <w:rPr>
          <w:rFonts w:ascii="黑体" w:hAnsi="黑体" w:eastAsia="黑体"/>
          <w:b/>
          <w:color w:val="FF0000"/>
          <w:sz w:val="32"/>
          <w:szCs w:val="44"/>
        </w:rPr>
        <w:t>A股可转换公司债券202</w:t>
      </w:r>
      <w:r>
        <w:rPr>
          <w:rFonts w:hint="eastAsia" w:ascii="黑体" w:hAnsi="黑体" w:eastAsia="黑体"/>
          <w:b/>
          <w:color w:val="FF0000"/>
          <w:sz w:val="32"/>
          <w:szCs w:val="44"/>
          <w:lang w:val="en-US" w:eastAsia="zh-CN"/>
        </w:rPr>
        <w:t>6</w:t>
      </w:r>
      <w:r>
        <w:rPr>
          <w:rFonts w:ascii="黑体" w:hAnsi="黑体" w:eastAsia="黑体"/>
          <w:b/>
          <w:color w:val="FF0000"/>
          <w:sz w:val="32"/>
          <w:szCs w:val="44"/>
        </w:rPr>
        <w:t>年跟踪评级结果的公告</w:t>
      </w:r>
    </w:p>
    <w:p w14:paraId="62DF2202">
      <w:pPr>
        <w:pBdr>
          <w:top w:val="single" w:color="000000" w:sz="4" w:space="0"/>
          <w:left w:val="single" w:color="000000" w:sz="4" w:space="0"/>
          <w:bottom w:val="single" w:color="000000" w:sz="4" w:space="0"/>
          <w:right w:val="single" w:color="000000" w:sz="4" w:space="0"/>
        </w:pBdr>
        <w:spacing w:before="156" w:beforeLines="50" w:after="156" w:afterLines="50" w:line="360" w:lineRule="auto"/>
        <w:ind w:firstLine="480" w:firstLineChars="200"/>
        <w:rPr>
          <w:rFonts w:ascii="宋体" w:hAnsi="宋体" w:eastAsia="宋体"/>
          <w:sz w:val="24"/>
          <w:szCs w:val="24"/>
        </w:rPr>
      </w:pPr>
      <w:r>
        <w:rPr>
          <w:rFonts w:ascii="宋体" w:hAnsi="宋体" w:eastAsia="宋体"/>
          <w:sz w:val="24"/>
          <w:szCs w:val="24"/>
        </w:rPr>
        <w:t>本公司董事会及全体董事保证本公告内容不存在任何虚假记载、误导性陈述或者重大遗漏，并对其内容的真实性、准确性和完整性承担个别及连带责任。</w:t>
      </w:r>
    </w:p>
    <w:p w14:paraId="0A08C9E7">
      <w:pPr>
        <w:spacing w:before="156" w:beforeLines="50" w:after="156" w:afterLines="50"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重要内容提示：</w:t>
      </w:r>
    </w:p>
    <w:p w14:paraId="501B4651">
      <w:pPr>
        <w:pStyle w:val="17"/>
        <w:widowControl/>
        <w:numPr>
          <w:ilvl w:val="0"/>
          <w:numId w:val="1"/>
        </w:numPr>
        <w:spacing w:before="156" w:beforeLines="50" w:after="156" w:afterLines="50" w:line="360" w:lineRule="auto"/>
        <w:ind w:firstLineChars="0"/>
        <w:rPr>
          <w:rFonts w:ascii="Times New Roman" w:hAnsi="Times New Roman" w:eastAsia="宋体"/>
          <w:sz w:val="24"/>
        </w:rPr>
      </w:pPr>
      <w:r>
        <w:rPr>
          <w:rFonts w:ascii="Times New Roman" w:hAnsi="Times New Roman" w:eastAsia="宋体"/>
          <w:sz w:val="24"/>
        </w:rPr>
        <w:t>前次债项评级：</w:t>
      </w:r>
      <w:r>
        <w:rPr>
          <w:rFonts w:hint="eastAsia" w:ascii="Times New Roman" w:hAnsi="Times New Roman" w:eastAsia="宋体"/>
          <w:sz w:val="24"/>
        </w:rPr>
        <w:t>“</w:t>
      </w:r>
      <w:r>
        <w:rPr>
          <w:rFonts w:ascii="Times New Roman" w:hAnsi="Times New Roman" w:eastAsia="宋体"/>
          <w:sz w:val="24"/>
        </w:rPr>
        <w:t>AA+</w:t>
      </w:r>
      <w:r>
        <w:rPr>
          <w:rFonts w:hint="eastAsia" w:ascii="Times New Roman" w:hAnsi="Times New Roman" w:eastAsia="宋体"/>
          <w:sz w:val="24"/>
        </w:rPr>
        <w:t>”</w:t>
      </w:r>
      <w:r>
        <w:rPr>
          <w:rFonts w:ascii="Times New Roman" w:hAnsi="Times New Roman" w:eastAsia="宋体"/>
          <w:sz w:val="24"/>
        </w:rPr>
        <w:t>，主体评级：</w:t>
      </w:r>
      <w:r>
        <w:rPr>
          <w:rFonts w:hint="eastAsia" w:ascii="Times New Roman" w:hAnsi="Times New Roman" w:eastAsia="宋体"/>
          <w:sz w:val="24"/>
        </w:rPr>
        <w:t>“</w:t>
      </w:r>
      <w:r>
        <w:rPr>
          <w:rFonts w:ascii="Times New Roman" w:hAnsi="Times New Roman" w:eastAsia="宋体"/>
          <w:sz w:val="24"/>
        </w:rPr>
        <w:t>AA+</w:t>
      </w:r>
      <w:r>
        <w:rPr>
          <w:rFonts w:hint="eastAsia" w:ascii="Times New Roman" w:hAnsi="Times New Roman" w:eastAsia="宋体"/>
          <w:sz w:val="24"/>
        </w:rPr>
        <w:t>”</w:t>
      </w:r>
      <w:r>
        <w:rPr>
          <w:rFonts w:ascii="Times New Roman" w:hAnsi="Times New Roman" w:eastAsia="宋体"/>
          <w:sz w:val="24"/>
        </w:rPr>
        <w:t>，评级展望：稳定</w:t>
      </w:r>
    </w:p>
    <w:p w14:paraId="76117B3A">
      <w:pPr>
        <w:pStyle w:val="17"/>
        <w:widowControl/>
        <w:numPr>
          <w:ilvl w:val="0"/>
          <w:numId w:val="1"/>
        </w:numPr>
        <w:spacing w:before="156" w:beforeLines="50" w:after="156" w:afterLines="50" w:line="360" w:lineRule="auto"/>
        <w:ind w:firstLineChars="0"/>
        <w:rPr>
          <w:rFonts w:ascii="Times New Roman" w:hAnsi="Times New Roman" w:eastAsia="宋体"/>
          <w:sz w:val="24"/>
        </w:rPr>
      </w:pPr>
      <w:r>
        <w:rPr>
          <w:rFonts w:ascii="Times New Roman" w:hAnsi="Times New Roman" w:eastAsia="宋体"/>
          <w:sz w:val="24"/>
        </w:rPr>
        <w:t>本次债项评级：</w:t>
      </w:r>
      <w:r>
        <w:rPr>
          <w:rFonts w:hint="eastAsia" w:ascii="Times New Roman" w:hAnsi="Times New Roman" w:eastAsia="宋体"/>
          <w:sz w:val="24"/>
        </w:rPr>
        <w:t>“</w:t>
      </w:r>
      <w:r>
        <w:rPr>
          <w:rFonts w:ascii="Times New Roman" w:hAnsi="Times New Roman" w:eastAsia="宋体"/>
          <w:sz w:val="24"/>
        </w:rPr>
        <w:t>AA+</w:t>
      </w:r>
      <w:r>
        <w:rPr>
          <w:rFonts w:hint="eastAsia" w:ascii="Times New Roman" w:hAnsi="Times New Roman" w:eastAsia="宋体"/>
          <w:sz w:val="24"/>
        </w:rPr>
        <w:t>”</w:t>
      </w:r>
      <w:r>
        <w:rPr>
          <w:rFonts w:ascii="Times New Roman" w:hAnsi="Times New Roman" w:eastAsia="宋体"/>
          <w:sz w:val="24"/>
        </w:rPr>
        <w:t>，主体评级：</w:t>
      </w:r>
      <w:r>
        <w:rPr>
          <w:rFonts w:hint="eastAsia" w:ascii="Times New Roman" w:hAnsi="Times New Roman" w:eastAsia="宋体"/>
          <w:sz w:val="24"/>
        </w:rPr>
        <w:t>“</w:t>
      </w:r>
      <w:r>
        <w:rPr>
          <w:rFonts w:ascii="Times New Roman" w:hAnsi="Times New Roman" w:eastAsia="宋体"/>
          <w:sz w:val="24"/>
        </w:rPr>
        <w:t>AA+</w:t>
      </w:r>
      <w:r>
        <w:rPr>
          <w:rFonts w:hint="eastAsia" w:ascii="Times New Roman" w:hAnsi="Times New Roman" w:eastAsia="宋体"/>
          <w:sz w:val="24"/>
        </w:rPr>
        <w:t>”</w:t>
      </w:r>
      <w:r>
        <w:rPr>
          <w:rFonts w:ascii="Times New Roman" w:hAnsi="Times New Roman" w:eastAsia="宋体"/>
          <w:sz w:val="24"/>
        </w:rPr>
        <w:t>，评级展望：稳定</w:t>
      </w:r>
    </w:p>
    <w:p w14:paraId="615A68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rPr>
      </w:pPr>
      <w:r>
        <w:rPr>
          <w:rFonts w:hint="eastAsia" w:ascii="Times New Roman" w:hAnsi="Times New Roman" w:eastAsia="宋体"/>
          <w:sz w:val="24"/>
        </w:rPr>
        <w:t>根据中国证券监督管理委员会《上市公司证券发行</w:t>
      </w:r>
      <w:r>
        <w:rPr>
          <w:rFonts w:hint="eastAsia" w:ascii="Times New Roman" w:hAnsi="Times New Roman" w:eastAsia="宋体"/>
          <w:sz w:val="24"/>
          <w:lang w:eastAsia="zh-CN"/>
        </w:rPr>
        <w:t>注册</w:t>
      </w:r>
      <w:r>
        <w:rPr>
          <w:rFonts w:hint="eastAsia" w:ascii="Times New Roman" w:hAnsi="Times New Roman" w:eastAsia="宋体"/>
          <w:sz w:val="24"/>
        </w:rPr>
        <w:t>管理办法》等有关规定，江苏紫金农村商业银行股份有限公司（以下简称“公司”）委托联合资信评估股份有限公司对公司已发行的</w:t>
      </w:r>
      <w:r>
        <w:rPr>
          <w:rFonts w:ascii="Times New Roman" w:hAnsi="Times New Roman" w:eastAsia="宋体"/>
          <w:sz w:val="24"/>
        </w:rPr>
        <w:t xml:space="preserve"> A 股可转换公司债券（债券简称</w:t>
      </w:r>
      <w:r>
        <w:rPr>
          <w:rFonts w:hint="eastAsia" w:ascii="Times New Roman" w:hAnsi="Times New Roman" w:eastAsia="宋体"/>
          <w:sz w:val="24"/>
          <w:lang w:eastAsia="zh-CN"/>
        </w:rPr>
        <w:t>“紫银转债”</w:t>
      </w:r>
      <w:r>
        <w:rPr>
          <w:rFonts w:ascii="Times New Roman" w:hAnsi="Times New Roman" w:eastAsia="宋体"/>
          <w:sz w:val="24"/>
        </w:rPr>
        <w:t>，代码：113037）进行了跟踪评级。</w:t>
      </w:r>
    </w:p>
    <w:p w14:paraId="776C5F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rPr>
      </w:pPr>
      <w:r>
        <w:rPr>
          <w:rFonts w:hint="eastAsia" w:ascii="Times New Roman" w:hAnsi="Times New Roman" w:eastAsia="宋体"/>
          <w:sz w:val="24"/>
        </w:rPr>
        <w:t>公司前次主体信用评级结果为“</w:t>
      </w:r>
      <w:r>
        <w:rPr>
          <w:rFonts w:ascii="Times New Roman" w:hAnsi="Times New Roman" w:eastAsia="宋体"/>
          <w:sz w:val="24"/>
        </w:rPr>
        <w:t>AA+</w:t>
      </w:r>
      <w:r>
        <w:rPr>
          <w:rFonts w:hint="eastAsia" w:ascii="Times New Roman" w:hAnsi="Times New Roman" w:eastAsia="宋体"/>
          <w:sz w:val="24"/>
          <w:lang w:eastAsia="zh-CN"/>
        </w:rPr>
        <w:t>”；</w:t>
      </w:r>
      <w:r>
        <w:rPr>
          <w:rFonts w:hint="eastAsia" w:ascii="Times New Roman" w:hAnsi="Times New Roman" w:eastAsia="宋体"/>
          <w:sz w:val="24"/>
        </w:rPr>
        <w:t>“紫银转债”</w:t>
      </w:r>
      <w:r>
        <w:rPr>
          <w:rFonts w:ascii="Times New Roman" w:hAnsi="Times New Roman" w:eastAsia="宋体"/>
          <w:sz w:val="24"/>
        </w:rPr>
        <w:t>前次评级结果为</w:t>
      </w:r>
      <w:r>
        <w:rPr>
          <w:rFonts w:hint="eastAsia" w:ascii="Times New Roman" w:hAnsi="Times New Roman" w:eastAsia="宋体"/>
          <w:sz w:val="24"/>
        </w:rPr>
        <w:t>“AA+”</w:t>
      </w:r>
      <w:r>
        <w:rPr>
          <w:rFonts w:ascii="Times New Roman" w:hAnsi="Times New Roman" w:eastAsia="宋体"/>
          <w:sz w:val="24"/>
        </w:rPr>
        <w:t>；前次评级展望为</w:t>
      </w:r>
      <w:r>
        <w:rPr>
          <w:rFonts w:hint="eastAsia" w:ascii="Times New Roman" w:hAnsi="Times New Roman" w:eastAsia="宋体"/>
          <w:sz w:val="24"/>
          <w:lang w:eastAsia="zh-CN"/>
        </w:rPr>
        <w:t>“稳定”</w:t>
      </w:r>
      <w:r>
        <w:rPr>
          <w:rFonts w:ascii="Times New Roman" w:hAnsi="Times New Roman" w:eastAsia="宋体"/>
          <w:sz w:val="24"/>
        </w:rPr>
        <w:t>；评</w:t>
      </w:r>
      <w:r>
        <w:rPr>
          <w:rFonts w:ascii="Times New Roman" w:hAnsi="Times New Roman" w:eastAsia="宋体"/>
          <w:sz w:val="24"/>
          <w:highlight w:val="none"/>
        </w:rPr>
        <w:t>级机构为联合</w:t>
      </w:r>
      <w:r>
        <w:rPr>
          <w:rFonts w:hint="eastAsia" w:ascii="Times New Roman" w:hAnsi="Times New Roman" w:eastAsia="宋体"/>
          <w:sz w:val="24"/>
          <w:highlight w:val="none"/>
          <w:lang w:eastAsia="zh-CN"/>
        </w:rPr>
        <w:t>资信评估股份</w:t>
      </w:r>
      <w:r>
        <w:rPr>
          <w:rFonts w:ascii="Times New Roman" w:hAnsi="Times New Roman" w:eastAsia="宋体"/>
          <w:sz w:val="24"/>
          <w:highlight w:val="none"/>
        </w:rPr>
        <w:t>有限公司，</w:t>
      </w:r>
      <w:r>
        <w:rPr>
          <w:rFonts w:ascii="Times New Roman" w:hAnsi="Times New Roman" w:eastAsia="宋体"/>
          <w:sz w:val="24"/>
        </w:rPr>
        <w:t>评级时间为 20</w:t>
      </w:r>
      <w:r>
        <w:rPr>
          <w:rFonts w:hint="eastAsia" w:ascii="Times New Roman" w:hAnsi="Times New Roman" w:eastAsia="宋体"/>
          <w:sz w:val="24"/>
          <w:lang w:val="en-US" w:eastAsia="zh-CN"/>
        </w:rPr>
        <w:t>25</w:t>
      </w:r>
      <w:r>
        <w:rPr>
          <w:rFonts w:ascii="Times New Roman" w:hAnsi="Times New Roman" w:eastAsia="宋体"/>
          <w:sz w:val="24"/>
        </w:rPr>
        <w:t>年6月</w:t>
      </w:r>
      <w:r>
        <w:rPr>
          <w:rFonts w:hint="eastAsia" w:ascii="Times New Roman" w:hAnsi="Times New Roman" w:eastAsia="宋体"/>
          <w:sz w:val="24"/>
          <w:lang w:val="en-US" w:eastAsia="zh-CN"/>
        </w:rPr>
        <w:t>20</w:t>
      </w:r>
      <w:r>
        <w:rPr>
          <w:rFonts w:ascii="Times New Roman" w:hAnsi="Times New Roman" w:eastAsia="宋体"/>
          <w:sz w:val="24"/>
        </w:rPr>
        <w:t>日。</w:t>
      </w:r>
    </w:p>
    <w:p w14:paraId="7F1B8F1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rPr>
      </w:pPr>
      <w:r>
        <w:rPr>
          <w:rFonts w:hint="eastAsia" w:ascii="Times New Roman" w:hAnsi="Times New Roman" w:eastAsia="宋体"/>
          <w:sz w:val="24"/>
        </w:rPr>
        <w:t>联合资信评估股份有限公司通过对公司主体及公司公开发行的可转换公司债券的信用状况进行跟踪分析和评估，</w:t>
      </w:r>
      <w:r>
        <w:rPr>
          <w:rFonts w:hint="eastAsia" w:ascii="Times New Roman" w:hAnsi="Times New Roman" w:eastAsia="宋体"/>
          <w:sz w:val="24"/>
          <w:lang w:eastAsia="zh-CN"/>
        </w:rPr>
        <w:t>于</w:t>
      </w:r>
      <w:r>
        <w:rPr>
          <w:rFonts w:hint="eastAsia" w:ascii="Times New Roman" w:hAnsi="Times New Roman" w:eastAsia="宋体"/>
          <w:sz w:val="24"/>
          <w:highlight w:val="none"/>
          <w:lang w:val="en-US" w:eastAsia="zh-CN"/>
        </w:rPr>
        <w:t>2026年6月18</w:t>
      </w:r>
      <w:r>
        <w:rPr>
          <w:rFonts w:hint="eastAsia" w:ascii="Times New Roman" w:hAnsi="Times New Roman" w:eastAsia="宋体"/>
          <w:sz w:val="24"/>
          <w:lang w:val="en-US" w:eastAsia="zh-CN"/>
        </w:rPr>
        <w:t>日</w:t>
      </w:r>
      <w:r>
        <w:rPr>
          <w:rFonts w:ascii="Times New Roman" w:hAnsi="Times New Roman" w:eastAsia="宋体"/>
          <w:sz w:val="24"/>
        </w:rPr>
        <w:t>出具了《江苏紫金农村商业银行股份有限公司公开发行</w:t>
      </w:r>
      <w:r>
        <w:rPr>
          <w:rFonts w:hint="eastAsia" w:ascii="Times New Roman" w:hAnsi="Times New Roman" w:eastAsia="宋体"/>
          <w:sz w:val="24"/>
          <w:lang w:val="en-US" w:eastAsia="zh-CN"/>
        </w:rPr>
        <w:t>A股</w:t>
      </w:r>
      <w:r>
        <w:rPr>
          <w:rFonts w:ascii="Times New Roman" w:hAnsi="Times New Roman" w:eastAsia="宋体"/>
          <w:sz w:val="24"/>
        </w:rPr>
        <w:t>可转换公司债券202</w:t>
      </w:r>
      <w:r>
        <w:rPr>
          <w:rFonts w:hint="eastAsia" w:ascii="Times New Roman" w:hAnsi="Times New Roman" w:eastAsia="宋体"/>
          <w:sz w:val="24"/>
          <w:lang w:val="en-US" w:eastAsia="zh-CN"/>
        </w:rPr>
        <w:t>6</w:t>
      </w:r>
      <w:r>
        <w:rPr>
          <w:rFonts w:ascii="Times New Roman" w:hAnsi="Times New Roman" w:eastAsia="宋体"/>
          <w:sz w:val="24"/>
        </w:rPr>
        <w:t>年跟踪评级报告》</w:t>
      </w:r>
      <w:r>
        <w:rPr>
          <w:rFonts w:ascii="Times New Roman" w:hAnsi="Times New Roman" w:eastAsia="宋体"/>
          <w:sz w:val="24"/>
          <w:highlight w:val="none"/>
        </w:rPr>
        <w:t>（联合[202</w:t>
      </w:r>
      <w:r>
        <w:rPr>
          <w:rFonts w:hint="eastAsia" w:ascii="Times New Roman" w:hAnsi="Times New Roman" w:eastAsia="宋体"/>
          <w:sz w:val="24"/>
          <w:highlight w:val="none"/>
          <w:lang w:val="en-US" w:eastAsia="zh-CN"/>
        </w:rPr>
        <w:t>6</w:t>
      </w:r>
      <w:r>
        <w:rPr>
          <w:rFonts w:ascii="Times New Roman" w:hAnsi="Times New Roman" w:eastAsia="宋体"/>
          <w:sz w:val="24"/>
          <w:highlight w:val="none"/>
        </w:rPr>
        <w:t>]4</w:t>
      </w:r>
      <w:r>
        <w:rPr>
          <w:rFonts w:hint="eastAsia" w:ascii="Times New Roman" w:hAnsi="Times New Roman" w:eastAsia="宋体"/>
          <w:sz w:val="24"/>
          <w:highlight w:val="none"/>
          <w:lang w:val="en-US" w:eastAsia="zh-CN"/>
        </w:rPr>
        <w:t>360</w:t>
      </w:r>
      <w:r>
        <w:rPr>
          <w:rFonts w:ascii="Times New Roman" w:hAnsi="Times New Roman" w:eastAsia="宋体"/>
          <w:sz w:val="24"/>
          <w:highlight w:val="none"/>
        </w:rPr>
        <w:t>号）</w:t>
      </w:r>
      <w:r>
        <w:rPr>
          <w:rFonts w:ascii="Times New Roman" w:hAnsi="Times New Roman" w:eastAsia="宋体"/>
          <w:sz w:val="24"/>
        </w:rPr>
        <w:t>，确定维持公司主体长期信用等级为</w:t>
      </w:r>
      <w:r>
        <w:rPr>
          <w:rFonts w:hint="eastAsia" w:ascii="Times New Roman" w:hAnsi="Times New Roman" w:eastAsia="宋体"/>
          <w:sz w:val="24"/>
        </w:rPr>
        <w:t>“AA+”</w:t>
      </w:r>
      <w:r>
        <w:rPr>
          <w:rFonts w:ascii="Times New Roman" w:hAnsi="Times New Roman" w:eastAsia="宋体"/>
          <w:sz w:val="24"/>
        </w:rPr>
        <w:t>，维持</w:t>
      </w:r>
      <w:r>
        <w:rPr>
          <w:rFonts w:hint="eastAsia" w:ascii="Times New Roman" w:hAnsi="Times New Roman" w:eastAsia="宋体"/>
          <w:sz w:val="24"/>
        </w:rPr>
        <w:t>“紫银转债”</w:t>
      </w:r>
      <w:r>
        <w:rPr>
          <w:rFonts w:ascii="Times New Roman" w:hAnsi="Times New Roman" w:eastAsia="宋体"/>
          <w:sz w:val="24"/>
        </w:rPr>
        <w:t>信用等级为</w:t>
      </w:r>
      <w:r>
        <w:rPr>
          <w:rFonts w:hint="eastAsia" w:ascii="Times New Roman" w:hAnsi="Times New Roman" w:eastAsia="宋体"/>
          <w:sz w:val="24"/>
        </w:rPr>
        <w:t>“AA+”</w:t>
      </w:r>
      <w:r>
        <w:rPr>
          <w:rFonts w:ascii="Times New Roman" w:hAnsi="Times New Roman" w:eastAsia="宋体"/>
          <w:sz w:val="24"/>
        </w:rPr>
        <w:t>，评级展望为</w:t>
      </w:r>
      <w:r>
        <w:rPr>
          <w:rFonts w:hint="eastAsia" w:ascii="Times New Roman" w:hAnsi="Times New Roman" w:eastAsia="宋体"/>
          <w:sz w:val="24"/>
          <w:lang w:eastAsia="zh-CN"/>
        </w:rPr>
        <w:t>“稳定”</w:t>
      </w:r>
      <w:r>
        <w:rPr>
          <w:rFonts w:ascii="Times New Roman" w:hAnsi="Times New Roman" w:eastAsia="宋体"/>
          <w:sz w:val="24"/>
        </w:rPr>
        <w:t>。本次评级结果较前次没有变化。</w:t>
      </w:r>
    </w:p>
    <w:p w14:paraId="51390D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rPr>
      </w:pPr>
      <w:r>
        <w:rPr>
          <w:rFonts w:hint="eastAsia" w:ascii="Times New Roman" w:hAnsi="Times New Roman" w:eastAsia="宋体"/>
          <w:sz w:val="24"/>
        </w:rPr>
        <w:t>本次联合资信评估股份有限公司出具的《江苏紫金农村商业银行股份有限公司公开发行</w:t>
      </w:r>
      <w:r>
        <w:rPr>
          <w:rFonts w:hint="eastAsia" w:ascii="Times New Roman" w:hAnsi="Times New Roman" w:eastAsia="宋体"/>
          <w:sz w:val="24"/>
          <w:lang w:val="en-US" w:eastAsia="zh-CN"/>
        </w:rPr>
        <w:t>A股</w:t>
      </w:r>
      <w:r>
        <w:rPr>
          <w:rFonts w:hint="eastAsia" w:ascii="Times New Roman" w:hAnsi="Times New Roman" w:eastAsia="宋体"/>
          <w:sz w:val="24"/>
        </w:rPr>
        <w:t>可转换公司债券</w:t>
      </w:r>
      <w:r>
        <w:rPr>
          <w:rFonts w:ascii="Times New Roman" w:hAnsi="Times New Roman" w:eastAsia="宋体"/>
          <w:sz w:val="24"/>
          <w:highlight w:val="none"/>
        </w:rPr>
        <w:t>202</w:t>
      </w:r>
      <w:r>
        <w:rPr>
          <w:rFonts w:hint="eastAsia" w:ascii="Times New Roman" w:hAnsi="Times New Roman" w:eastAsia="宋体"/>
          <w:sz w:val="24"/>
          <w:highlight w:val="none"/>
          <w:lang w:val="en-US" w:eastAsia="zh-CN"/>
        </w:rPr>
        <w:t>6</w:t>
      </w:r>
      <w:r>
        <w:rPr>
          <w:rFonts w:ascii="Times New Roman" w:hAnsi="Times New Roman" w:eastAsia="宋体"/>
          <w:sz w:val="24"/>
          <w:highlight w:val="none"/>
        </w:rPr>
        <w:t>年跟踪评级报告》（联合[202</w:t>
      </w:r>
      <w:r>
        <w:rPr>
          <w:rFonts w:hint="eastAsia" w:ascii="Times New Roman" w:hAnsi="Times New Roman" w:eastAsia="宋体"/>
          <w:sz w:val="24"/>
          <w:highlight w:val="none"/>
          <w:lang w:val="en-US" w:eastAsia="zh-CN"/>
        </w:rPr>
        <w:t>6</w:t>
      </w:r>
      <w:r>
        <w:rPr>
          <w:rFonts w:ascii="Times New Roman" w:hAnsi="Times New Roman" w:eastAsia="宋体"/>
          <w:sz w:val="24"/>
          <w:highlight w:val="none"/>
        </w:rPr>
        <w:t>]</w:t>
      </w:r>
      <w:r>
        <w:rPr>
          <w:rFonts w:hint="eastAsia" w:ascii="Times New Roman" w:hAnsi="Times New Roman" w:eastAsia="宋体"/>
          <w:sz w:val="24"/>
          <w:highlight w:val="none"/>
          <w:lang w:val="en-US" w:eastAsia="zh-CN"/>
        </w:rPr>
        <w:t>4360</w:t>
      </w:r>
      <w:r>
        <w:rPr>
          <w:rFonts w:ascii="Times New Roman" w:hAnsi="Times New Roman" w:eastAsia="宋体"/>
          <w:sz w:val="24"/>
          <w:highlight w:val="none"/>
        </w:rPr>
        <w:t>号）</w:t>
      </w:r>
      <w:r>
        <w:rPr>
          <w:rFonts w:ascii="Times New Roman" w:hAnsi="Times New Roman" w:eastAsia="宋体"/>
          <w:sz w:val="24"/>
        </w:rPr>
        <w:t>详见上海证券交易所网站（http://www.sse.com.cn）。</w:t>
      </w:r>
    </w:p>
    <w:p w14:paraId="315959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rPr>
      </w:pPr>
      <w:r>
        <w:rPr>
          <w:rFonts w:hint="eastAsia" w:ascii="Times New Roman" w:hAnsi="Times New Roman" w:eastAsia="宋体"/>
          <w:sz w:val="24"/>
        </w:rPr>
        <w:t>特此公告。</w:t>
      </w:r>
    </w:p>
    <w:p w14:paraId="22B7F79D">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Times New Roman" w:hAnsi="Times New Roman" w:eastAsia="宋体"/>
          <w:sz w:val="24"/>
        </w:rPr>
      </w:pPr>
      <w:r>
        <w:rPr>
          <w:rFonts w:hint="eastAsia" w:ascii="Times New Roman" w:hAnsi="Times New Roman" w:eastAsia="宋体"/>
          <w:sz w:val="24"/>
        </w:rPr>
        <w:t>江苏紫金农村商业银行股份有限公司董事会</w:t>
      </w:r>
      <w:bookmarkStart w:id="1" w:name="_GoBack"/>
      <w:bookmarkEnd w:id="1"/>
    </w:p>
    <w:p w14:paraId="29C4D187">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Times New Roman" w:hAnsi="Times New Roman" w:eastAsia="宋体"/>
          <w:sz w:val="24"/>
        </w:rPr>
      </w:pPr>
      <w:r>
        <w:rPr>
          <w:rFonts w:hint="eastAsia" w:ascii="Times New Roman" w:hAnsi="Times New Roman" w:eastAsia="宋体"/>
          <w:sz w:val="24"/>
          <w:highlight w:val="none"/>
        </w:rPr>
        <w:t>2</w:t>
      </w:r>
      <w:r>
        <w:rPr>
          <w:rFonts w:ascii="Times New Roman" w:hAnsi="Times New Roman" w:eastAsia="宋体"/>
          <w:sz w:val="24"/>
          <w:highlight w:val="none"/>
        </w:rPr>
        <w:t>0</w:t>
      </w:r>
      <w:r>
        <w:rPr>
          <w:rFonts w:hint="eastAsia" w:ascii="Times New Roman" w:hAnsi="Times New Roman" w:eastAsia="宋体"/>
          <w:sz w:val="24"/>
          <w:highlight w:val="none"/>
          <w:lang w:val="en-US" w:eastAsia="zh-CN"/>
        </w:rPr>
        <w:t>26</w:t>
      </w:r>
      <w:r>
        <w:rPr>
          <w:rFonts w:ascii="Times New Roman" w:hAnsi="Times New Roman" w:eastAsia="宋体"/>
          <w:sz w:val="24"/>
          <w:highlight w:val="none"/>
        </w:rPr>
        <w:t>年</w:t>
      </w:r>
      <w:r>
        <w:rPr>
          <w:rFonts w:hint="eastAsia" w:ascii="Times New Roman" w:hAnsi="Times New Roman" w:eastAsia="宋体"/>
          <w:sz w:val="24"/>
          <w:highlight w:val="none"/>
        </w:rPr>
        <w:t>6</w:t>
      </w:r>
      <w:r>
        <w:rPr>
          <w:rFonts w:ascii="Times New Roman" w:hAnsi="Times New Roman" w:eastAsia="宋体"/>
          <w:sz w:val="24"/>
          <w:highlight w:val="none"/>
        </w:rPr>
        <w:t>月</w:t>
      </w:r>
      <w:r>
        <w:rPr>
          <w:rFonts w:hint="eastAsia" w:ascii="Times New Roman" w:hAnsi="Times New Roman" w:eastAsia="宋体"/>
          <w:sz w:val="24"/>
          <w:highlight w:val="none"/>
          <w:lang w:val="en-US" w:eastAsia="zh-CN"/>
        </w:rPr>
        <w:t>22</w:t>
      </w:r>
      <w:r>
        <w:rPr>
          <w:rFonts w:ascii="Times New Roman" w:hAnsi="Times New Roman" w:eastAsia="宋体"/>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45688"/>
    <w:multiLevelType w:val="multilevel"/>
    <w:tmpl w:val="1B745688"/>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8E"/>
    <w:rsid w:val="00011607"/>
    <w:rsid w:val="000576A6"/>
    <w:rsid w:val="00057CBD"/>
    <w:rsid w:val="000C5258"/>
    <w:rsid w:val="00134479"/>
    <w:rsid w:val="00140F02"/>
    <w:rsid w:val="001F3164"/>
    <w:rsid w:val="00296D5F"/>
    <w:rsid w:val="002A4297"/>
    <w:rsid w:val="002E5A7E"/>
    <w:rsid w:val="002F14B6"/>
    <w:rsid w:val="003416F4"/>
    <w:rsid w:val="00346A8D"/>
    <w:rsid w:val="00365942"/>
    <w:rsid w:val="00383873"/>
    <w:rsid w:val="00384A4F"/>
    <w:rsid w:val="003A3085"/>
    <w:rsid w:val="003D1125"/>
    <w:rsid w:val="003D698B"/>
    <w:rsid w:val="00400C84"/>
    <w:rsid w:val="004200EA"/>
    <w:rsid w:val="004F7FFB"/>
    <w:rsid w:val="006410FE"/>
    <w:rsid w:val="00726E3D"/>
    <w:rsid w:val="00745E07"/>
    <w:rsid w:val="00753E55"/>
    <w:rsid w:val="00755FDB"/>
    <w:rsid w:val="007B6389"/>
    <w:rsid w:val="00821979"/>
    <w:rsid w:val="008A626A"/>
    <w:rsid w:val="009279F9"/>
    <w:rsid w:val="00940D47"/>
    <w:rsid w:val="009A478E"/>
    <w:rsid w:val="009A54CE"/>
    <w:rsid w:val="009B54AF"/>
    <w:rsid w:val="009F6E41"/>
    <w:rsid w:val="00A25C2F"/>
    <w:rsid w:val="00AB30D0"/>
    <w:rsid w:val="00B015B0"/>
    <w:rsid w:val="00B10C53"/>
    <w:rsid w:val="00B95334"/>
    <w:rsid w:val="00BD1F6D"/>
    <w:rsid w:val="00C3107D"/>
    <w:rsid w:val="00C4451E"/>
    <w:rsid w:val="00C6391D"/>
    <w:rsid w:val="00C706B2"/>
    <w:rsid w:val="00CB28A4"/>
    <w:rsid w:val="00CB5840"/>
    <w:rsid w:val="00CC15AA"/>
    <w:rsid w:val="00CC7752"/>
    <w:rsid w:val="00CD5894"/>
    <w:rsid w:val="00D85C14"/>
    <w:rsid w:val="00DB6103"/>
    <w:rsid w:val="00DC5859"/>
    <w:rsid w:val="00DC5977"/>
    <w:rsid w:val="00E11190"/>
    <w:rsid w:val="00E25E61"/>
    <w:rsid w:val="00E27792"/>
    <w:rsid w:val="00E63908"/>
    <w:rsid w:val="00E80A33"/>
    <w:rsid w:val="00EA3C68"/>
    <w:rsid w:val="00EB4702"/>
    <w:rsid w:val="00EC65B1"/>
    <w:rsid w:val="00ED4A83"/>
    <w:rsid w:val="00F00822"/>
    <w:rsid w:val="00F55899"/>
    <w:rsid w:val="00FA3A37"/>
    <w:rsid w:val="00FB5CB8"/>
    <w:rsid w:val="00FD63B2"/>
    <w:rsid w:val="04D838BC"/>
    <w:rsid w:val="0922698B"/>
    <w:rsid w:val="0BBD4CB8"/>
    <w:rsid w:val="0EED08C0"/>
    <w:rsid w:val="0F833182"/>
    <w:rsid w:val="170E6162"/>
    <w:rsid w:val="22DC1D1C"/>
    <w:rsid w:val="2647588E"/>
    <w:rsid w:val="335E1555"/>
    <w:rsid w:val="5A0C1DDD"/>
    <w:rsid w:val="5B195385"/>
    <w:rsid w:val="5BD63995"/>
    <w:rsid w:val="63110999"/>
    <w:rsid w:val="6443458E"/>
    <w:rsid w:val="699304C8"/>
    <w:rsid w:val="6C3D2271"/>
    <w:rsid w:val="73113642"/>
    <w:rsid w:val="75F670BB"/>
    <w:rsid w:val="791032EB"/>
    <w:rsid w:val="79652ADD"/>
    <w:rsid w:val="7B4B794A"/>
    <w:rsid w:val="7D610DC4"/>
    <w:rsid w:val="7EB8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9"/>
    <w:link w:val="3"/>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上海财经大学</Company>
  <Pages>1</Pages>
  <Words>698</Words>
  <Characters>795</Characters>
  <Lines>5</Lines>
  <Paragraphs>1</Paragraphs>
  <TotalTime>44</TotalTime>
  <ScaleCrop>false</ScaleCrop>
  <LinksUpToDate>false</LinksUpToDate>
  <CharactersWithSpaces>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2021-01-06T09:41:00Z</dcterms:created>
  <dc:creator>Lee</dc:creator>
  <cp:lastModifiedBy>WPS_1625791870</cp:lastModifiedBy>
  <cp:lastPrinted>2023-06-26T01:37:00Z</cp:lastPrinted>
  <dcterms:modified xsi:type="dcterms:W3CDTF">2026-06-22T01:44:29Z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33A3649FE4F44F668CBBD0F4FE16B2A5</vt:lpwstr>
  </property>
  <property fmtid="{D5CDD505-2E9C-101B-9397-08002B2CF9AE}" pid="4" name="KSOTemplateDocerSaveRecord">
    <vt:lpwstr>eyJoZGlkIjoiYWEyMzEyZjZhMzcxZjhlYzIwMDU2ZWYxYzU4NTZkM2YiLCJ1c2VySWQiOiIxMjMxNDkzNDE3In0=</vt:lpwstr>
  </property>
</Properties>
</file>