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93E" w:rsidRDefault="0066093E">
      <w:pPr>
        <w:pStyle w:val="a7"/>
        <w:adjustRightInd w:val="0"/>
        <w:snapToGrid w:val="0"/>
        <w:spacing w:line="400" w:lineRule="exact"/>
        <w:ind w:firstLine="0"/>
        <w:jc w:val="center"/>
        <w:rPr>
          <w:rFonts w:eastAsia="黑体" w:hint="eastAsia"/>
          <w:bCs/>
          <w:kern w:val="2"/>
          <w:sz w:val="36"/>
          <w:szCs w:val="36"/>
        </w:rPr>
      </w:pPr>
      <w:r>
        <w:rPr>
          <w:rFonts w:eastAsia="黑体" w:hint="eastAsia"/>
          <w:bCs/>
          <w:kern w:val="2"/>
          <w:sz w:val="36"/>
          <w:szCs w:val="36"/>
        </w:rPr>
        <w:t>华夏理财固定收益增强型半年定开理财产品</w:t>
      </w:r>
      <w:r>
        <w:rPr>
          <w:rFonts w:eastAsia="黑体" w:hint="eastAsia"/>
          <w:bCs/>
          <w:kern w:val="2"/>
          <w:sz w:val="36"/>
          <w:szCs w:val="36"/>
        </w:rPr>
        <w:t>3</w:t>
      </w:r>
      <w:r>
        <w:rPr>
          <w:rFonts w:eastAsia="黑体" w:hint="eastAsia"/>
          <w:bCs/>
          <w:kern w:val="2"/>
          <w:sz w:val="36"/>
          <w:szCs w:val="36"/>
        </w:rPr>
        <w:t>号</w:t>
      </w:r>
    </w:p>
    <w:p w:rsidR="0066093E" w:rsidRDefault="0066093E">
      <w:pPr>
        <w:pStyle w:val="a7"/>
        <w:adjustRightInd w:val="0"/>
        <w:snapToGrid w:val="0"/>
        <w:spacing w:line="400" w:lineRule="exact"/>
        <w:ind w:firstLine="0"/>
        <w:jc w:val="center"/>
        <w:rPr>
          <w:rFonts w:eastAsia="黑体" w:hint="eastAsia"/>
          <w:bCs/>
          <w:kern w:val="2"/>
          <w:sz w:val="36"/>
          <w:szCs w:val="36"/>
        </w:rPr>
      </w:pPr>
      <w:r>
        <w:rPr>
          <w:rFonts w:eastAsia="黑体" w:hint="eastAsia"/>
          <w:bCs/>
          <w:kern w:val="2"/>
          <w:sz w:val="36"/>
          <w:szCs w:val="36"/>
        </w:rPr>
        <w:t>说明书</w:t>
      </w:r>
    </w:p>
    <w:tbl>
      <w:tblPr>
        <w:tblpPr w:leftFromText="180" w:rightFromText="180" w:vertAnchor="page" w:horzAnchor="page" w:tblpX="1867" w:tblpY="2343"/>
        <w:tblW w:w="0" w:type="auto"/>
        <w:tblInd w:w="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90"/>
      </w:tblGrid>
      <w:tr w:rsidR="0066093E">
        <w:trPr>
          <w:trHeight w:val="6142"/>
        </w:trPr>
        <w:tc>
          <w:tcPr>
            <w:tcW w:w="8590" w:type="dxa"/>
            <w:tcBorders>
              <w:top w:val="single" w:sz="4" w:space="0" w:color="auto"/>
              <w:left w:val="single" w:sz="4" w:space="0" w:color="auto"/>
              <w:right w:val="single" w:sz="4" w:space="0" w:color="auto"/>
            </w:tcBorders>
            <w:vAlign w:val="center"/>
          </w:tcPr>
          <w:p w:rsidR="0066093E" w:rsidRDefault="0066093E">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66093E" w:rsidRDefault="0066093E">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投资者可在规定时间内按照本产品说明书中约定的申购、赎回条款申购或赎回本理财产品。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66093E" w:rsidRDefault="0066093E">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66093E" w:rsidRDefault="0066093E">
            <w:pPr>
              <w:adjustRightInd w:val="0"/>
              <w:snapToGrid w:val="0"/>
              <w:spacing w:line="400" w:lineRule="exact"/>
              <w:ind w:left="343" w:rightChars="90" w:right="189"/>
              <w:rPr>
                <w:rFonts w:eastAsia="楷体_GB2312"/>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等渠道进行公告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投资者如需进行业务咨询或投诉，请拨打华夏银行客户服务热线95577或其他代理销售机构客户服务热线。</w:t>
            </w:r>
          </w:p>
        </w:tc>
      </w:tr>
    </w:tbl>
    <w:p w:rsidR="0066093E" w:rsidRDefault="0066093E">
      <w:pPr>
        <w:pStyle w:val="a7"/>
        <w:adjustRightInd w:val="0"/>
        <w:snapToGrid w:val="0"/>
        <w:spacing w:line="400" w:lineRule="exact"/>
        <w:ind w:firstLine="0"/>
        <w:jc w:val="center"/>
        <w:rPr>
          <w:rFonts w:eastAsia="黑体" w:hint="eastAsia"/>
          <w:bCs/>
          <w:kern w:val="2"/>
          <w:sz w:val="36"/>
          <w:szCs w:val="36"/>
        </w:rPr>
      </w:pPr>
    </w:p>
    <w:p w:rsidR="0066093E" w:rsidRDefault="0066093E">
      <w:pPr>
        <w:pStyle w:val="a7"/>
        <w:adjustRightInd w:val="0"/>
        <w:snapToGrid w:val="0"/>
        <w:spacing w:line="400" w:lineRule="exact"/>
        <w:ind w:firstLine="0"/>
        <w:jc w:val="center"/>
        <w:rPr>
          <w:rFonts w:eastAsia="黑体" w:hint="eastAsia"/>
          <w:bCs/>
          <w:kern w:val="2"/>
          <w:sz w:val="36"/>
          <w:szCs w:val="36"/>
        </w:rPr>
      </w:pPr>
    </w:p>
    <w:p w:rsidR="0066093E" w:rsidRDefault="0066093E">
      <w:pPr>
        <w:pStyle w:val="Default"/>
        <w:snapToGrid w:val="0"/>
        <w:spacing w:afterLines="50" w:after="156" w:line="400" w:lineRule="exact"/>
        <w:ind w:firstLineChars="200" w:firstLine="482"/>
        <w:jc w:val="both"/>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0" w:type="auto"/>
        <w:jc w:val="center"/>
        <w:tblInd w:w="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404"/>
      </w:tblGrid>
      <w:tr w:rsidR="0066093E">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
                <w:bCs/>
                <w:szCs w:val="21"/>
              </w:rPr>
            </w:pPr>
            <w:r>
              <w:rPr>
                <w:rFonts w:ascii="仿宋" w:eastAsia="仿宋" w:hAnsi="仿宋" w:hint="eastAsia"/>
                <w:b/>
                <w:bCs/>
                <w:szCs w:val="21"/>
              </w:rPr>
              <w:t>华夏理财固定收益增强型半年定开理财产品3号</w:t>
            </w:r>
          </w:p>
          <w:p w:rsidR="0066093E" w:rsidRDefault="0066093E">
            <w:pPr>
              <w:adjustRightInd w:val="0"/>
              <w:snapToGrid w:val="0"/>
              <w:spacing w:line="240" w:lineRule="atLeast"/>
              <w:jc w:val="center"/>
              <w:rPr>
                <w:rFonts w:ascii="仿宋" w:eastAsia="仿宋" w:hAnsi="仿宋" w:hint="eastAsia"/>
                <w:b/>
                <w:bCs/>
                <w:szCs w:val="21"/>
              </w:rPr>
            </w:pPr>
            <w:r>
              <w:rPr>
                <w:rFonts w:ascii="仿宋" w:eastAsia="仿宋" w:hAnsi="仿宋" w:hint="eastAsia"/>
                <w:b/>
                <w:bCs/>
                <w:szCs w:val="21"/>
              </w:rPr>
              <w:t>简称：“华夏理财固收增强半年定开3号”</w:t>
            </w:r>
          </w:p>
        </w:tc>
      </w:tr>
      <w:tr w:rsidR="0066093E">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211918700103</w:t>
            </w:r>
          </w:p>
        </w:tc>
      </w:tr>
      <w:tr w:rsidR="0066093E">
        <w:trPr>
          <w:jc w:val="center"/>
        </w:trPr>
        <w:tc>
          <w:tcPr>
            <w:tcW w:w="1730" w:type="dxa"/>
            <w:tcBorders>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全国银行业理财登记系统登记编码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bCs/>
                <w:szCs w:val="21"/>
              </w:rPr>
            </w:pPr>
            <w:r>
              <w:rPr>
                <w:rFonts w:ascii="仿宋" w:eastAsia="仿宋" w:hAnsi="仿宋" w:hint="eastAsia"/>
                <w:bCs/>
                <w:szCs w:val="21"/>
              </w:rPr>
              <w:t>Z7003921000042</w:t>
            </w:r>
          </w:p>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投资者可以依据该登记编码在中国理财网（www.chinawealth.com.cn）查询产品信息</w:t>
            </w:r>
          </w:p>
        </w:tc>
      </w:tr>
      <w:tr w:rsidR="0066093E">
        <w:trPr>
          <w:jc w:val="center"/>
        </w:trPr>
        <w:tc>
          <w:tcPr>
            <w:tcW w:w="1730" w:type="dxa"/>
            <w:tcBorders>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产品管理人</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华夏理财</w:t>
            </w:r>
          </w:p>
        </w:tc>
      </w:tr>
      <w:tr w:rsidR="0066093E">
        <w:trPr>
          <w:jc w:val="center"/>
        </w:trPr>
        <w:tc>
          <w:tcPr>
            <w:tcW w:w="1730" w:type="dxa"/>
            <w:tcBorders>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公募</w:t>
            </w:r>
          </w:p>
        </w:tc>
      </w:tr>
      <w:tr w:rsidR="0066093E">
        <w:trPr>
          <w:jc w:val="center"/>
        </w:trPr>
        <w:tc>
          <w:tcPr>
            <w:tcW w:w="1730" w:type="dxa"/>
            <w:tcBorders>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开放式净值型</w:t>
            </w:r>
          </w:p>
        </w:tc>
      </w:tr>
      <w:tr w:rsidR="0066093E">
        <w:trPr>
          <w:trHeight w:val="90"/>
          <w:jc w:val="center"/>
        </w:trPr>
        <w:tc>
          <w:tcPr>
            <w:tcW w:w="1730" w:type="dxa"/>
            <w:tcBorders>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固定收益类</w:t>
            </w:r>
          </w:p>
        </w:tc>
      </w:tr>
      <w:tr w:rsidR="0066093E">
        <w:trPr>
          <w:jc w:val="center"/>
        </w:trPr>
        <w:tc>
          <w:tcPr>
            <w:tcW w:w="1730" w:type="dxa"/>
            <w:tcBorders>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bCs/>
                <w:szCs w:val="21"/>
              </w:rPr>
              <w:t>非保本浮动收益</w:t>
            </w:r>
          </w:p>
        </w:tc>
      </w:tr>
      <w:tr w:rsidR="0066093E">
        <w:trPr>
          <w:jc w:val="center"/>
        </w:trPr>
        <w:tc>
          <w:tcPr>
            <w:tcW w:w="1730" w:type="dxa"/>
            <w:tcBorders>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bCs/>
                <w:szCs w:val="21"/>
              </w:rPr>
            </w:pPr>
            <w:r>
              <w:rPr>
                <w:rFonts w:ascii="仿宋" w:eastAsia="仿宋" w:hAnsi="仿宋" w:hint="eastAsia"/>
                <w:bCs/>
                <w:szCs w:val="21"/>
              </w:rPr>
              <w:t>人民币</w:t>
            </w:r>
          </w:p>
        </w:tc>
      </w:tr>
      <w:tr w:rsidR="0066093E">
        <w:trPr>
          <w:jc w:val="center"/>
        </w:trPr>
        <w:tc>
          <w:tcPr>
            <w:tcW w:w="1730" w:type="dxa"/>
            <w:tcBorders>
              <w:left w:val="single" w:sz="4" w:space="0" w:color="auto"/>
              <w:bottom w:val="single" w:sz="4" w:space="0" w:color="auto"/>
              <w:right w:val="single" w:sz="4" w:space="0" w:color="auto"/>
            </w:tcBorders>
            <w:vAlign w:val="center"/>
          </w:tcPr>
          <w:p w:rsidR="0066093E" w:rsidRDefault="0066093E" w:rsidP="00530EF3">
            <w:pPr>
              <w:keepNext/>
              <w:adjustRightInd w:val="0"/>
              <w:snapToGrid w:val="0"/>
              <w:spacing w:line="240" w:lineRule="atLeast"/>
              <w:jc w:val="center"/>
              <w:rPr>
                <w:rFonts w:ascii="仿宋" w:eastAsia="仿宋" w:hAnsi="仿宋"/>
                <w:bCs/>
                <w:szCs w:val="21"/>
              </w:rPr>
            </w:pPr>
            <w:r>
              <w:rPr>
                <w:rFonts w:ascii="仿宋" w:eastAsia="仿宋" w:hAnsi="仿宋"/>
                <w:bCs/>
                <w:szCs w:val="21"/>
              </w:rPr>
              <w:lastRenderedPageBreak/>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rsidP="00530EF3">
            <w:pPr>
              <w:keepNext/>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hint="eastAsia"/>
                <w:bCs/>
                <w:szCs w:val="21"/>
              </w:rPr>
              <w:t>PR2级（中低风险）</w:t>
            </w:r>
            <w:r>
              <w:rPr>
                <w:rFonts w:ascii="仿宋" w:eastAsia="仿宋" w:hAnsi="仿宋"/>
                <w:bCs/>
                <w:szCs w:val="21"/>
              </w:rPr>
              <w:t>理财产品。</w:t>
            </w:r>
          </w:p>
          <w:p w:rsidR="0066093E" w:rsidRDefault="0066093E" w:rsidP="00530EF3">
            <w:pPr>
              <w:keepNext/>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66093E" w:rsidRDefault="0066093E" w:rsidP="00530EF3">
            <w:pPr>
              <w:keepNext/>
              <w:adjustRightInd w:val="0"/>
              <w:snapToGrid w:val="0"/>
              <w:spacing w:line="240" w:lineRule="atLeast"/>
              <w:ind w:firstLineChars="200" w:firstLine="422"/>
              <w:rPr>
                <w:rFonts w:ascii="仿宋" w:eastAsia="仿宋" w:hAnsi="仿宋" w:hint="eastAsia"/>
                <w:b/>
                <w:bCs/>
                <w:szCs w:val="21"/>
              </w:rPr>
            </w:pPr>
            <w:r>
              <w:rPr>
                <w:rFonts w:ascii="仿宋" w:eastAsia="仿宋" w:hAnsi="仿宋" w:hint="eastAsia"/>
                <w:b/>
                <w:bCs/>
                <w:szCs w:val="21"/>
              </w:rPr>
              <w:t>本理财产品风险评级为华夏理财自主评定，仅供参考。</w:t>
            </w:r>
          </w:p>
        </w:tc>
      </w:tr>
      <w:tr w:rsidR="0066093E">
        <w:trPr>
          <w:jc w:val="center"/>
        </w:trPr>
        <w:tc>
          <w:tcPr>
            <w:tcW w:w="1730" w:type="dxa"/>
            <w:tcBorders>
              <w:left w:val="single" w:sz="4" w:space="0" w:color="auto"/>
              <w:bottom w:val="single" w:sz="4" w:space="0" w:color="auto"/>
              <w:right w:val="single" w:sz="4" w:space="0" w:color="auto"/>
            </w:tcBorders>
            <w:vAlign w:val="center"/>
          </w:tcPr>
          <w:p w:rsidR="0066093E" w:rsidRDefault="0066093E">
            <w:pPr>
              <w:adjustRightInd w:val="0"/>
              <w:snapToGrid w:val="0"/>
              <w:spacing w:line="300" w:lineRule="exact"/>
              <w:jc w:val="center"/>
              <w:rPr>
                <w:rFonts w:ascii="仿宋" w:eastAsia="仿宋" w:hAnsi="仿宋" w:hint="eastAsia"/>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300" w:lineRule="exact"/>
              <w:ind w:firstLineChars="200" w:firstLine="420"/>
              <w:rPr>
                <w:rFonts w:ascii="仿宋" w:eastAsia="仿宋" w:hAnsi="仿宋" w:hint="eastAsia"/>
                <w:bCs/>
                <w:szCs w:val="21"/>
              </w:rPr>
            </w:pPr>
            <w:r>
              <w:rPr>
                <w:rFonts w:ascii="仿宋" w:eastAsia="仿宋" w:hAnsi="仿宋" w:hint="eastAsia"/>
                <w:bCs/>
                <w:szCs w:val="21"/>
              </w:rPr>
              <w:t>该产品通过代理销售机构渠道销售的，理财产品评级应当以代理销售机构最终披露的评级结果为准。</w:t>
            </w:r>
            <w:r>
              <w:rPr>
                <w:rFonts w:ascii="仿宋" w:eastAsia="仿宋" w:hAnsi="仿宋" w:hint="eastAsia"/>
                <w:szCs w:val="21"/>
              </w:rPr>
              <w:t>代理销售机构（以下简称“代销机构”）如与华夏理财评级结果不一致，应当采用对应较高风险等级的评级结果</w:t>
            </w:r>
            <w:r>
              <w:rPr>
                <w:rFonts w:ascii="仿宋" w:eastAsia="仿宋" w:hAnsi="仿宋"/>
                <w:b/>
                <w:bCs/>
                <w:szCs w:val="21"/>
              </w:rPr>
              <w:t>。</w:t>
            </w:r>
          </w:p>
        </w:tc>
      </w:tr>
      <w:tr w:rsidR="0066093E">
        <w:trPr>
          <w:jc w:val="center"/>
        </w:trPr>
        <w:tc>
          <w:tcPr>
            <w:tcW w:w="1730" w:type="dxa"/>
            <w:tcBorders>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rsidP="001E7DA9">
            <w:pPr>
              <w:adjustRightInd w:val="0"/>
              <w:snapToGrid w:val="0"/>
              <w:spacing w:line="240" w:lineRule="atLeast"/>
              <w:ind w:firstLineChars="200" w:firstLine="420"/>
              <w:rPr>
                <w:rFonts w:ascii="仿宋" w:eastAsia="仿宋" w:hAnsi="仿宋" w:hint="eastAsia"/>
                <w:bCs/>
                <w:szCs w:val="21"/>
              </w:rPr>
            </w:pPr>
            <w:r>
              <w:rPr>
                <w:rFonts w:ascii="仿宋" w:eastAsia="仿宋" w:hAnsi="仿宋" w:hint="eastAsia"/>
                <w:bCs/>
                <w:szCs w:val="21"/>
              </w:rPr>
              <w:t xml:space="preserve">个人投资者、机构投资者             </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hint="eastAsia"/>
                <w:bCs/>
                <w:color w:val="000000"/>
                <w:szCs w:val="21"/>
              </w:rPr>
              <w:t>CR2（稳健型）、CR3（平衡型）、CR4（进取型）、CR5（激进型）</w:t>
            </w:r>
            <w:r>
              <w:rPr>
                <w:rFonts w:ascii="仿宋" w:eastAsia="仿宋" w:hAnsi="仿宋" w:hint="eastAsia"/>
                <w:bCs/>
                <w:szCs w:val="21"/>
              </w:rPr>
              <w:t>的个人投资者。</w:t>
            </w:r>
            <w:r>
              <w:rPr>
                <w:rFonts w:ascii="仿宋" w:eastAsia="仿宋" w:hAnsi="仿宋" w:hint="eastAsia"/>
                <w:bCs/>
                <w:color w:val="000000"/>
                <w:szCs w:val="21"/>
              </w:rPr>
              <w:t>客户风险承受能力评级类型分为：CR1（谨慎型）、CR2（稳健型）、CR3（平衡型）、CR4（进取型）、CR5（激进型）</w:t>
            </w:r>
            <w:r>
              <w:rPr>
                <w:rFonts w:ascii="仿宋" w:eastAsia="仿宋" w:hAnsi="仿宋"/>
                <w:bCs/>
                <w:color w:val="000000"/>
                <w:szCs w:val="21"/>
              </w:rPr>
              <w:t>。</w:t>
            </w:r>
          </w:p>
          <w:p w:rsidR="0066093E" w:rsidRDefault="0066093E">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66093E" w:rsidRDefault="0066093E">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r>
              <w:rPr>
                <w:rFonts w:ascii="仿宋" w:eastAsia="仿宋" w:hAnsi="仿宋"/>
                <w:bCs/>
                <w:szCs w:val="21"/>
              </w:rPr>
              <w:t>。</w:t>
            </w:r>
          </w:p>
          <w:p w:rsidR="0066093E" w:rsidRDefault="0066093E">
            <w:pPr>
              <w:adjustRightInd w:val="0"/>
              <w:snapToGrid w:val="0"/>
              <w:spacing w:line="240" w:lineRule="atLeast"/>
              <w:ind w:firstLineChars="200" w:firstLine="422"/>
              <w:rPr>
                <w:rFonts w:ascii="仿宋" w:eastAsia="仿宋" w:hAnsi="仿宋" w:hint="eastAsia"/>
                <w:bCs/>
                <w:color w:val="000000"/>
                <w:szCs w:val="21"/>
              </w:rPr>
            </w:pPr>
            <w:r>
              <w:rPr>
                <w:rFonts w:ascii="仿宋" w:eastAsia="仿宋" w:hAnsi="仿宋" w:hint="eastAsia"/>
                <w:b/>
                <w:bCs/>
                <w:color w:val="000000"/>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color w:val="000000"/>
                <w:szCs w:val="21"/>
              </w:rPr>
              <w:t>投资者自身提供的信息</w:t>
            </w:r>
            <w:proofErr w:type="gramStart"/>
            <w:r>
              <w:rPr>
                <w:rFonts w:ascii="仿宋" w:eastAsia="仿宋" w:hAnsi="仿宋" w:hint="eastAsia"/>
                <w:b/>
                <w:bCs/>
                <w:color w:val="000000"/>
                <w:szCs w:val="21"/>
              </w:rPr>
              <w:t>评估非机构</w:t>
            </w:r>
            <w:proofErr w:type="gramEnd"/>
            <w:r>
              <w:rPr>
                <w:rFonts w:ascii="仿宋" w:eastAsia="仿宋" w:hAnsi="仿宋" w:hint="eastAsia"/>
                <w:b/>
                <w:bCs/>
                <w:color w:val="000000"/>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color w:val="000000"/>
                <w:szCs w:val="21"/>
              </w:rPr>
              <w:t>投资者提供信息不准确或不完整，导致其购买与自己风险承受能力不匹配的理财产品的</w:t>
            </w:r>
            <w:r>
              <w:rPr>
                <w:rFonts w:ascii="仿宋" w:eastAsia="仿宋" w:hAnsi="仿宋"/>
                <w:b/>
                <w:bCs/>
                <w:color w:val="000000"/>
                <w:szCs w:val="21"/>
              </w:rPr>
              <w:t>责任和风险由</w:t>
            </w:r>
            <w:r>
              <w:rPr>
                <w:rFonts w:ascii="仿宋" w:eastAsia="仿宋" w:hAnsi="仿宋" w:hint="eastAsia"/>
                <w:b/>
                <w:bCs/>
                <w:color w:val="000000"/>
                <w:szCs w:val="21"/>
              </w:rPr>
              <w:t>投资者</w:t>
            </w:r>
            <w:r>
              <w:rPr>
                <w:rFonts w:ascii="仿宋" w:eastAsia="仿宋" w:hAnsi="仿宋"/>
                <w:b/>
                <w:bCs/>
                <w:color w:val="000000"/>
                <w:szCs w:val="21"/>
              </w:rPr>
              <w:t>承担</w:t>
            </w:r>
            <w:r>
              <w:rPr>
                <w:rFonts w:ascii="仿宋" w:eastAsia="仿宋" w:hAnsi="仿宋" w:hint="eastAsia"/>
                <w:b/>
                <w:bCs/>
                <w:color w:val="000000"/>
                <w:szCs w:val="21"/>
              </w:rPr>
              <w:t>。</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业绩基准</w:t>
            </w:r>
          </w:p>
        </w:tc>
        <w:tc>
          <w:tcPr>
            <w:tcW w:w="7404" w:type="dxa"/>
            <w:tcBorders>
              <w:top w:val="single" w:sz="4" w:space="0" w:color="auto"/>
              <w:left w:val="single" w:sz="4" w:space="0" w:color="auto"/>
              <w:bottom w:val="single" w:sz="4" w:space="0" w:color="auto"/>
              <w:right w:val="single" w:sz="4" w:space="0" w:color="auto"/>
            </w:tcBorders>
            <w:vAlign w:val="center"/>
          </w:tcPr>
          <w:p w:rsidR="001E7DA9" w:rsidRDefault="001E7DA9" w:rsidP="001E7DA9">
            <w:pPr>
              <w:adjustRightInd w:val="0"/>
              <w:snapToGrid w:val="0"/>
              <w:spacing w:line="240" w:lineRule="atLeast"/>
              <w:ind w:firstLineChars="200" w:firstLine="420"/>
              <w:rPr>
                <w:rFonts w:ascii="仿宋" w:eastAsia="仿宋" w:hAnsi="仿宋"/>
                <w:bCs/>
                <w:color w:val="000000"/>
                <w:szCs w:val="21"/>
              </w:rPr>
            </w:pPr>
            <w:r w:rsidRPr="001E7DA9">
              <w:rPr>
                <w:rFonts w:ascii="仿宋" w:eastAsia="仿宋" w:hAnsi="仿宋" w:hint="eastAsia"/>
                <w:bCs/>
                <w:color w:val="000000"/>
                <w:szCs w:val="21"/>
              </w:rPr>
              <w:t>业绩基准为3.70%-4.20%（年化），综合考虑投资范围、投资策略和市场环境等因素，使用5%*中债-国债总财富（1-3年）指数收益率+115%*中债-</w:t>
            </w:r>
            <w:proofErr w:type="gramStart"/>
            <w:r w:rsidRPr="001E7DA9">
              <w:rPr>
                <w:rFonts w:ascii="仿宋" w:eastAsia="仿宋" w:hAnsi="仿宋" w:hint="eastAsia"/>
                <w:bCs/>
                <w:color w:val="000000"/>
                <w:szCs w:val="21"/>
              </w:rPr>
              <w:t>信用债总财富</w:t>
            </w:r>
            <w:proofErr w:type="gramEnd"/>
            <w:r w:rsidRPr="001E7DA9">
              <w:rPr>
                <w:rFonts w:ascii="仿宋" w:eastAsia="仿宋" w:hAnsi="仿宋" w:hint="eastAsia"/>
                <w:bCs/>
                <w:color w:val="000000"/>
                <w:szCs w:val="21"/>
              </w:rPr>
              <w:t>（1-3年）指数收益率-20%*银行间R007计算，其中</w:t>
            </w:r>
            <w:proofErr w:type="gramStart"/>
            <w:r w:rsidRPr="001E7DA9">
              <w:rPr>
                <w:rFonts w:ascii="仿宋" w:eastAsia="仿宋" w:hAnsi="仿宋" w:hint="eastAsia"/>
                <w:bCs/>
                <w:color w:val="000000"/>
                <w:szCs w:val="21"/>
              </w:rPr>
              <w:t>中</w:t>
            </w:r>
            <w:proofErr w:type="gramEnd"/>
            <w:r w:rsidRPr="001E7DA9">
              <w:rPr>
                <w:rFonts w:ascii="仿宋" w:eastAsia="仿宋" w:hAnsi="仿宋" w:hint="eastAsia"/>
                <w:bCs/>
                <w:color w:val="000000"/>
                <w:szCs w:val="21"/>
              </w:rPr>
              <w:t>债-国债总财富（1-3年）指数、中债-</w:t>
            </w:r>
            <w:proofErr w:type="gramStart"/>
            <w:r w:rsidRPr="001E7DA9">
              <w:rPr>
                <w:rFonts w:ascii="仿宋" w:eastAsia="仿宋" w:hAnsi="仿宋" w:hint="eastAsia"/>
                <w:bCs/>
                <w:color w:val="000000"/>
                <w:szCs w:val="21"/>
              </w:rPr>
              <w:t>信用债总财富</w:t>
            </w:r>
            <w:proofErr w:type="gramEnd"/>
            <w:r w:rsidRPr="001E7DA9">
              <w:rPr>
                <w:rFonts w:ascii="仿宋" w:eastAsia="仿宋" w:hAnsi="仿宋" w:hint="eastAsia"/>
                <w:bCs/>
                <w:color w:val="000000"/>
                <w:szCs w:val="21"/>
              </w:rPr>
              <w:t>（1-3年）指数，取近三年历史数据计算正态分布下80%分位数估算。测算依据仅供参考，不代表华夏理财对产品的任何收益承诺。</w:t>
            </w:r>
          </w:p>
          <w:p w:rsidR="0066093E" w:rsidRDefault="0066093E" w:rsidP="001E7DA9">
            <w:pPr>
              <w:adjustRightInd w:val="0"/>
              <w:snapToGrid w:val="0"/>
              <w:spacing w:line="240" w:lineRule="atLeast"/>
              <w:ind w:firstLineChars="200" w:firstLine="420"/>
              <w:rPr>
                <w:rFonts w:ascii="仿宋" w:eastAsia="仿宋" w:hAnsi="仿宋" w:hint="eastAsia"/>
                <w:bCs/>
                <w:color w:val="000000"/>
                <w:szCs w:val="21"/>
              </w:rPr>
            </w:pPr>
            <w:r>
              <w:rPr>
                <w:rFonts w:ascii="仿宋" w:eastAsia="仿宋" w:hAnsi="仿宋" w:hint="eastAsia"/>
                <w:bCs/>
                <w:color w:val="000000"/>
                <w:szCs w:val="21"/>
              </w:rPr>
              <w:t>华夏理财有权根据市场情况及产品运作情况调整业绩基准，</w:t>
            </w:r>
            <w:r>
              <w:rPr>
                <w:rFonts w:ascii="仿宋" w:eastAsia="仿宋" w:hAnsi="仿宋" w:hint="eastAsia"/>
                <w:bCs/>
                <w:szCs w:val="21"/>
              </w:rPr>
              <w:t>并至少于新业绩基准启用前3个工作日公告</w:t>
            </w:r>
            <w:r>
              <w:rPr>
                <w:rFonts w:ascii="仿宋" w:eastAsia="仿宋" w:hAnsi="仿宋" w:hint="eastAsia"/>
                <w:bCs/>
                <w:color w:val="000000"/>
                <w:szCs w:val="21"/>
              </w:rPr>
              <w:t>。</w:t>
            </w:r>
          </w:p>
          <w:p w:rsidR="0066093E" w:rsidRDefault="0066093E">
            <w:pPr>
              <w:adjustRightInd w:val="0"/>
              <w:snapToGrid w:val="0"/>
              <w:spacing w:line="240" w:lineRule="atLeast"/>
              <w:ind w:firstLineChars="200" w:firstLine="422"/>
              <w:rPr>
                <w:rFonts w:ascii="仿宋" w:eastAsia="仿宋" w:hAnsi="仿宋" w:hint="eastAsia"/>
                <w:b/>
                <w:bCs/>
                <w:szCs w:val="21"/>
              </w:rPr>
            </w:pPr>
            <w:r>
              <w:rPr>
                <w:rFonts w:ascii="仿宋" w:eastAsia="仿宋" w:hAnsi="仿宋" w:hint="eastAsia"/>
                <w:b/>
                <w:bCs/>
                <w:szCs w:val="21"/>
              </w:rPr>
              <w:t>1.本理财产品为净值型产品，其业绩表现将随市场波动，具有不确定性。</w:t>
            </w:r>
          </w:p>
          <w:p w:rsidR="0066093E" w:rsidRDefault="0066093E">
            <w:pPr>
              <w:adjustRightInd w:val="0"/>
              <w:snapToGrid w:val="0"/>
              <w:spacing w:line="240" w:lineRule="atLeast"/>
              <w:ind w:firstLineChars="200" w:firstLine="422"/>
              <w:rPr>
                <w:rFonts w:ascii="仿宋" w:eastAsia="仿宋" w:hAnsi="仿宋" w:hint="eastAsia"/>
                <w:b/>
                <w:bCs/>
                <w:szCs w:val="21"/>
              </w:rPr>
            </w:pPr>
            <w:r>
              <w:rPr>
                <w:rFonts w:ascii="仿宋" w:eastAsia="仿宋" w:hAnsi="仿宋" w:hint="eastAsia"/>
                <w:b/>
                <w:bCs/>
                <w:szCs w:val="21"/>
              </w:rPr>
              <w:t>2.</w:t>
            </w:r>
            <w:proofErr w:type="gramStart"/>
            <w:r>
              <w:rPr>
                <w:rFonts w:ascii="仿宋" w:eastAsia="仿宋" w:hAnsi="仿宋" w:hint="eastAsia"/>
                <w:b/>
                <w:bCs/>
                <w:szCs w:val="21"/>
              </w:rPr>
              <w:t>本业绩</w:t>
            </w:r>
            <w:proofErr w:type="gramEnd"/>
            <w:r>
              <w:rPr>
                <w:rFonts w:ascii="仿宋" w:eastAsia="仿宋" w:hAnsi="仿宋" w:hint="eastAsia"/>
                <w:b/>
                <w:bCs/>
                <w:szCs w:val="21"/>
              </w:rPr>
              <w:t>基准不构成华夏理财/代销机构对本理财产品的任何收益承诺。</w:t>
            </w:r>
          </w:p>
          <w:p w:rsidR="0066093E" w:rsidRDefault="0066093E">
            <w:pPr>
              <w:adjustRightInd w:val="0"/>
              <w:snapToGrid w:val="0"/>
              <w:spacing w:line="240" w:lineRule="atLeast"/>
              <w:ind w:firstLineChars="200" w:firstLine="422"/>
              <w:rPr>
                <w:rFonts w:ascii="仿宋" w:eastAsia="仿宋" w:hAnsi="仿宋" w:hint="eastAsia"/>
                <w:b/>
                <w:bCs/>
                <w:szCs w:val="21"/>
              </w:rPr>
            </w:pPr>
            <w:r>
              <w:rPr>
                <w:rFonts w:ascii="仿宋" w:eastAsia="仿宋" w:hAnsi="仿宋" w:hint="eastAsia"/>
                <w:b/>
                <w:bCs/>
                <w:szCs w:val="21"/>
              </w:rPr>
              <w:t>3.理财产品过往业绩不代表其未来表现，不等于理财产品实际收益，投资须谨慎。</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bCs/>
                <w:szCs w:val="21"/>
              </w:rPr>
            </w:pPr>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ind w:firstLineChars="200" w:firstLine="420"/>
              <w:rPr>
                <w:rFonts w:ascii="仿宋" w:eastAsia="仿宋" w:hAnsi="仿宋" w:hint="eastAsia"/>
                <w:bCs/>
                <w:szCs w:val="21"/>
              </w:rPr>
            </w:pPr>
            <w:r>
              <w:rPr>
                <w:rFonts w:ascii="仿宋" w:eastAsia="仿宋" w:hAnsi="仿宋" w:hint="eastAsia"/>
                <w:bCs/>
                <w:szCs w:val="21"/>
              </w:rPr>
              <w:t>2021</w:t>
            </w:r>
            <w:r>
              <w:rPr>
                <w:rFonts w:ascii="仿宋" w:eastAsia="仿宋" w:hAnsi="仿宋"/>
                <w:bCs/>
                <w:szCs w:val="21"/>
              </w:rPr>
              <w:t>年</w:t>
            </w:r>
            <w:r>
              <w:rPr>
                <w:rFonts w:ascii="仿宋" w:eastAsia="仿宋" w:hAnsi="仿宋" w:hint="eastAsia"/>
                <w:bCs/>
                <w:szCs w:val="21"/>
              </w:rPr>
              <w:t>02月02</w:t>
            </w:r>
            <w:r>
              <w:rPr>
                <w:rFonts w:ascii="仿宋" w:eastAsia="仿宋" w:hAnsi="仿宋"/>
                <w:bCs/>
                <w:szCs w:val="21"/>
              </w:rPr>
              <w:t>日－</w:t>
            </w:r>
            <w:r>
              <w:rPr>
                <w:rFonts w:ascii="仿宋" w:eastAsia="仿宋" w:hAnsi="仿宋" w:hint="eastAsia"/>
                <w:bCs/>
                <w:szCs w:val="21"/>
              </w:rPr>
              <w:t>2021</w:t>
            </w:r>
            <w:r>
              <w:rPr>
                <w:rFonts w:ascii="仿宋" w:eastAsia="仿宋" w:hAnsi="仿宋"/>
                <w:bCs/>
                <w:szCs w:val="21"/>
              </w:rPr>
              <w:t>年</w:t>
            </w:r>
            <w:r>
              <w:rPr>
                <w:rFonts w:ascii="仿宋" w:eastAsia="仿宋" w:hAnsi="仿宋" w:hint="eastAsia"/>
                <w:bCs/>
                <w:szCs w:val="21"/>
              </w:rPr>
              <w:t>02</w:t>
            </w:r>
            <w:r>
              <w:rPr>
                <w:rFonts w:ascii="仿宋" w:eastAsia="仿宋" w:hAnsi="仿宋"/>
                <w:bCs/>
                <w:szCs w:val="21"/>
              </w:rPr>
              <w:t>月</w:t>
            </w:r>
            <w:r>
              <w:rPr>
                <w:rFonts w:ascii="仿宋" w:eastAsia="仿宋" w:hAnsi="仿宋" w:hint="eastAsia"/>
                <w:bCs/>
                <w:szCs w:val="21"/>
              </w:rPr>
              <w:t>08日</w:t>
            </w:r>
            <w:r>
              <w:rPr>
                <w:rFonts w:ascii="仿宋" w:eastAsia="仿宋" w:hAnsi="仿宋"/>
                <w:bCs/>
                <w:szCs w:val="21"/>
              </w:rPr>
              <w:t>（含）</w:t>
            </w:r>
            <w:r>
              <w:rPr>
                <w:rFonts w:ascii="仿宋" w:eastAsia="仿宋" w:hAnsi="仿宋" w:hint="eastAsia"/>
                <w:bCs/>
                <w:szCs w:val="21"/>
              </w:rPr>
              <w:t>(根据市场情况，华夏理财有权提前结束认购或调整相关日期，募集期最后一日17：30（含）后不可认购。</w:t>
            </w:r>
            <w:r>
              <w:rPr>
                <w:rFonts w:ascii="仿宋" w:eastAsia="仿宋" w:hAnsi="仿宋"/>
                <w:bCs/>
                <w:szCs w:val="21"/>
              </w:rPr>
              <w:t>)</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ind w:firstLineChars="200" w:firstLine="420"/>
              <w:rPr>
                <w:rFonts w:ascii="仿宋" w:eastAsia="仿宋" w:hAnsi="仿宋" w:hint="eastAsia"/>
                <w:bCs/>
                <w:szCs w:val="21"/>
              </w:rPr>
            </w:pPr>
            <w:r>
              <w:rPr>
                <w:rFonts w:ascii="仿宋" w:eastAsia="仿宋" w:hAnsi="仿宋" w:hint="eastAsia"/>
                <w:bCs/>
                <w:szCs w:val="21"/>
              </w:rPr>
              <w:t>2021</w:t>
            </w:r>
            <w:r>
              <w:rPr>
                <w:rFonts w:ascii="仿宋" w:eastAsia="仿宋" w:hAnsi="仿宋"/>
                <w:bCs/>
                <w:szCs w:val="21"/>
              </w:rPr>
              <w:t>年</w:t>
            </w:r>
            <w:r>
              <w:rPr>
                <w:rFonts w:ascii="仿宋" w:eastAsia="仿宋" w:hAnsi="仿宋" w:hint="eastAsia"/>
                <w:bCs/>
                <w:szCs w:val="21"/>
              </w:rPr>
              <w:t>02</w:t>
            </w:r>
            <w:r>
              <w:rPr>
                <w:rFonts w:ascii="仿宋" w:eastAsia="仿宋" w:hAnsi="仿宋"/>
                <w:bCs/>
                <w:szCs w:val="21"/>
              </w:rPr>
              <w:t>月</w:t>
            </w:r>
            <w:r>
              <w:rPr>
                <w:rFonts w:ascii="仿宋" w:eastAsia="仿宋" w:hAnsi="仿宋" w:hint="eastAsia"/>
                <w:bCs/>
                <w:szCs w:val="21"/>
              </w:rPr>
              <w:t>09</w:t>
            </w:r>
            <w:r>
              <w:rPr>
                <w:rFonts w:ascii="仿宋" w:eastAsia="仿宋" w:hAnsi="仿宋"/>
                <w:bCs/>
                <w:szCs w:val="21"/>
              </w:rPr>
              <w:t>日</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hint="eastAsia"/>
                <w:bCs/>
                <w:szCs w:val="21"/>
              </w:rPr>
              <w:t>产品成立日至产品首个</w:t>
            </w:r>
            <w:r>
              <w:rPr>
                <w:rFonts w:ascii="仿宋" w:eastAsia="仿宋" w:hAnsi="仿宋"/>
                <w:bCs/>
                <w:szCs w:val="21"/>
              </w:rPr>
              <w:t>开放</w:t>
            </w:r>
            <w:r>
              <w:rPr>
                <w:rFonts w:ascii="仿宋" w:eastAsia="仿宋" w:hAnsi="仿宋" w:hint="eastAsia"/>
                <w:bCs/>
                <w:szCs w:val="21"/>
              </w:rPr>
              <w:t>期</w:t>
            </w:r>
            <w:r>
              <w:rPr>
                <w:rFonts w:ascii="仿宋" w:eastAsia="仿宋" w:hAnsi="仿宋"/>
                <w:bCs/>
                <w:szCs w:val="21"/>
              </w:rPr>
              <w:t>的</w:t>
            </w:r>
            <w:r>
              <w:rPr>
                <w:rFonts w:ascii="仿宋" w:eastAsia="仿宋" w:hAnsi="仿宋" w:hint="eastAsia"/>
                <w:bCs/>
                <w:szCs w:val="21"/>
              </w:rPr>
              <w:t>前一</w:t>
            </w:r>
            <w:r>
              <w:rPr>
                <w:rFonts w:ascii="仿宋" w:eastAsia="仿宋" w:hAnsi="仿宋"/>
                <w:bCs/>
                <w:szCs w:val="21"/>
              </w:rPr>
              <w:t>日</w:t>
            </w:r>
            <w:r>
              <w:rPr>
                <w:rFonts w:ascii="仿宋" w:eastAsia="仿宋" w:hAnsi="仿宋" w:hint="eastAsia"/>
                <w:bCs/>
                <w:szCs w:val="21"/>
              </w:rPr>
              <w:t>、产品</w:t>
            </w:r>
            <w:r>
              <w:rPr>
                <w:rFonts w:ascii="仿宋" w:eastAsia="仿宋" w:hAnsi="仿宋"/>
                <w:bCs/>
                <w:szCs w:val="21"/>
              </w:rPr>
              <w:t>上</w:t>
            </w:r>
            <w:r>
              <w:rPr>
                <w:rFonts w:ascii="仿宋" w:eastAsia="仿宋" w:hAnsi="仿宋" w:hint="eastAsia"/>
                <w:bCs/>
                <w:szCs w:val="21"/>
              </w:rPr>
              <w:t>一</w:t>
            </w:r>
            <w:r>
              <w:rPr>
                <w:rFonts w:ascii="仿宋" w:eastAsia="仿宋" w:hAnsi="仿宋"/>
                <w:bCs/>
                <w:szCs w:val="21"/>
              </w:rPr>
              <w:t>开放</w:t>
            </w:r>
            <w:r>
              <w:rPr>
                <w:rFonts w:ascii="仿宋" w:eastAsia="仿宋" w:hAnsi="仿宋" w:hint="eastAsia"/>
                <w:bCs/>
                <w:szCs w:val="21"/>
              </w:rPr>
              <w:t>期的下一日</w:t>
            </w:r>
            <w:proofErr w:type="gramStart"/>
            <w:r>
              <w:rPr>
                <w:rFonts w:ascii="仿宋" w:eastAsia="仿宋" w:hAnsi="仿宋"/>
                <w:bCs/>
                <w:szCs w:val="21"/>
              </w:rPr>
              <w:t>至</w:t>
            </w:r>
            <w:r>
              <w:rPr>
                <w:rFonts w:ascii="仿宋" w:eastAsia="仿宋" w:hAnsi="仿宋" w:hint="eastAsia"/>
                <w:bCs/>
                <w:szCs w:val="21"/>
              </w:rPr>
              <w:t>产品</w:t>
            </w:r>
            <w:r>
              <w:rPr>
                <w:rFonts w:ascii="仿宋" w:eastAsia="仿宋" w:hAnsi="仿宋"/>
                <w:bCs/>
                <w:szCs w:val="21"/>
              </w:rPr>
              <w:t>下</w:t>
            </w:r>
            <w:proofErr w:type="gramEnd"/>
            <w:r>
              <w:rPr>
                <w:rFonts w:ascii="仿宋" w:eastAsia="仿宋" w:hAnsi="仿宋"/>
                <w:bCs/>
                <w:szCs w:val="21"/>
              </w:rPr>
              <w:t>一开放</w:t>
            </w:r>
            <w:r>
              <w:rPr>
                <w:rFonts w:ascii="仿宋" w:eastAsia="仿宋" w:hAnsi="仿宋" w:hint="eastAsia"/>
                <w:bCs/>
                <w:szCs w:val="21"/>
              </w:rPr>
              <w:t>期</w:t>
            </w:r>
            <w:r>
              <w:rPr>
                <w:rFonts w:ascii="仿宋" w:eastAsia="仿宋" w:hAnsi="仿宋"/>
                <w:bCs/>
                <w:szCs w:val="21"/>
              </w:rPr>
              <w:t>的</w:t>
            </w:r>
            <w:r>
              <w:rPr>
                <w:rFonts w:ascii="仿宋" w:eastAsia="仿宋" w:hAnsi="仿宋" w:hint="eastAsia"/>
                <w:bCs/>
                <w:szCs w:val="21"/>
              </w:rPr>
              <w:t>前一</w:t>
            </w:r>
            <w:r>
              <w:rPr>
                <w:rFonts w:ascii="仿宋" w:eastAsia="仿宋" w:hAnsi="仿宋"/>
                <w:bCs/>
                <w:szCs w:val="21"/>
              </w:rPr>
              <w:t>日、产品最后一个</w:t>
            </w:r>
            <w:r>
              <w:rPr>
                <w:rFonts w:ascii="仿宋" w:eastAsia="仿宋" w:hAnsi="仿宋" w:hint="eastAsia"/>
                <w:bCs/>
                <w:szCs w:val="21"/>
              </w:rPr>
              <w:t>开放期的下一</w:t>
            </w:r>
            <w:r>
              <w:rPr>
                <w:rFonts w:ascii="仿宋" w:eastAsia="仿宋" w:hAnsi="仿宋"/>
                <w:bCs/>
                <w:szCs w:val="21"/>
              </w:rPr>
              <w:t>日</w:t>
            </w:r>
            <w:proofErr w:type="gramStart"/>
            <w:r>
              <w:rPr>
                <w:rFonts w:ascii="仿宋" w:eastAsia="仿宋" w:hAnsi="仿宋"/>
                <w:bCs/>
                <w:szCs w:val="21"/>
              </w:rPr>
              <w:t>至产品</w:t>
            </w:r>
            <w:proofErr w:type="gramEnd"/>
            <w:r>
              <w:rPr>
                <w:rFonts w:ascii="仿宋" w:eastAsia="仿宋" w:hAnsi="仿宋" w:hint="eastAsia"/>
                <w:bCs/>
                <w:szCs w:val="21"/>
              </w:rPr>
              <w:t>到期日</w:t>
            </w:r>
            <w:r>
              <w:rPr>
                <w:rFonts w:ascii="仿宋" w:eastAsia="仿宋" w:hAnsi="仿宋"/>
                <w:bCs/>
                <w:szCs w:val="21"/>
              </w:rPr>
              <w:t>为产品的封闭期</w:t>
            </w:r>
            <w:r>
              <w:rPr>
                <w:rFonts w:ascii="仿宋" w:eastAsia="仿宋" w:hAnsi="仿宋" w:hint="eastAsia"/>
                <w:bCs/>
                <w:szCs w:val="21"/>
              </w:rPr>
              <w:t>。</w:t>
            </w:r>
          </w:p>
          <w:p w:rsidR="0066093E" w:rsidRDefault="0066093E">
            <w:pPr>
              <w:adjustRightInd w:val="0"/>
              <w:snapToGrid w:val="0"/>
              <w:spacing w:line="240" w:lineRule="atLeast"/>
              <w:ind w:firstLineChars="200" w:firstLine="422"/>
              <w:jc w:val="left"/>
              <w:rPr>
                <w:rFonts w:ascii="仿宋" w:eastAsia="仿宋" w:hAnsi="仿宋" w:hint="eastAsia"/>
                <w:b/>
                <w:bCs/>
                <w:szCs w:val="21"/>
              </w:rPr>
            </w:pPr>
            <w:r>
              <w:rPr>
                <w:rFonts w:ascii="仿宋" w:eastAsia="仿宋" w:hAnsi="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产品存续期限</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ind w:firstLineChars="200" w:firstLine="420"/>
              <w:rPr>
                <w:rFonts w:ascii="仿宋" w:eastAsia="仿宋" w:hAnsi="仿宋" w:hint="eastAsia"/>
                <w:bCs/>
                <w:szCs w:val="21"/>
              </w:rPr>
            </w:pPr>
            <w:r>
              <w:rPr>
                <w:rFonts w:ascii="仿宋" w:eastAsia="仿宋" w:hAnsi="仿宋" w:hint="eastAsia"/>
                <w:bCs/>
                <w:color w:val="000000"/>
                <w:szCs w:val="21"/>
              </w:rPr>
              <w:t>本理财产品无特定存续期限（实际产品期限受制于提前终止条款的约定）</w:t>
            </w:r>
            <w:r>
              <w:rPr>
                <w:rFonts w:ascii="仿宋" w:eastAsia="仿宋" w:hAnsi="仿宋" w:hint="eastAsia"/>
                <w:bCs/>
                <w:szCs w:val="21"/>
              </w:rPr>
              <w:t>。</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color w:val="000000"/>
                <w:szCs w:val="21"/>
              </w:rPr>
            </w:pPr>
            <w:r>
              <w:rPr>
                <w:rFonts w:ascii="仿宋" w:eastAsia="仿宋" w:hAnsi="仿宋" w:hint="eastAsia"/>
                <w:bCs/>
                <w:color w:val="000000"/>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color w:val="000000"/>
                <w:szCs w:val="21"/>
              </w:rPr>
            </w:pPr>
            <w:r>
              <w:rPr>
                <w:rFonts w:ascii="仿宋" w:eastAsia="仿宋" w:hAnsi="仿宋" w:hint="eastAsia"/>
                <w:bCs/>
                <w:color w:val="000000"/>
                <w:szCs w:val="21"/>
              </w:rPr>
              <w:t>全国发行</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bCs/>
                <w:szCs w:val="21"/>
              </w:rPr>
            </w:pPr>
            <w:r>
              <w:rPr>
                <w:rFonts w:ascii="仿宋" w:eastAsia="仿宋" w:hAnsi="仿宋" w:hint="eastAsia"/>
                <w:bCs/>
                <w:szCs w:val="21"/>
              </w:rPr>
              <w:t>发行规模</w:t>
            </w:r>
            <w:r>
              <w:rPr>
                <w:rFonts w:ascii="仿宋" w:eastAsia="仿宋" w:hAnsi="仿宋"/>
                <w:bCs/>
                <w:szCs w:val="21"/>
              </w:rPr>
              <w:t>下限</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1000万元</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ind w:firstLineChars="200" w:firstLine="422"/>
              <w:rPr>
                <w:rFonts w:ascii="仿宋" w:eastAsia="仿宋" w:hAnsi="仿宋" w:hint="eastAsia"/>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66093E" w:rsidRDefault="0066093E">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华夏银行官方</w:t>
            </w:r>
            <w:r>
              <w:rPr>
                <w:rFonts w:ascii="仿宋" w:eastAsia="仿宋" w:hAnsi="仿宋"/>
                <w:bCs/>
                <w:szCs w:val="21"/>
              </w:rPr>
              <w:t>网站</w:t>
            </w:r>
            <w:r>
              <w:rPr>
                <w:rFonts w:ascii="仿宋" w:eastAsia="仿宋" w:hAnsi="仿宋" w:hint="eastAsia"/>
                <w:bCs/>
                <w:szCs w:val="21"/>
              </w:rPr>
              <w:t>等渠道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资金退回</w:t>
            </w:r>
            <w:r>
              <w:rPr>
                <w:rFonts w:ascii="仿宋" w:eastAsia="仿宋" w:hAnsi="仿宋" w:hint="eastAsia"/>
                <w:bCs/>
                <w:szCs w:val="21"/>
              </w:rPr>
              <w:t>华夏银行/华夏理财客户</w:t>
            </w:r>
            <w:r>
              <w:rPr>
                <w:rFonts w:ascii="仿宋" w:eastAsia="仿宋" w:hAnsi="仿宋"/>
                <w:bCs/>
                <w:szCs w:val="21"/>
              </w:rPr>
              <w:t>的</w:t>
            </w:r>
            <w:r>
              <w:rPr>
                <w:rFonts w:ascii="仿宋" w:eastAsia="仿宋" w:hAnsi="仿宋" w:hint="eastAsia"/>
                <w:bCs/>
                <w:szCs w:val="21"/>
              </w:rPr>
              <w:t>理财签约</w:t>
            </w:r>
            <w:r>
              <w:rPr>
                <w:rFonts w:ascii="仿宋" w:eastAsia="仿宋" w:hAnsi="仿宋"/>
                <w:bCs/>
                <w:szCs w:val="21"/>
              </w:rPr>
              <w:t>账户</w:t>
            </w:r>
            <w:r>
              <w:rPr>
                <w:rFonts w:ascii="仿宋" w:eastAsia="仿宋" w:hAnsi="仿宋" w:hint="eastAsia"/>
                <w:bCs/>
                <w:szCs w:val="21"/>
              </w:rPr>
              <w:t>内（</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w:t>
            </w:r>
            <w:r>
              <w:rPr>
                <w:rFonts w:ascii="仿宋" w:eastAsia="仿宋" w:hAnsi="仿宋" w:hint="eastAsia"/>
                <w:bCs/>
                <w:szCs w:val="21"/>
              </w:rPr>
              <w:lastRenderedPageBreak/>
              <w:t>构购买的，客户已募集资金退回的具体到账账户、到账日及到账时间以代销机构划付规定为准</w:t>
            </w:r>
            <w:r>
              <w:rPr>
                <w:rFonts w:ascii="仿宋" w:eastAsia="仿宋" w:hAnsi="仿宋"/>
                <w:bCs/>
                <w:szCs w:val="21"/>
              </w:rPr>
              <w:t>。</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bCs/>
                <w:szCs w:val="21"/>
              </w:rPr>
              <w:lastRenderedPageBreak/>
              <w:t>认购</w:t>
            </w:r>
            <w:r>
              <w:rPr>
                <w:rFonts w:ascii="仿宋" w:eastAsia="仿宋" w:hAnsi="仿宋" w:hint="eastAsia"/>
                <w:bCs/>
                <w:szCs w:val="21"/>
              </w:rPr>
              <w:t>/</w:t>
            </w:r>
            <w:r>
              <w:rPr>
                <w:rFonts w:ascii="仿宋" w:eastAsia="仿宋" w:hAnsi="仿宋"/>
                <w:bCs/>
                <w:szCs w:val="21"/>
              </w:rPr>
              <w:t>申购</w:t>
            </w:r>
          </w:p>
          <w:p w:rsidR="0066093E" w:rsidRDefault="0066093E">
            <w:pPr>
              <w:adjustRightInd w:val="0"/>
              <w:snapToGrid w:val="0"/>
              <w:spacing w:line="240" w:lineRule="atLeast"/>
              <w:jc w:val="center"/>
              <w:rPr>
                <w:rFonts w:ascii="仿宋" w:eastAsia="仿宋" w:hAnsi="仿宋"/>
                <w:bCs/>
                <w:szCs w:val="21"/>
              </w:rPr>
            </w:pPr>
            <w:r>
              <w:rPr>
                <w:rFonts w:ascii="仿宋" w:eastAsia="仿宋" w:hAnsi="仿宋"/>
                <w:bCs/>
                <w:szCs w:val="21"/>
              </w:rPr>
              <w:t>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ind w:firstLineChars="200" w:firstLine="420"/>
              <w:rPr>
                <w:rFonts w:ascii="仿宋" w:eastAsia="仿宋" w:hAnsi="仿宋" w:hint="eastAsia"/>
                <w:bCs/>
                <w:szCs w:val="21"/>
              </w:rPr>
            </w:pPr>
            <w:r>
              <w:rPr>
                <w:rFonts w:ascii="仿宋" w:eastAsia="仿宋" w:hAnsi="仿宋" w:hint="eastAsia"/>
                <w:bCs/>
                <w:szCs w:val="21"/>
              </w:rPr>
              <w:t>1元，以1元的</w:t>
            </w:r>
            <w:r>
              <w:rPr>
                <w:rFonts w:ascii="仿宋" w:eastAsia="仿宋" w:hAnsi="仿宋" w:hint="eastAsia"/>
              </w:rPr>
              <w:t>整数</w:t>
            </w:r>
            <w:proofErr w:type="gramStart"/>
            <w:r>
              <w:rPr>
                <w:rFonts w:ascii="仿宋" w:eastAsia="仿宋" w:hAnsi="仿宋" w:hint="eastAsia"/>
              </w:rPr>
              <w:t>倍</w:t>
            </w:r>
            <w:proofErr w:type="gramEnd"/>
            <w:r>
              <w:rPr>
                <w:rFonts w:ascii="仿宋" w:eastAsia="仿宋" w:hAnsi="仿宋" w:hint="eastAsia"/>
              </w:rPr>
              <w:t>递增</w:t>
            </w:r>
            <w:r>
              <w:rPr>
                <w:rFonts w:ascii="仿宋" w:eastAsia="仿宋" w:hAnsi="仿宋" w:hint="eastAsia"/>
                <w:bCs/>
                <w:szCs w:val="21"/>
              </w:rPr>
              <w:t>。</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 xml:space="preserve">购买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bCs/>
                <w:szCs w:val="21"/>
              </w:rPr>
            </w:pPr>
            <w:r>
              <w:rPr>
                <w:rFonts w:ascii="仿宋" w:eastAsia="仿宋" w:hAnsi="仿宋"/>
                <w:bCs/>
                <w:szCs w:val="21"/>
              </w:rPr>
              <w:t>单笔赎回</w:t>
            </w:r>
            <w:r>
              <w:rPr>
                <w:rFonts w:ascii="仿宋" w:eastAsia="仿宋" w:hAnsi="仿宋" w:hint="eastAsia"/>
                <w:bCs/>
                <w:szCs w:val="21"/>
              </w:rPr>
              <w:t xml:space="preserve">     </w:t>
            </w:r>
            <w:r>
              <w:rPr>
                <w:rFonts w:ascii="仿宋" w:eastAsia="仿宋" w:hAnsi="仿宋"/>
                <w:bCs/>
                <w:szCs w:val="21"/>
              </w:rPr>
              <w:t>最低</w:t>
            </w:r>
            <w:r>
              <w:rPr>
                <w:rFonts w:ascii="仿宋" w:eastAsia="仿宋" w:hAnsi="仿宋" w:hint="eastAsia"/>
                <w:bCs/>
                <w:szCs w:val="21"/>
              </w:rPr>
              <w:t>限</w:t>
            </w:r>
            <w:r>
              <w:rPr>
                <w:rFonts w:ascii="仿宋" w:eastAsia="仿宋" w:hAnsi="仿宋"/>
                <w:bCs/>
                <w:szCs w:val="21"/>
              </w:rPr>
              <w:t>额</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0.01份</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bCs/>
                <w:szCs w:val="21"/>
              </w:rPr>
            </w:pPr>
            <w:r>
              <w:rPr>
                <w:rFonts w:ascii="仿宋" w:eastAsia="仿宋" w:hAnsi="仿宋"/>
                <w:bCs/>
                <w:szCs w:val="21"/>
              </w:rPr>
              <w:t>理财账户</w:t>
            </w:r>
            <w:r>
              <w:rPr>
                <w:rFonts w:ascii="仿宋" w:eastAsia="仿宋" w:hAnsi="仿宋" w:hint="eastAsia"/>
                <w:bCs/>
                <w:szCs w:val="21"/>
              </w:rPr>
              <w:t xml:space="preserve">     </w:t>
            </w:r>
            <w:r>
              <w:rPr>
                <w:rFonts w:ascii="仿宋" w:eastAsia="仿宋" w:hAnsi="仿宋"/>
                <w:bCs/>
                <w:szCs w:val="21"/>
              </w:rPr>
              <w:t>最低保留</w:t>
            </w:r>
            <w:r>
              <w:rPr>
                <w:rFonts w:ascii="仿宋" w:eastAsia="仿宋" w:hAnsi="仿宋" w:hint="eastAsia"/>
                <w:bCs/>
                <w:szCs w:val="21"/>
              </w:rPr>
              <w:t>限</w:t>
            </w:r>
            <w:r>
              <w:rPr>
                <w:rFonts w:ascii="仿宋" w:eastAsia="仿宋" w:hAnsi="仿宋"/>
                <w:bCs/>
                <w:szCs w:val="21"/>
              </w:rPr>
              <w:t>额</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0.01份</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bCs/>
                <w:szCs w:val="21"/>
              </w:rPr>
            </w:pPr>
            <w:r>
              <w:rPr>
                <w:rFonts w:ascii="仿宋" w:eastAsia="仿宋" w:hAnsi="仿宋"/>
                <w:bCs/>
                <w:szCs w:val="21"/>
              </w:rPr>
              <w:t>理财账户</w:t>
            </w:r>
            <w:r>
              <w:rPr>
                <w:rFonts w:ascii="仿宋" w:eastAsia="仿宋" w:hAnsi="仿宋" w:hint="eastAsia"/>
                <w:bCs/>
                <w:szCs w:val="21"/>
              </w:rPr>
              <w:t xml:space="preserve">     </w:t>
            </w:r>
            <w:r>
              <w:rPr>
                <w:rFonts w:ascii="仿宋" w:eastAsia="仿宋" w:hAnsi="仿宋"/>
                <w:bCs/>
                <w:szCs w:val="21"/>
              </w:rPr>
              <w:t>最</w:t>
            </w:r>
            <w:r>
              <w:rPr>
                <w:rFonts w:ascii="仿宋" w:eastAsia="仿宋" w:hAnsi="仿宋" w:hint="eastAsia"/>
                <w:bCs/>
                <w:szCs w:val="21"/>
              </w:rPr>
              <w:t>高持有限</w:t>
            </w:r>
            <w:r>
              <w:rPr>
                <w:rFonts w:ascii="仿宋" w:eastAsia="仿宋" w:hAnsi="仿宋"/>
                <w:bCs/>
                <w:szCs w:val="21"/>
              </w:rPr>
              <w:t>额</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不限</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bCs/>
                <w:szCs w:val="21"/>
              </w:rP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份额净值为提取管理费、托管费、销售费等相关费用后的理财产品份额净值，投资者按该份额净值进行申购、赎回和到期/终止时的分配。</w:t>
            </w:r>
          </w:p>
          <w:p w:rsidR="0066093E" w:rsidRDefault="0066093E">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份额净值的计算保留到小数点后4位，小数点后第5位四舍五入</w:t>
            </w:r>
            <w:r>
              <w:rPr>
                <w:rFonts w:ascii="仿宋" w:eastAsia="仿宋" w:hAnsi="仿宋" w:hint="eastAsia"/>
                <w:bCs/>
                <w:szCs w:val="21"/>
                <w:lang w:val="en-GB"/>
              </w:rPr>
              <w:t>。</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hint="eastAsia"/>
                <w:bCs/>
                <w:szCs w:val="21"/>
              </w:rPr>
              <w:t>认购份额=认购金额/1元。</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bCs/>
                <w:szCs w:val="21"/>
              </w:rPr>
              <w:t>申购份额</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bCs/>
                <w:szCs w:val="21"/>
              </w:rPr>
              <w:t>申购份额＝申购金额/申购</w:t>
            </w:r>
            <w:r>
              <w:rPr>
                <w:rFonts w:ascii="仿宋" w:eastAsia="仿宋" w:hAnsi="仿宋" w:hint="eastAsia"/>
                <w:bCs/>
                <w:szCs w:val="21"/>
              </w:rPr>
              <w:t>申请日日终的产品份额净值,申购份额保留到小数点后2位，小数点后第3位舍去。</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66093E" w:rsidRDefault="0066093E">
            <w:pPr>
              <w:adjustRightInd w:val="0"/>
              <w:snapToGrid w:val="0"/>
              <w:spacing w:line="240" w:lineRule="atLeast"/>
              <w:ind w:right="-44" w:firstLineChars="200" w:firstLine="420"/>
              <w:jc w:val="left"/>
              <w:rPr>
                <w:rFonts w:ascii="仿宋" w:eastAsia="仿宋" w:hAnsi="仿宋" w:hint="eastAsia"/>
                <w:bCs/>
                <w:szCs w:val="21"/>
              </w:rPr>
            </w:pPr>
            <w:r>
              <w:rPr>
                <w:rFonts w:ascii="仿宋" w:eastAsia="仿宋" w:hAnsi="仿宋" w:hint="eastAsia"/>
                <w:bCs/>
                <w:szCs w:val="21"/>
              </w:rPr>
              <w:t>指上海证券交易所和深圳证券交易所的交易日，且同时为银行对外办理一般对公业务的工作日。</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开放期、</w:t>
            </w:r>
          </w:p>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开放日（T日）及开放时间</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tabs>
                <w:tab w:val="left" w:pos="1470"/>
              </w:tabs>
              <w:adjustRightInd w:val="0"/>
              <w:snapToGrid w:val="0"/>
              <w:spacing w:line="240" w:lineRule="atLeast"/>
              <w:ind w:right="-44"/>
              <w:rPr>
                <w:rFonts w:ascii="仿宋" w:eastAsia="仿宋" w:hAnsi="仿宋" w:hint="eastAsia"/>
                <w:bCs/>
                <w:szCs w:val="21"/>
              </w:rPr>
            </w:pPr>
            <w:r>
              <w:rPr>
                <w:rFonts w:ascii="仿宋" w:eastAsia="仿宋" w:hAnsi="仿宋" w:hint="eastAsia"/>
                <w:bCs/>
                <w:szCs w:val="21"/>
              </w:rPr>
              <w:t xml:space="preserve">    开放期/开放日为产品成立后每年02月、08月的09日（含）起连续3个工作日，开放期/开放日</w:t>
            </w:r>
            <w:proofErr w:type="gramStart"/>
            <w:r>
              <w:rPr>
                <w:rFonts w:ascii="仿宋" w:eastAsia="仿宋" w:hAnsi="仿宋" w:hint="eastAsia"/>
                <w:bCs/>
                <w:szCs w:val="21"/>
              </w:rPr>
              <w:t>如遇非工作日</w:t>
            </w:r>
            <w:proofErr w:type="gramEnd"/>
            <w:r>
              <w:rPr>
                <w:rFonts w:ascii="仿宋" w:eastAsia="仿宋" w:hAnsi="仿宋" w:hint="eastAsia"/>
                <w:bCs/>
                <w:szCs w:val="21"/>
              </w:rPr>
              <w:t>则顺延至下一个工作日。</w:t>
            </w:r>
          </w:p>
          <w:tbl>
            <w:tblPr>
              <w:tblW w:w="0" w:type="auto"/>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5"/>
              <w:gridCol w:w="5406"/>
            </w:tblGrid>
            <w:tr w:rsidR="0066093E">
              <w:tc>
                <w:tcPr>
                  <w:tcW w:w="1365" w:type="dxa"/>
                </w:tcPr>
                <w:p w:rsidR="0066093E" w:rsidRDefault="0066093E">
                  <w:pPr>
                    <w:adjustRightInd w:val="0"/>
                    <w:snapToGrid w:val="0"/>
                    <w:spacing w:line="240" w:lineRule="atLeast"/>
                    <w:ind w:right="-44"/>
                    <w:jc w:val="center"/>
                    <w:rPr>
                      <w:rFonts w:ascii="仿宋" w:eastAsia="仿宋" w:hAnsi="仿宋" w:hint="eastAsia"/>
                      <w:b/>
                      <w:bCs/>
                      <w:szCs w:val="21"/>
                    </w:rPr>
                  </w:pPr>
                  <w:r>
                    <w:rPr>
                      <w:rFonts w:ascii="仿宋" w:eastAsia="仿宋" w:hAnsi="仿宋" w:hint="eastAsia"/>
                      <w:b/>
                      <w:bCs/>
                      <w:szCs w:val="21"/>
                    </w:rPr>
                    <w:t>交易类型</w:t>
                  </w:r>
                </w:p>
              </w:tc>
              <w:tc>
                <w:tcPr>
                  <w:tcW w:w="5406" w:type="dxa"/>
                </w:tcPr>
                <w:p w:rsidR="0066093E" w:rsidRDefault="0066093E">
                  <w:pPr>
                    <w:adjustRightInd w:val="0"/>
                    <w:snapToGrid w:val="0"/>
                    <w:spacing w:line="240" w:lineRule="atLeast"/>
                    <w:ind w:right="-44"/>
                    <w:jc w:val="center"/>
                    <w:rPr>
                      <w:rFonts w:ascii="仿宋" w:eastAsia="仿宋" w:hAnsi="仿宋" w:hint="eastAsia"/>
                      <w:b/>
                      <w:bCs/>
                      <w:szCs w:val="21"/>
                    </w:rPr>
                  </w:pPr>
                  <w:r>
                    <w:rPr>
                      <w:rFonts w:ascii="仿宋" w:eastAsia="仿宋" w:hAnsi="仿宋" w:hint="eastAsia"/>
                      <w:b/>
                      <w:bCs/>
                      <w:szCs w:val="21"/>
                    </w:rPr>
                    <w:t>开放日及开放时间</w:t>
                  </w:r>
                </w:p>
              </w:tc>
            </w:tr>
            <w:tr w:rsidR="0066093E">
              <w:tc>
                <w:tcPr>
                  <w:tcW w:w="1365" w:type="dxa"/>
                </w:tcPr>
                <w:p w:rsidR="0066093E" w:rsidRDefault="0066093E">
                  <w:pPr>
                    <w:adjustRightInd w:val="0"/>
                    <w:snapToGrid w:val="0"/>
                    <w:spacing w:line="240" w:lineRule="atLeast"/>
                    <w:ind w:right="-44"/>
                    <w:jc w:val="center"/>
                    <w:rPr>
                      <w:rFonts w:ascii="仿宋" w:eastAsia="仿宋" w:hAnsi="仿宋" w:hint="eastAsia"/>
                      <w:bCs/>
                      <w:szCs w:val="21"/>
                    </w:rPr>
                  </w:pPr>
                  <w:r>
                    <w:rPr>
                      <w:rFonts w:ascii="仿宋" w:eastAsia="仿宋" w:hAnsi="仿宋" w:hint="eastAsia"/>
                      <w:bCs/>
                      <w:szCs w:val="21"/>
                    </w:rPr>
                    <w:t>申购</w:t>
                  </w:r>
                </w:p>
              </w:tc>
              <w:tc>
                <w:tcPr>
                  <w:tcW w:w="5406" w:type="dxa"/>
                </w:tcPr>
                <w:p w:rsidR="0066093E" w:rsidRDefault="0066093E">
                  <w:pPr>
                    <w:adjustRightInd w:val="0"/>
                    <w:snapToGrid w:val="0"/>
                    <w:spacing w:line="240" w:lineRule="atLeast"/>
                    <w:ind w:right="-44"/>
                    <w:rPr>
                      <w:rFonts w:ascii="仿宋" w:eastAsia="仿宋" w:hAnsi="仿宋" w:hint="eastAsia"/>
                      <w:bCs/>
                      <w:szCs w:val="21"/>
                    </w:rPr>
                  </w:pPr>
                  <w:r>
                    <w:rPr>
                      <w:rFonts w:ascii="仿宋" w:eastAsia="仿宋" w:hAnsi="仿宋" w:hint="eastAsia"/>
                      <w:bCs/>
                      <w:szCs w:val="21"/>
                    </w:rPr>
                    <w:t>通过华夏银行/华夏理财购买的，每个开放日的开放时间</w:t>
                  </w:r>
                  <w:r>
                    <w:rPr>
                      <w:rFonts w:ascii="仿宋" w:eastAsia="仿宋" w:hAnsi="仿宋" w:hint="eastAsia"/>
                    </w:rPr>
                    <w:t>9:00-17:00。通过其他代销机构购买的，</w:t>
                  </w:r>
                  <w:r>
                    <w:rPr>
                      <w:rFonts w:ascii="仿宋" w:eastAsia="仿宋" w:hAnsi="仿宋" w:hint="eastAsia"/>
                      <w:bCs/>
                      <w:szCs w:val="21"/>
                    </w:rPr>
                    <w:t>每个开放日的开放时间</w:t>
                  </w:r>
                  <w:r>
                    <w:rPr>
                      <w:rFonts w:ascii="仿宋" w:eastAsia="仿宋" w:hAnsi="仿宋" w:hint="eastAsia"/>
                    </w:rPr>
                    <w:t>以代销机构规定为准。</w:t>
                  </w:r>
                </w:p>
                <w:p w:rsidR="0066093E" w:rsidRDefault="0066093E">
                  <w:pPr>
                    <w:adjustRightInd w:val="0"/>
                    <w:snapToGrid w:val="0"/>
                    <w:spacing w:line="240" w:lineRule="atLeast"/>
                    <w:ind w:right="-44"/>
                    <w:rPr>
                      <w:rFonts w:ascii="仿宋" w:eastAsia="仿宋" w:hAnsi="仿宋" w:hint="eastAsia"/>
                      <w:bCs/>
                      <w:szCs w:val="21"/>
                    </w:rPr>
                  </w:pPr>
                  <w:r>
                    <w:rPr>
                      <w:rFonts w:ascii="仿宋" w:eastAsia="仿宋" w:hAnsi="仿宋" w:hint="eastAsia"/>
                    </w:rPr>
                    <w:t>投资者只能于开放日的开放时间内进行申购。</w:t>
                  </w:r>
                </w:p>
              </w:tc>
            </w:tr>
            <w:tr w:rsidR="0066093E">
              <w:tc>
                <w:tcPr>
                  <w:tcW w:w="1365" w:type="dxa"/>
                </w:tcPr>
                <w:p w:rsidR="0066093E" w:rsidRDefault="0066093E">
                  <w:pPr>
                    <w:adjustRightInd w:val="0"/>
                    <w:snapToGrid w:val="0"/>
                    <w:spacing w:line="240" w:lineRule="atLeast"/>
                    <w:ind w:right="-44"/>
                    <w:jc w:val="center"/>
                    <w:rPr>
                      <w:rFonts w:ascii="仿宋" w:eastAsia="仿宋" w:hAnsi="仿宋" w:hint="eastAsia"/>
                      <w:bCs/>
                      <w:szCs w:val="21"/>
                    </w:rPr>
                  </w:pPr>
                  <w:r>
                    <w:rPr>
                      <w:rFonts w:ascii="仿宋" w:eastAsia="仿宋" w:hAnsi="仿宋" w:hint="eastAsia"/>
                      <w:bCs/>
                      <w:szCs w:val="21"/>
                    </w:rPr>
                    <w:t>赎回</w:t>
                  </w:r>
                </w:p>
              </w:tc>
              <w:tc>
                <w:tcPr>
                  <w:tcW w:w="5406" w:type="dxa"/>
                </w:tcPr>
                <w:p w:rsidR="0066093E" w:rsidRDefault="0066093E">
                  <w:pPr>
                    <w:adjustRightInd w:val="0"/>
                    <w:snapToGrid w:val="0"/>
                    <w:spacing w:line="240" w:lineRule="atLeast"/>
                    <w:ind w:right="-44"/>
                    <w:rPr>
                      <w:rFonts w:ascii="仿宋" w:eastAsia="仿宋" w:hAnsi="仿宋" w:hint="eastAsia"/>
                      <w:bCs/>
                      <w:szCs w:val="21"/>
                    </w:rPr>
                  </w:pPr>
                  <w:r>
                    <w:rPr>
                      <w:rFonts w:ascii="仿宋" w:eastAsia="仿宋" w:hAnsi="仿宋" w:hint="eastAsia"/>
                      <w:bCs/>
                      <w:szCs w:val="21"/>
                    </w:rPr>
                    <w:t>通过华夏银行/华夏理财购买的，每个开放日的开放时间</w:t>
                  </w:r>
                  <w:r>
                    <w:rPr>
                      <w:rFonts w:ascii="仿宋" w:eastAsia="仿宋" w:hAnsi="仿宋" w:hint="eastAsia"/>
                    </w:rPr>
                    <w:t>9:00-17:00。通过其他代销机构购买的，</w:t>
                  </w:r>
                  <w:r>
                    <w:rPr>
                      <w:rFonts w:ascii="仿宋" w:eastAsia="仿宋" w:hAnsi="仿宋" w:hint="eastAsia"/>
                      <w:bCs/>
                      <w:szCs w:val="21"/>
                    </w:rPr>
                    <w:t>每个开放日的开放时间</w:t>
                  </w:r>
                  <w:r>
                    <w:rPr>
                      <w:rFonts w:ascii="仿宋" w:eastAsia="仿宋" w:hAnsi="仿宋" w:hint="eastAsia"/>
                    </w:rPr>
                    <w:t>以代销机构规定为准。</w:t>
                  </w:r>
                </w:p>
                <w:p w:rsidR="0066093E" w:rsidRDefault="0066093E">
                  <w:pPr>
                    <w:adjustRightInd w:val="0"/>
                    <w:snapToGrid w:val="0"/>
                    <w:spacing w:line="240" w:lineRule="atLeast"/>
                    <w:ind w:right="-44"/>
                    <w:rPr>
                      <w:rFonts w:ascii="仿宋" w:eastAsia="仿宋" w:hAnsi="仿宋" w:hint="eastAsia"/>
                      <w:bCs/>
                      <w:szCs w:val="21"/>
                    </w:rPr>
                  </w:pPr>
                  <w:r>
                    <w:rPr>
                      <w:rFonts w:ascii="仿宋" w:eastAsia="仿宋" w:hAnsi="仿宋" w:hint="eastAsia"/>
                    </w:rPr>
                    <w:t>投资者只能于开放日的开放时间内进行赎回。</w:t>
                  </w:r>
                </w:p>
              </w:tc>
            </w:tr>
          </w:tbl>
          <w:p w:rsidR="0066093E" w:rsidRDefault="0066093E">
            <w:pPr>
              <w:adjustRightInd w:val="0"/>
              <w:snapToGrid w:val="0"/>
              <w:spacing w:line="240" w:lineRule="atLeast"/>
              <w:ind w:right="-44" w:firstLineChars="200" w:firstLine="422"/>
              <w:jc w:val="left"/>
              <w:rPr>
                <w:rFonts w:ascii="仿宋" w:eastAsia="仿宋" w:hAnsi="仿宋" w:hint="eastAsia"/>
                <w:bCs/>
                <w:szCs w:val="21"/>
              </w:rPr>
            </w:pPr>
            <w:r>
              <w:rPr>
                <w:rFonts w:ascii="仿宋" w:eastAsia="仿宋" w:hAnsi="仿宋" w:hint="eastAsia"/>
                <w:b/>
                <w:bCs/>
                <w:szCs w:val="21"/>
              </w:rPr>
              <w:t>开放期内每个开放日的份额净值</w:t>
            </w:r>
            <w:r>
              <w:rPr>
                <w:rFonts w:ascii="仿宋" w:eastAsia="仿宋" w:hAnsi="仿宋"/>
                <w:b/>
                <w:bCs/>
                <w:color w:val="000000"/>
                <w:szCs w:val="21"/>
              </w:rPr>
              <w:t>将</w:t>
            </w:r>
            <w:r>
              <w:rPr>
                <w:rFonts w:ascii="仿宋" w:eastAsia="仿宋" w:hAnsi="仿宋" w:hint="eastAsia"/>
                <w:b/>
                <w:bCs/>
                <w:color w:val="000000"/>
                <w:szCs w:val="21"/>
              </w:rPr>
              <w:t>随</w:t>
            </w:r>
            <w:r>
              <w:rPr>
                <w:rFonts w:ascii="仿宋" w:eastAsia="仿宋" w:hAnsi="仿宋"/>
                <w:b/>
                <w:bCs/>
                <w:color w:val="000000"/>
                <w:szCs w:val="21"/>
              </w:rPr>
              <w:t>市场波动，具有不</w:t>
            </w:r>
            <w:r>
              <w:rPr>
                <w:rFonts w:ascii="仿宋" w:eastAsia="仿宋" w:hAnsi="仿宋" w:hint="eastAsia"/>
                <w:b/>
                <w:bCs/>
                <w:color w:val="000000"/>
                <w:szCs w:val="21"/>
              </w:rPr>
              <w:t>确定</w:t>
            </w:r>
            <w:r>
              <w:rPr>
                <w:rFonts w:ascii="仿宋" w:eastAsia="仿宋" w:hAnsi="仿宋"/>
                <w:b/>
                <w:bCs/>
                <w:color w:val="000000"/>
                <w:szCs w:val="21"/>
              </w:rPr>
              <w:t>性</w:t>
            </w:r>
            <w:r>
              <w:rPr>
                <w:rFonts w:ascii="仿宋" w:eastAsia="仿宋" w:hAnsi="仿宋" w:hint="eastAsia"/>
                <w:b/>
                <w:bCs/>
                <w:color w:val="000000"/>
                <w:szCs w:val="21"/>
              </w:rPr>
              <w:t>。</w:t>
            </w:r>
          </w:p>
          <w:p w:rsidR="0066093E" w:rsidRDefault="0066093E">
            <w:pPr>
              <w:adjustRightInd w:val="0"/>
              <w:snapToGrid w:val="0"/>
              <w:spacing w:line="240" w:lineRule="atLeast"/>
              <w:ind w:right="-44" w:firstLineChars="200" w:firstLine="420"/>
              <w:jc w:val="left"/>
              <w:rPr>
                <w:rFonts w:ascii="仿宋" w:eastAsia="仿宋" w:hAnsi="仿宋" w:hint="eastAsia"/>
                <w:bCs/>
                <w:szCs w:val="21"/>
              </w:rPr>
            </w:pPr>
            <w:r>
              <w:rPr>
                <w:rFonts w:ascii="仿宋" w:eastAsia="仿宋" w:hAnsi="仿宋" w:hint="eastAsia"/>
                <w:bCs/>
                <w:szCs w:val="21"/>
              </w:rPr>
              <w:t>华夏理财有权调整按上述规则确定的开放日，并在调整之前3个工作日公告。</w:t>
            </w:r>
          </w:p>
        </w:tc>
      </w:tr>
      <w:tr w:rsidR="0066093E">
        <w:trPr>
          <w:trHeight w:val="50"/>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bCs/>
                <w:szCs w:val="21"/>
              </w:rPr>
            </w:pPr>
            <w:r>
              <w:rPr>
                <w:rFonts w:ascii="仿宋" w:eastAsia="仿宋" w:hAnsi="仿宋" w:hint="eastAsia"/>
                <w:bCs/>
                <w:szCs w:val="21"/>
              </w:rPr>
              <w:t>预约购买及</w:t>
            </w:r>
          </w:p>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bCs/>
                <w:szCs w:val="21"/>
              </w:rPr>
              <w:t>预约赎回</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hint="eastAsia"/>
                <w:bCs/>
                <w:szCs w:val="21"/>
              </w:rPr>
              <w:t>封闭期内的最后</w:t>
            </w:r>
            <w:r>
              <w:rPr>
                <w:rFonts w:ascii="仿宋" w:eastAsia="仿宋" w:hAnsi="仿宋"/>
                <w:bCs/>
                <w:szCs w:val="21"/>
              </w:rPr>
              <w:t>一</w:t>
            </w:r>
            <w:r>
              <w:rPr>
                <w:rFonts w:ascii="仿宋" w:eastAsia="仿宋" w:hAnsi="仿宋" w:hint="eastAsia"/>
                <w:bCs/>
                <w:szCs w:val="21"/>
              </w:rPr>
              <w:t>个</w:t>
            </w:r>
            <w:r>
              <w:rPr>
                <w:rFonts w:ascii="仿宋" w:eastAsia="仿宋" w:hAnsi="仿宋"/>
                <w:bCs/>
                <w:szCs w:val="21"/>
              </w:rPr>
              <w:t>工作日</w:t>
            </w:r>
            <w:r>
              <w:rPr>
                <w:rFonts w:ascii="仿宋" w:eastAsia="仿宋" w:hAnsi="仿宋" w:hint="eastAsia"/>
              </w:rPr>
              <w:t>17:30（不含）</w:t>
            </w:r>
            <w:r>
              <w:rPr>
                <w:rFonts w:ascii="仿宋" w:eastAsia="仿宋" w:hAnsi="仿宋" w:hint="eastAsia"/>
                <w:bCs/>
                <w:szCs w:val="21"/>
              </w:rPr>
              <w:t>前</w:t>
            </w:r>
            <w:r>
              <w:rPr>
                <w:rFonts w:ascii="仿宋" w:eastAsia="仿宋" w:hAnsi="仿宋"/>
                <w:bCs/>
                <w:szCs w:val="21"/>
              </w:rPr>
              <w:t>，</w:t>
            </w:r>
            <w:r>
              <w:rPr>
                <w:rFonts w:ascii="仿宋" w:eastAsia="仿宋" w:hAnsi="仿宋" w:hint="eastAsia"/>
                <w:bCs/>
                <w:szCs w:val="21"/>
              </w:rPr>
              <w:t>可接受通过</w:t>
            </w:r>
            <w:r>
              <w:rPr>
                <w:rFonts w:ascii="仿宋" w:eastAsia="仿宋" w:hAnsi="仿宋"/>
                <w:bCs/>
                <w:szCs w:val="21"/>
              </w:rPr>
              <w:t>华夏</w:t>
            </w:r>
            <w:r>
              <w:rPr>
                <w:rFonts w:ascii="仿宋" w:eastAsia="仿宋" w:hAnsi="仿宋" w:hint="eastAsia"/>
                <w:bCs/>
                <w:szCs w:val="21"/>
              </w:rPr>
              <w:t>银行/华夏理财</w:t>
            </w:r>
            <w:r>
              <w:rPr>
                <w:rFonts w:ascii="仿宋" w:eastAsia="仿宋" w:hAnsi="仿宋"/>
                <w:bCs/>
                <w:szCs w:val="21"/>
              </w:rPr>
              <w:t>购买的投资者</w:t>
            </w:r>
            <w:r>
              <w:rPr>
                <w:rFonts w:ascii="仿宋" w:eastAsia="仿宋" w:hAnsi="仿宋" w:hint="eastAsia"/>
                <w:bCs/>
                <w:szCs w:val="21"/>
              </w:rPr>
              <w:t>预约</w:t>
            </w:r>
            <w:r>
              <w:rPr>
                <w:rFonts w:ascii="仿宋" w:eastAsia="仿宋" w:hAnsi="仿宋"/>
                <w:bCs/>
                <w:szCs w:val="21"/>
              </w:rPr>
              <w:t>购买</w:t>
            </w:r>
            <w:r>
              <w:rPr>
                <w:rFonts w:ascii="仿宋" w:eastAsia="仿宋" w:hAnsi="仿宋" w:hint="eastAsia"/>
                <w:bCs/>
                <w:szCs w:val="21"/>
              </w:rPr>
              <w:t>、预约赎回申请；预约购买</w:t>
            </w:r>
            <w:r>
              <w:rPr>
                <w:rFonts w:ascii="仿宋" w:eastAsia="仿宋" w:hAnsi="仿宋"/>
                <w:bCs/>
                <w:szCs w:val="21"/>
              </w:rPr>
              <w:t>及</w:t>
            </w:r>
            <w:r>
              <w:rPr>
                <w:rFonts w:ascii="仿宋" w:eastAsia="仿宋" w:hAnsi="仿宋" w:hint="eastAsia"/>
                <w:bCs/>
                <w:szCs w:val="21"/>
              </w:rPr>
              <w:t>预约</w:t>
            </w:r>
            <w:r>
              <w:rPr>
                <w:rFonts w:ascii="仿宋" w:eastAsia="仿宋" w:hAnsi="仿宋"/>
                <w:bCs/>
                <w:szCs w:val="21"/>
              </w:rPr>
              <w:t>赎回申请，</w:t>
            </w:r>
            <w:r>
              <w:rPr>
                <w:rFonts w:ascii="仿宋" w:eastAsia="仿宋" w:hAnsi="仿宋" w:hint="eastAsia"/>
                <w:bCs/>
                <w:szCs w:val="21"/>
              </w:rPr>
              <w:t>视</w:t>
            </w:r>
            <w:r>
              <w:rPr>
                <w:rFonts w:ascii="仿宋" w:eastAsia="仿宋" w:hAnsi="仿宋"/>
                <w:bCs/>
                <w:szCs w:val="21"/>
              </w:rPr>
              <w:t>同在下一</w:t>
            </w:r>
            <w:r>
              <w:rPr>
                <w:rFonts w:ascii="仿宋" w:eastAsia="仿宋" w:hAnsi="仿宋" w:hint="eastAsia"/>
                <w:bCs/>
                <w:szCs w:val="21"/>
              </w:rPr>
              <w:t>个申购/赎回</w:t>
            </w:r>
            <w:r>
              <w:rPr>
                <w:rFonts w:ascii="仿宋" w:eastAsia="仿宋" w:hAnsi="仿宋"/>
                <w:bCs/>
                <w:szCs w:val="21"/>
              </w:rPr>
              <w:t>开放日开放时间内的</w:t>
            </w:r>
            <w:r>
              <w:rPr>
                <w:rFonts w:ascii="仿宋" w:eastAsia="仿宋" w:hAnsi="仿宋" w:hint="eastAsia"/>
                <w:bCs/>
                <w:szCs w:val="21"/>
              </w:rPr>
              <w:t>申购</w:t>
            </w:r>
            <w:r>
              <w:rPr>
                <w:rFonts w:ascii="仿宋" w:eastAsia="仿宋" w:hAnsi="仿宋"/>
                <w:bCs/>
                <w:szCs w:val="21"/>
              </w:rPr>
              <w:t>、赎回申请</w:t>
            </w:r>
            <w:r>
              <w:rPr>
                <w:rFonts w:ascii="仿宋" w:eastAsia="仿宋" w:hAnsi="仿宋" w:hint="eastAsia"/>
                <w:bCs/>
                <w:szCs w:val="21"/>
              </w:rPr>
              <w:t>；华夏银行/华夏理财将在预约购买申请提出日之后的下一个申购开放日上午对预约购买申请扣款，如扣款失败,则预约购买申请不成功。</w:t>
            </w:r>
          </w:p>
          <w:p w:rsidR="0066093E" w:rsidRDefault="0066093E">
            <w:pPr>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hint="eastAsia"/>
                <w:bCs/>
                <w:szCs w:val="21"/>
              </w:rPr>
              <w:t>通过</w:t>
            </w:r>
            <w:r>
              <w:rPr>
                <w:rFonts w:ascii="仿宋" w:eastAsia="仿宋" w:hAnsi="仿宋"/>
                <w:bCs/>
                <w:szCs w:val="21"/>
              </w:rPr>
              <w:t>其他代销机构购买的投资者，</w:t>
            </w:r>
            <w:r>
              <w:rPr>
                <w:rFonts w:ascii="仿宋" w:eastAsia="仿宋" w:hAnsi="仿宋" w:hint="eastAsia"/>
                <w:bCs/>
                <w:szCs w:val="21"/>
              </w:rPr>
              <w:t>以代销机构规定为准</w:t>
            </w:r>
            <w:r>
              <w:rPr>
                <w:rFonts w:ascii="仿宋" w:eastAsia="仿宋" w:hAnsi="仿宋"/>
                <w:bCs/>
                <w:szCs w:val="21"/>
              </w:rPr>
              <w:t>。</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bCs/>
                <w:szCs w:val="21"/>
              </w:rPr>
              <w:t>申购确认</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ind w:right="-44" w:firstLineChars="200" w:firstLine="420"/>
              <w:jc w:val="left"/>
              <w:rPr>
                <w:rFonts w:ascii="仿宋" w:eastAsia="仿宋" w:hAnsi="仿宋" w:hint="eastAsia"/>
                <w:bCs/>
                <w:szCs w:val="21"/>
              </w:rPr>
            </w:pPr>
            <w:r>
              <w:rPr>
                <w:rFonts w:ascii="仿宋" w:eastAsia="仿宋" w:hAnsi="仿宋"/>
                <w:bCs/>
                <w:szCs w:val="21"/>
              </w:rPr>
              <w:t>T日</w:t>
            </w:r>
            <w:r>
              <w:rPr>
                <w:rFonts w:ascii="仿宋" w:eastAsia="仿宋" w:hAnsi="仿宋" w:hint="eastAsia"/>
                <w:bCs/>
                <w:szCs w:val="21"/>
              </w:rPr>
              <w:t>申购</w:t>
            </w:r>
            <w:r>
              <w:rPr>
                <w:rFonts w:ascii="仿宋" w:eastAsia="仿宋" w:hAnsi="仿宋"/>
                <w:bCs/>
                <w:szCs w:val="21"/>
              </w:rPr>
              <w:t>，</w:t>
            </w:r>
            <w:r>
              <w:rPr>
                <w:rFonts w:ascii="仿宋" w:eastAsia="仿宋" w:hAnsi="仿宋" w:hint="eastAsia"/>
                <w:bCs/>
                <w:szCs w:val="21"/>
              </w:rPr>
              <w:t>T+1日</w:t>
            </w:r>
            <w:r>
              <w:rPr>
                <w:rFonts w:ascii="仿宋" w:eastAsia="仿宋" w:hAnsi="仿宋"/>
                <w:bCs/>
                <w:szCs w:val="21"/>
              </w:rPr>
              <w:t>确认。T日为开放日。</w:t>
            </w:r>
            <w:r>
              <w:rPr>
                <w:rFonts w:ascii="仿宋" w:eastAsia="仿宋" w:hAnsi="仿宋" w:hint="eastAsia"/>
                <w:bCs/>
                <w:szCs w:val="21"/>
              </w:rPr>
              <w:t>通过华夏银行/华夏理财购买的，T日扣款；通过其他代销机构购买的，扣款以代销机构规定为准。</w:t>
            </w:r>
          </w:p>
          <w:p w:rsidR="0066093E" w:rsidRDefault="0066093E">
            <w:pPr>
              <w:adjustRightInd w:val="0"/>
              <w:snapToGrid w:val="0"/>
              <w:spacing w:line="240" w:lineRule="atLeast"/>
              <w:ind w:right="-44" w:firstLineChars="200" w:firstLine="420"/>
              <w:jc w:val="left"/>
              <w:rPr>
                <w:rFonts w:ascii="仿宋" w:eastAsia="仿宋" w:hAnsi="仿宋" w:hint="eastAsia"/>
                <w:bCs/>
                <w:szCs w:val="21"/>
              </w:rPr>
            </w:pPr>
            <w:r>
              <w:rPr>
                <w:rFonts w:ascii="仿宋" w:eastAsia="仿宋" w:hAnsi="仿宋" w:hint="eastAsia"/>
                <w:bCs/>
                <w:szCs w:val="21"/>
              </w:rPr>
              <w:t>以申购申请日的日终份额净值确认，按照“金额申购”的原则计算申购份额。</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bCs/>
                <w:szCs w:val="21"/>
              </w:rPr>
              <w:t>赎回确认</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ind w:right="-44" w:firstLineChars="200" w:firstLine="420"/>
              <w:jc w:val="left"/>
              <w:rPr>
                <w:rFonts w:ascii="仿宋" w:eastAsia="仿宋" w:hAnsi="仿宋" w:hint="eastAsia"/>
                <w:bCs/>
                <w:szCs w:val="21"/>
              </w:rPr>
            </w:pPr>
            <w:r>
              <w:rPr>
                <w:rFonts w:ascii="仿宋" w:eastAsia="仿宋" w:hAnsi="仿宋"/>
                <w:bCs/>
                <w:szCs w:val="21"/>
              </w:rPr>
              <w:t>T日赎回，</w:t>
            </w:r>
            <w:r>
              <w:rPr>
                <w:rFonts w:ascii="仿宋" w:eastAsia="仿宋" w:hAnsi="仿宋" w:hint="eastAsia"/>
                <w:bCs/>
                <w:szCs w:val="21"/>
              </w:rPr>
              <w:t>T+1日</w:t>
            </w:r>
            <w:r>
              <w:rPr>
                <w:rFonts w:ascii="仿宋" w:eastAsia="仿宋" w:hAnsi="仿宋"/>
                <w:bCs/>
                <w:szCs w:val="21"/>
              </w:rPr>
              <w:t>确认</w:t>
            </w:r>
            <w:r>
              <w:rPr>
                <w:rFonts w:ascii="仿宋" w:eastAsia="仿宋" w:hAnsi="仿宋" w:hint="eastAsia"/>
                <w:bCs/>
                <w:szCs w:val="21"/>
              </w:rPr>
              <w:t>。</w:t>
            </w:r>
          </w:p>
          <w:p w:rsidR="0066093E" w:rsidRDefault="0066093E">
            <w:pPr>
              <w:adjustRightInd w:val="0"/>
              <w:snapToGrid w:val="0"/>
              <w:spacing w:line="240" w:lineRule="atLeast"/>
              <w:ind w:right="-44" w:firstLineChars="200" w:firstLine="420"/>
              <w:jc w:val="left"/>
              <w:rPr>
                <w:rFonts w:ascii="仿宋" w:eastAsia="仿宋" w:hAnsi="仿宋" w:hint="eastAsia"/>
                <w:bCs/>
                <w:color w:val="FF6600"/>
                <w:szCs w:val="21"/>
              </w:rPr>
            </w:pPr>
            <w:r>
              <w:rPr>
                <w:rFonts w:ascii="仿宋" w:eastAsia="仿宋" w:hAnsi="仿宋" w:hint="eastAsia"/>
                <w:bCs/>
                <w:szCs w:val="21"/>
              </w:rPr>
              <w:t>通过华夏银行/华夏理财赎回的，投资者</w:t>
            </w:r>
            <w:r>
              <w:rPr>
                <w:rFonts w:ascii="仿宋" w:eastAsia="仿宋" w:hAnsi="仿宋"/>
                <w:bCs/>
                <w:szCs w:val="21"/>
              </w:rPr>
              <w:t>赎回资金</w:t>
            </w:r>
            <w:r>
              <w:rPr>
                <w:rFonts w:ascii="仿宋" w:eastAsia="仿宋" w:hAnsi="仿宋" w:hint="eastAsia"/>
                <w:bCs/>
                <w:szCs w:val="21"/>
              </w:rPr>
              <w:t>于T+2日24点前</w:t>
            </w:r>
            <w:r>
              <w:rPr>
                <w:rFonts w:ascii="仿宋" w:eastAsia="仿宋" w:hAnsi="仿宋"/>
                <w:bCs/>
                <w:szCs w:val="21"/>
              </w:rPr>
              <w:t>到账</w:t>
            </w:r>
            <w:r>
              <w:rPr>
                <w:rFonts w:ascii="仿宋" w:eastAsia="仿宋" w:hAnsi="仿宋" w:hint="eastAsia"/>
                <w:bCs/>
                <w:szCs w:val="21"/>
              </w:rPr>
              <w:t>；通过其他代销机构赎回的，投资者赎回资金的具体到账账户、到账日及到账时间以代销机构划付规定为准</w:t>
            </w:r>
            <w:r>
              <w:rPr>
                <w:rFonts w:ascii="仿宋" w:eastAsia="仿宋" w:hAnsi="仿宋"/>
                <w:bCs/>
                <w:szCs w:val="21"/>
              </w:rPr>
              <w:t>。</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lastRenderedPageBreak/>
              <w:t>赎回规定</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ind w:right="-44" w:firstLineChars="200" w:firstLine="420"/>
              <w:jc w:val="left"/>
              <w:rPr>
                <w:rFonts w:ascii="仿宋" w:eastAsia="仿宋" w:hAnsi="仿宋" w:hint="eastAsia"/>
                <w:bCs/>
                <w:szCs w:val="21"/>
              </w:rPr>
            </w:pPr>
            <w:r>
              <w:rPr>
                <w:rFonts w:ascii="仿宋" w:eastAsia="仿宋" w:hAnsi="仿宋"/>
                <w:bCs/>
                <w:szCs w:val="21"/>
              </w:rPr>
              <w:t>本理财产品采取份额赎回的方式。投资者可选择全额或部分赎回，部分赎回后投资者持有本理财产品的实时余额不得低于理财账户最低保留</w:t>
            </w:r>
            <w:r>
              <w:rPr>
                <w:rFonts w:ascii="仿宋" w:eastAsia="仿宋" w:hAnsi="仿宋" w:hint="eastAsia"/>
                <w:bCs/>
                <w:szCs w:val="21"/>
              </w:rPr>
              <w:t>限</w:t>
            </w:r>
            <w:r>
              <w:rPr>
                <w:rFonts w:ascii="仿宋" w:eastAsia="仿宋" w:hAnsi="仿宋"/>
                <w:bCs/>
                <w:szCs w:val="21"/>
              </w:rPr>
              <w:t>额，否则</w:t>
            </w:r>
            <w:r>
              <w:rPr>
                <w:rFonts w:ascii="仿宋" w:eastAsia="仿宋" w:hAnsi="仿宋" w:hint="eastAsia"/>
                <w:bCs/>
                <w:szCs w:val="21"/>
              </w:rPr>
              <w:t>通过</w:t>
            </w:r>
            <w:r>
              <w:rPr>
                <w:rFonts w:ascii="仿宋" w:eastAsia="仿宋" w:hAnsi="仿宋"/>
                <w:bCs/>
                <w:szCs w:val="21"/>
              </w:rPr>
              <w:t>华夏银行</w:t>
            </w:r>
            <w:r>
              <w:rPr>
                <w:rFonts w:ascii="仿宋" w:eastAsia="仿宋" w:hAnsi="仿宋" w:hint="eastAsia"/>
                <w:bCs/>
                <w:szCs w:val="21"/>
              </w:rPr>
              <w:t>/华夏理财购买的，华夏理财</w:t>
            </w:r>
            <w:r>
              <w:rPr>
                <w:rFonts w:ascii="仿宋" w:eastAsia="仿宋" w:hAnsi="仿宋"/>
                <w:bCs/>
                <w:szCs w:val="21"/>
              </w:rPr>
              <w:t>将</w:t>
            </w:r>
            <w:r>
              <w:rPr>
                <w:rFonts w:ascii="仿宋" w:eastAsia="仿宋" w:hAnsi="仿宋" w:hint="eastAsia"/>
                <w:bCs/>
                <w:szCs w:val="21"/>
              </w:rPr>
              <w:t>拒绝</w:t>
            </w:r>
            <w:r>
              <w:rPr>
                <w:rFonts w:ascii="仿宋" w:eastAsia="仿宋" w:hAnsi="仿宋"/>
                <w:bCs/>
                <w:szCs w:val="21"/>
              </w:rPr>
              <w:t>投资者的赎回申请</w:t>
            </w:r>
            <w:r>
              <w:rPr>
                <w:rFonts w:ascii="仿宋" w:eastAsia="仿宋" w:hAnsi="仿宋" w:hint="eastAsia"/>
                <w:bCs/>
                <w:szCs w:val="21"/>
              </w:rPr>
              <w:t>；通过其他代销机构购买的，遵从其赎回规定</w:t>
            </w:r>
            <w:r>
              <w:rPr>
                <w:rFonts w:ascii="仿宋" w:eastAsia="仿宋" w:hAnsi="仿宋"/>
                <w:bCs/>
                <w:szCs w:val="21"/>
              </w:rPr>
              <w:t>。</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赎回金额的计算</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spacing w:line="240" w:lineRule="atLeast"/>
              <w:rPr>
                <w:rFonts w:ascii="仿宋" w:eastAsia="仿宋" w:hAnsi="仿宋" w:hint="eastAsia"/>
                <w:bCs/>
                <w:szCs w:val="21"/>
              </w:rPr>
            </w:pPr>
            <w:r>
              <w:rPr>
                <w:rFonts w:ascii="仿宋" w:eastAsia="仿宋" w:hAnsi="仿宋" w:hint="eastAsia"/>
                <w:bCs/>
                <w:szCs w:val="21"/>
              </w:rPr>
              <w:t xml:space="preserve">    </w:t>
            </w:r>
            <w:r>
              <w:rPr>
                <w:rFonts w:ascii="仿宋" w:eastAsia="仿宋" w:hAnsi="仿宋"/>
                <w:bCs/>
                <w:szCs w:val="21"/>
              </w:rPr>
              <w:t>赎回金额＝赎回份额×赎回</w:t>
            </w:r>
            <w:r>
              <w:rPr>
                <w:rFonts w:ascii="仿宋" w:eastAsia="仿宋" w:hAnsi="仿宋" w:hint="eastAsia"/>
                <w:bCs/>
                <w:szCs w:val="21"/>
              </w:rPr>
              <w:t>申请日的产品份额净值，保留到小数点后2位，小数点后第3位舍去。</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到期/终止的理财本金</w:t>
            </w:r>
            <w:r>
              <w:rPr>
                <w:rFonts w:ascii="仿宋" w:eastAsia="仿宋" w:hAnsi="仿宋"/>
                <w:bCs/>
                <w:szCs w:val="21"/>
              </w:rPr>
              <w:t>及</w:t>
            </w:r>
            <w:r>
              <w:rPr>
                <w:rFonts w:ascii="仿宋" w:eastAsia="仿宋" w:hAnsi="仿宋" w:hint="eastAsia"/>
                <w:bCs/>
                <w:szCs w:val="21"/>
              </w:rPr>
              <w:t>收益</w:t>
            </w:r>
          </w:p>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ind w:firstLineChars="200" w:firstLine="420"/>
              <w:rPr>
                <w:rFonts w:ascii="仿宋" w:eastAsia="仿宋" w:hAnsi="仿宋" w:hint="eastAsia"/>
                <w:bCs/>
                <w:szCs w:val="21"/>
              </w:rPr>
            </w:pPr>
            <w:r>
              <w:rPr>
                <w:rFonts w:ascii="仿宋" w:eastAsia="仿宋" w:hAnsi="仿宋" w:hint="eastAsia"/>
                <w:bCs/>
                <w:szCs w:val="21"/>
              </w:rPr>
              <w:t>华夏理财将于到期/终止</w:t>
            </w:r>
            <w:r>
              <w:rPr>
                <w:rFonts w:ascii="仿宋" w:eastAsia="仿宋" w:hAnsi="仿宋"/>
                <w:bCs/>
                <w:szCs w:val="21"/>
              </w:rPr>
              <w:t>日</w:t>
            </w:r>
            <w:r>
              <w:rPr>
                <w:rFonts w:ascii="仿宋" w:eastAsia="仿宋" w:hAnsi="仿宋" w:hint="eastAsia"/>
                <w:bCs/>
                <w:szCs w:val="21"/>
              </w:rPr>
              <w:t>后2个工作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根据实际投资结果向华夏银行/华夏理财客户及其他代销机构一次性划付理财本金及收益（如有），其他代销机构客户理财本金及收益（如有）的具体到账账户、到账日及到账时间以代销机构划付规定为准。</w:t>
            </w:r>
          </w:p>
          <w:p w:rsidR="0066093E" w:rsidRDefault="0066093E">
            <w:pPr>
              <w:tabs>
                <w:tab w:val="left" w:pos="1470"/>
              </w:tabs>
              <w:adjustRightInd w:val="0"/>
              <w:snapToGrid w:val="0"/>
              <w:spacing w:line="240" w:lineRule="atLeast"/>
              <w:ind w:firstLineChars="200" w:firstLine="420"/>
              <w:rPr>
                <w:rFonts w:ascii="仿宋" w:eastAsia="仿宋" w:hAnsi="仿宋" w:hint="eastAsia"/>
                <w:bCs/>
                <w:szCs w:val="21"/>
              </w:rPr>
            </w:pPr>
            <w:r>
              <w:rPr>
                <w:rFonts w:ascii="仿宋" w:eastAsia="仿宋" w:hAnsi="仿宋" w:hint="eastAsia"/>
                <w:bCs/>
                <w:szCs w:val="21"/>
              </w:rPr>
              <w:t>客户到期/终止本金及收益金额=∑(每笔份额*到期/终止日的产品份额净值），每笔金额计算保留到小数点后2位，小数点后第3位舍去。</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认购/申购/赎回申请拒绝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tabs>
                <w:tab w:val="left" w:pos="720"/>
              </w:tabs>
              <w:autoSpaceDE w:val="0"/>
              <w:autoSpaceDN w:val="0"/>
              <w:adjustRightInd w:val="0"/>
              <w:snapToGrid w:val="0"/>
              <w:spacing w:line="240" w:lineRule="atLeast"/>
              <w:ind w:right="18" w:firstLineChars="200" w:firstLine="420"/>
              <w:rPr>
                <w:rFonts w:ascii="仿宋" w:eastAsia="仿宋" w:hAnsi="仿宋" w:hint="eastAsia"/>
                <w:b/>
                <w:bCs/>
                <w:szCs w:val="21"/>
              </w:rPr>
            </w:pPr>
            <w:r>
              <w:rPr>
                <w:rFonts w:ascii="仿宋" w:eastAsia="仿宋" w:hAnsi="仿宋" w:hint="eastAsia"/>
                <w:bCs/>
                <w:szCs w:val="21"/>
              </w:rPr>
              <w:t>华夏理财根据市场情况或理财产品实际投资运作的情况确定理财产品规模上限，认购/</w:t>
            </w:r>
            <w:proofErr w:type="gramStart"/>
            <w:r>
              <w:rPr>
                <w:rFonts w:ascii="仿宋" w:eastAsia="仿宋" w:hAnsi="仿宋" w:hint="eastAsia"/>
                <w:bCs/>
                <w:szCs w:val="21"/>
              </w:rPr>
              <w:t>申购日若本</w:t>
            </w:r>
            <w:proofErr w:type="gramEnd"/>
            <w:r>
              <w:rPr>
                <w:rFonts w:ascii="仿宋" w:eastAsia="仿宋" w:hAnsi="仿宋" w:hint="eastAsia"/>
                <w:bCs/>
                <w:szCs w:val="21"/>
              </w:rPr>
              <w:t>理财产品实时余额达到理财产品规模上限，</w:t>
            </w:r>
            <w:r>
              <w:rPr>
                <w:rFonts w:ascii="仿宋" w:eastAsia="仿宋" w:hAnsi="仿宋" w:hint="eastAsia"/>
                <w:b/>
                <w:bCs/>
                <w:szCs w:val="21"/>
              </w:rPr>
              <w:t>华夏理财有权拒绝超过本理财产品规模上限部分的认购/申购申请（代销机构可控制自身销售额度）。</w:t>
            </w:r>
          </w:p>
          <w:p w:rsidR="0066093E" w:rsidRDefault="0066093E">
            <w:pPr>
              <w:tabs>
                <w:tab w:val="left" w:pos="720"/>
              </w:tabs>
              <w:autoSpaceDE w:val="0"/>
              <w:autoSpaceDN w:val="0"/>
              <w:adjustRightInd w:val="0"/>
              <w:snapToGrid w:val="0"/>
              <w:spacing w:line="240" w:lineRule="atLeast"/>
              <w:ind w:right="18" w:firstLineChars="200" w:firstLine="422"/>
              <w:rPr>
                <w:rFonts w:ascii="仿宋" w:eastAsia="仿宋" w:hAnsi="仿宋" w:hint="eastAsia"/>
                <w:b/>
                <w:bCs/>
                <w:szCs w:val="21"/>
              </w:rPr>
            </w:pPr>
            <w:r>
              <w:rPr>
                <w:rFonts w:ascii="仿宋" w:eastAsia="仿宋" w:hAnsi="仿宋" w:hint="eastAsia"/>
                <w:b/>
                <w:szCs w:val="21"/>
              </w:rPr>
              <w:t>华夏理财认为接受大额认购/申购申请可能会影响或损害理财产品投资者权益时，有权拒绝或暂停该认购/申购申请。</w:t>
            </w:r>
          </w:p>
          <w:p w:rsidR="0066093E" w:rsidRDefault="0066093E">
            <w:pPr>
              <w:tabs>
                <w:tab w:val="left" w:pos="720"/>
              </w:tabs>
              <w:autoSpaceDE w:val="0"/>
              <w:autoSpaceDN w:val="0"/>
              <w:adjustRightInd w:val="0"/>
              <w:snapToGrid w:val="0"/>
              <w:spacing w:line="240" w:lineRule="atLeast"/>
              <w:ind w:right="18" w:firstLineChars="200" w:firstLine="420"/>
              <w:rPr>
                <w:rFonts w:ascii="仿宋" w:eastAsia="仿宋" w:hAnsi="仿宋" w:hint="eastAsia"/>
                <w:b/>
                <w:bCs/>
                <w:szCs w:val="21"/>
              </w:rPr>
            </w:pPr>
            <w:r>
              <w:rPr>
                <w:rFonts w:ascii="仿宋" w:eastAsia="仿宋" w:hAnsi="仿宋"/>
                <w:bCs/>
                <w:szCs w:val="21"/>
              </w:rPr>
              <w:t>单个开放日中，本</w:t>
            </w:r>
            <w:r>
              <w:rPr>
                <w:rFonts w:ascii="仿宋" w:eastAsia="仿宋" w:hAnsi="仿宋" w:hint="eastAsia"/>
                <w:bCs/>
                <w:szCs w:val="21"/>
              </w:rPr>
              <w:t>理财</w:t>
            </w:r>
            <w:r>
              <w:rPr>
                <w:rFonts w:ascii="仿宋" w:eastAsia="仿宋" w:hAnsi="仿宋"/>
                <w:bCs/>
                <w:szCs w:val="21"/>
              </w:rPr>
              <w:t>产品的净赎回申请</w:t>
            </w:r>
            <w:r>
              <w:rPr>
                <w:rFonts w:ascii="仿宋" w:eastAsia="仿宋" w:hAnsi="仿宋" w:hint="eastAsia"/>
                <w:bCs/>
                <w:szCs w:val="21"/>
              </w:rPr>
              <w:t>份额</w:t>
            </w:r>
            <w:r>
              <w:rPr>
                <w:rFonts w:ascii="仿宋" w:eastAsia="仿宋" w:hAnsi="仿宋"/>
                <w:bCs/>
                <w:szCs w:val="21"/>
              </w:rPr>
              <w:t>（赎回</w:t>
            </w:r>
            <w:proofErr w:type="gramStart"/>
            <w:r>
              <w:rPr>
                <w:rFonts w:ascii="仿宋" w:eastAsia="仿宋" w:hAnsi="仿宋"/>
                <w:bCs/>
                <w:szCs w:val="21"/>
              </w:rPr>
              <w:t>申请总</w:t>
            </w:r>
            <w:proofErr w:type="gramEnd"/>
            <w:r>
              <w:rPr>
                <w:rFonts w:ascii="仿宋" w:eastAsia="仿宋" w:hAnsi="仿宋"/>
                <w:bCs/>
                <w:szCs w:val="21"/>
              </w:rPr>
              <w:t>份额扣除申购</w:t>
            </w:r>
            <w:proofErr w:type="gramStart"/>
            <w:r>
              <w:rPr>
                <w:rFonts w:ascii="仿宋" w:eastAsia="仿宋" w:hAnsi="仿宋" w:hint="eastAsia"/>
                <w:bCs/>
                <w:szCs w:val="21"/>
              </w:rPr>
              <w:t>申请</w:t>
            </w:r>
            <w:r>
              <w:rPr>
                <w:rFonts w:ascii="仿宋" w:eastAsia="仿宋" w:hAnsi="仿宋"/>
                <w:bCs/>
                <w:szCs w:val="21"/>
              </w:rPr>
              <w:t>总</w:t>
            </w:r>
            <w:proofErr w:type="gramEnd"/>
            <w:r>
              <w:rPr>
                <w:rFonts w:ascii="仿宋" w:eastAsia="仿宋" w:hAnsi="仿宋"/>
                <w:bCs/>
                <w:szCs w:val="21"/>
              </w:rPr>
              <w:t>份额后的余额）超过上一日产品总份额的</w:t>
            </w:r>
            <w:r>
              <w:rPr>
                <w:rFonts w:ascii="仿宋" w:eastAsia="仿宋" w:hAnsi="仿宋" w:hint="eastAsia"/>
                <w:bCs/>
                <w:szCs w:val="21"/>
              </w:rPr>
              <w:t>10</w:t>
            </w:r>
            <w:r>
              <w:rPr>
                <w:rFonts w:ascii="仿宋" w:eastAsia="仿宋" w:hAnsi="仿宋"/>
                <w:bCs/>
                <w:szCs w:val="21"/>
              </w:rPr>
              <w:t>%为巨额赎回，</w:t>
            </w:r>
            <w:r>
              <w:rPr>
                <w:rFonts w:ascii="仿宋" w:eastAsia="仿宋" w:hAnsi="仿宋" w:hint="eastAsia"/>
                <w:b/>
                <w:bCs/>
                <w:szCs w:val="21"/>
              </w:rPr>
              <w:t>华夏理财有权根据理财产品的资产组合状况决定接受赎回申请或拒绝赎回申请，直至本赎回日开放时间结束。</w:t>
            </w:r>
          </w:p>
          <w:p w:rsidR="0066093E" w:rsidRDefault="0066093E">
            <w:pPr>
              <w:tabs>
                <w:tab w:val="left" w:pos="720"/>
              </w:tabs>
              <w:autoSpaceDE w:val="0"/>
              <w:autoSpaceDN w:val="0"/>
              <w:adjustRightInd w:val="0"/>
              <w:snapToGrid w:val="0"/>
              <w:spacing w:line="240" w:lineRule="atLeast"/>
              <w:ind w:right="18" w:firstLineChars="200" w:firstLine="420"/>
              <w:rPr>
                <w:rFonts w:ascii="仿宋" w:eastAsia="仿宋" w:hAnsi="仿宋" w:hint="eastAsia"/>
                <w:bCs/>
                <w:szCs w:val="21"/>
              </w:rPr>
            </w:pPr>
            <w:r>
              <w:rPr>
                <w:rFonts w:ascii="仿宋" w:eastAsia="仿宋" w:hAnsi="仿宋" w:hint="eastAsia"/>
                <w:bCs/>
                <w:szCs w:val="21"/>
              </w:rPr>
              <w:t>若因超过产品规模上限或</w:t>
            </w:r>
            <w:r>
              <w:rPr>
                <w:rFonts w:ascii="仿宋" w:eastAsia="仿宋" w:hAnsi="仿宋"/>
                <w:bCs/>
                <w:szCs w:val="21"/>
              </w:rPr>
              <w:t>发生巨额赎回</w:t>
            </w:r>
            <w:r>
              <w:rPr>
                <w:rFonts w:ascii="仿宋" w:eastAsia="仿宋" w:hAnsi="仿宋" w:hint="eastAsia"/>
                <w:bCs/>
                <w:szCs w:val="21"/>
              </w:rPr>
              <w:t>,华夏理财拒绝认购/申购/赎回</w:t>
            </w:r>
            <w:r>
              <w:rPr>
                <w:rFonts w:ascii="仿宋" w:eastAsia="仿宋" w:hAnsi="仿宋"/>
                <w:bCs/>
                <w:szCs w:val="21"/>
              </w:rPr>
              <w:t>申请时，</w:t>
            </w:r>
            <w:r>
              <w:rPr>
                <w:rFonts w:ascii="仿宋" w:eastAsia="仿宋" w:hAnsi="仿宋" w:hint="eastAsia"/>
                <w:bCs/>
                <w:szCs w:val="21"/>
              </w:rPr>
              <w:t>华夏理财于3个</w:t>
            </w:r>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华夏银行官方</w:t>
            </w:r>
            <w:r>
              <w:rPr>
                <w:rFonts w:ascii="仿宋" w:eastAsia="仿宋" w:hAnsi="仿宋"/>
                <w:bCs/>
                <w:szCs w:val="21"/>
              </w:rPr>
              <w:t>网站</w:t>
            </w:r>
            <w:r>
              <w:rPr>
                <w:rFonts w:ascii="仿宋" w:eastAsia="仿宋" w:hAnsi="仿宋" w:hint="eastAsia"/>
                <w:bCs/>
                <w:szCs w:val="21"/>
              </w:rPr>
              <w:t>等渠道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1.募集期认购撤销</w:t>
            </w:r>
          </w:p>
          <w:p w:rsidR="0066093E" w:rsidRDefault="0066093E">
            <w:pPr>
              <w:adjustRightInd w:val="0"/>
              <w:snapToGrid w:val="0"/>
              <w:spacing w:line="240" w:lineRule="atLeast"/>
              <w:ind w:firstLineChars="200" w:firstLine="420"/>
              <w:rPr>
                <w:rFonts w:ascii="仿宋" w:eastAsia="仿宋" w:hAnsi="仿宋" w:hint="eastAsia"/>
                <w:bCs/>
                <w:szCs w:val="21"/>
              </w:rPr>
            </w:pPr>
            <w:r>
              <w:rPr>
                <w:rFonts w:ascii="仿宋" w:eastAsia="仿宋" w:hAnsi="仿宋" w:hint="eastAsia"/>
                <w:bCs/>
                <w:szCs w:val="21"/>
              </w:rPr>
              <w:t>投资者可撤销已提交的认购申请，具体规定如下：</w:t>
            </w:r>
          </w:p>
          <w:p w:rsidR="0066093E" w:rsidRDefault="0066093E">
            <w:pPr>
              <w:adjustRightInd w:val="0"/>
              <w:snapToGrid w:val="0"/>
              <w:spacing w:line="240" w:lineRule="atLeast"/>
              <w:ind w:firstLineChars="200" w:firstLine="420"/>
              <w:rPr>
                <w:rFonts w:ascii="仿宋" w:eastAsia="仿宋" w:hAnsi="仿宋" w:hint="eastAsia"/>
                <w:bCs/>
                <w:szCs w:val="21"/>
              </w:rPr>
            </w:pPr>
            <w:r>
              <w:rPr>
                <w:rFonts w:ascii="仿宋" w:eastAsia="仿宋" w:hAnsi="仿宋"/>
                <w:bCs/>
                <w:szCs w:val="21"/>
              </w:rPr>
              <w:t>(</w:t>
            </w:r>
            <w:r>
              <w:rPr>
                <w:rFonts w:ascii="仿宋" w:eastAsia="仿宋" w:hAnsi="仿宋" w:hint="eastAsia"/>
                <w:bCs/>
                <w:szCs w:val="21"/>
              </w:rPr>
              <w:t>1)只能全额撤销。</w:t>
            </w:r>
          </w:p>
          <w:p w:rsidR="0066093E" w:rsidRDefault="0066093E">
            <w:pPr>
              <w:adjustRightInd w:val="0"/>
              <w:snapToGrid w:val="0"/>
              <w:spacing w:line="240" w:lineRule="atLeast"/>
              <w:ind w:firstLineChars="200" w:firstLine="420"/>
              <w:rPr>
                <w:rFonts w:ascii="仿宋" w:eastAsia="仿宋" w:hAnsi="仿宋" w:hint="eastAsia"/>
                <w:bCs/>
                <w:szCs w:val="21"/>
              </w:rPr>
            </w:pPr>
            <w:r>
              <w:rPr>
                <w:rFonts w:ascii="仿宋" w:eastAsia="仿宋" w:hAnsi="仿宋"/>
                <w:bCs/>
                <w:szCs w:val="21"/>
              </w:rPr>
              <w:t>(</w:t>
            </w:r>
            <w:r>
              <w:rPr>
                <w:rFonts w:ascii="仿宋" w:eastAsia="仿宋" w:hAnsi="仿宋" w:hint="eastAsia"/>
                <w:bCs/>
                <w:szCs w:val="21"/>
              </w:rPr>
              <w:t>2)通过华夏银行/华夏理财认购的，投资者撤销的本金实时到账；通过其他代销机构认购的，撤销规定以代销机构规定为准。</w:t>
            </w:r>
          </w:p>
          <w:p w:rsidR="0066093E" w:rsidRDefault="0066093E">
            <w:pPr>
              <w:adjustRightInd w:val="0"/>
              <w:snapToGrid w:val="0"/>
              <w:spacing w:line="240" w:lineRule="atLeast"/>
              <w:ind w:firstLine="420"/>
              <w:rPr>
                <w:rFonts w:ascii="仿宋" w:eastAsia="仿宋" w:hAnsi="仿宋" w:hint="eastAsia"/>
                <w:bCs/>
                <w:szCs w:val="21"/>
              </w:rPr>
            </w:pPr>
            <w:r>
              <w:rPr>
                <w:rFonts w:ascii="仿宋" w:eastAsia="仿宋" w:hAnsi="仿宋"/>
                <w:bCs/>
                <w:szCs w:val="21"/>
              </w:rPr>
              <w:t>(</w:t>
            </w:r>
            <w:r>
              <w:rPr>
                <w:rFonts w:ascii="仿宋" w:eastAsia="仿宋" w:hAnsi="仿宋" w:hint="eastAsia"/>
                <w:bCs/>
                <w:szCs w:val="21"/>
              </w:rPr>
              <w:t>3)</w:t>
            </w:r>
            <w:r>
              <w:rPr>
                <w:rFonts w:ascii="仿宋" w:eastAsia="仿宋" w:hAnsi="仿宋" w:hint="eastAsia"/>
              </w:rPr>
              <w:t>募集期最后一日17:30（含）之后</w:t>
            </w:r>
            <w:r>
              <w:rPr>
                <w:rFonts w:ascii="仿宋" w:eastAsia="仿宋" w:hAnsi="仿宋" w:hint="eastAsia"/>
                <w:bCs/>
                <w:szCs w:val="21"/>
              </w:rPr>
              <w:t>不能进行撤销。通过其他代销机构认购的，撤销规定以该代销机构规定为准。</w:t>
            </w:r>
          </w:p>
          <w:p w:rsidR="0066093E" w:rsidRDefault="0066093E">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2.开放日申购、赎回撤销</w:t>
            </w:r>
          </w:p>
          <w:p w:rsidR="0066093E" w:rsidRDefault="0066093E">
            <w:pPr>
              <w:adjustRightInd w:val="0"/>
              <w:snapToGrid w:val="0"/>
              <w:spacing w:line="240" w:lineRule="atLeast"/>
              <w:ind w:firstLineChars="200" w:firstLine="420"/>
              <w:rPr>
                <w:rFonts w:ascii="仿宋" w:eastAsia="仿宋" w:hAnsi="仿宋" w:hint="eastAsia"/>
                <w:bCs/>
                <w:szCs w:val="21"/>
              </w:rPr>
            </w:pPr>
            <w:r>
              <w:rPr>
                <w:rFonts w:ascii="仿宋" w:eastAsia="仿宋" w:hAnsi="仿宋" w:hint="eastAsia"/>
                <w:bCs/>
                <w:szCs w:val="21"/>
              </w:rPr>
              <w:t>投资者可于开放日开放时间内撤销当日已提交的申购、赎回申请，具体规定如下：</w:t>
            </w:r>
          </w:p>
          <w:p w:rsidR="0066093E" w:rsidRDefault="0066093E">
            <w:pPr>
              <w:adjustRightInd w:val="0"/>
              <w:snapToGrid w:val="0"/>
              <w:spacing w:line="240" w:lineRule="atLeast"/>
              <w:ind w:firstLineChars="200" w:firstLine="420"/>
              <w:rPr>
                <w:rFonts w:ascii="仿宋" w:eastAsia="仿宋" w:hAnsi="仿宋" w:hint="eastAsia"/>
                <w:bCs/>
                <w:szCs w:val="21"/>
              </w:rPr>
            </w:pPr>
            <w:r>
              <w:rPr>
                <w:rFonts w:ascii="仿宋" w:eastAsia="仿宋" w:hAnsi="仿宋"/>
                <w:bCs/>
                <w:szCs w:val="21"/>
              </w:rPr>
              <w:t>(</w:t>
            </w:r>
            <w:r>
              <w:rPr>
                <w:rFonts w:ascii="仿宋" w:eastAsia="仿宋" w:hAnsi="仿宋" w:hint="eastAsia"/>
                <w:bCs/>
                <w:szCs w:val="21"/>
              </w:rPr>
              <w:t>1)只能全额撤销。</w:t>
            </w:r>
          </w:p>
          <w:p w:rsidR="0066093E" w:rsidRDefault="0066093E">
            <w:pPr>
              <w:adjustRightInd w:val="0"/>
              <w:snapToGrid w:val="0"/>
              <w:spacing w:line="240" w:lineRule="atLeast"/>
              <w:ind w:firstLineChars="200" w:firstLine="420"/>
              <w:rPr>
                <w:rFonts w:ascii="仿宋" w:eastAsia="仿宋" w:hAnsi="仿宋" w:hint="eastAsia"/>
                <w:bCs/>
                <w:szCs w:val="21"/>
              </w:rPr>
            </w:pPr>
            <w:r>
              <w:rPr>
                <w:rFonts w:ascii="仿宋" w:eastAsia="仿宋" w:hAnsi="仿宋"/>
                <w:bCs/>
                <w:szCs w:val="21"/>
              </w:rPr>
              <w:t>(2</w:t>
            </w:r>
            <w:r>
              <w:rPr>
                <w:rFonts w:ascii="仿宋" w:eastAsia="仿宋" w:hAnsi="仿宋" w:hint="eastAsia"/>
                <w:bCs/>
                <w:szCs w:val="21"/>
              </w:rPr>
              <w:t>)通过华夏银行/华夏理财申购的，投资者撤销的本金实时到账；通过其他代销机构申购的，撤销规定以代销机构规定为准。</w:t>
            </w:r>
          </w:p>
          <w:p w:rsidR="0066093E" w:rsidRDefault="0066093E">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(3)</w:t>
            </w:r>
            <w:r>
              <w:rPr>
                <w:rFonts w:ascii="仿宋" w:eastAsia="仿宋" w:hAnsi="仿宋" w:hint="eastAsia"/>
              </w:rPr>
              <w:t>开放日17:00（含）之后</w:t>
            </w:r>
            <w:r>
              <w:rPr>
                <w:rFonts w:ascii="仿宋" w:eastAsia="仿宋" w:hAnsi="仿宋" w:hint="eastAsia"/>
                <w:bCs/>
                <w:szCs w:val="21"/>
              </w:rPr>
              <w:t>不能进行撤销。通过其他代销机构申购的，撤销规定以该代销机构规定为准。</w:t>
            </w:r>
          </w:p>
          <w:p w:rsidR="0066093E" w:rsidRDefault="0066093E">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3.预约</w:t>
            </w:r>
            <w:r>
              <w:rPr>
                <w:rFonts w:ascii="仿宋" w:eastAsia="仿宋" w:hAnsi="仿宋"/>
                <w:bCs/>
                <w:szCs w:val="21"/>
              </w:rPr>
              <w:t>申购、</w:t>
            </w:r>
            <w:r>
              <w:rPr>
                <w:rFonts w:ascii="仿宋" w:eastAsia="仿宋" w:hAnsi="仿宋" w:hint="eastAsia"/>
                <w:bCs/>
                <w:szCs w:val="21"/>
              </w:rPr>
              <w:t>预约</w:t>
            </w:r>
            <w:r>
              <w:rPr>
                <w:rFonts w:ascii="仿宋" w:eastAsia="仿宋" w:hAnsi="仿宋"/>
                <w:bCs/>
                <w:szCs w:val="21"/>
              </w:rPr>
              <w:t>赎回撤销</w:t>
            </w:r>
          </w:p>
          <w:p w:rsidR="0066093E" w:rsidRDefault="0066093E">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通过华夏银行/华夏理财购买的，封闭期内的最后</w:t>
            </w:r>
            <w:r>
              <w:rPr>
                <w:rFonts w:ascii="仿宋" w:eastAsia="仿宋" w:hAnsi="仿宋"/>
                <w:bCs/>
                <w:szCs w:val="21"/>
              </w:rPr>
              <w:t>一</w:t>
            </w:r>
            <w:r>
              <w:rPr>
                <w:rFonts w:ascii="仿宋" w:eastAsia="仿宋" w:hAnsi="仿宋" w:hint="eastAsia"/>
                <w:bCs/>
                <w:szCs w:val="21"/>
              </w:rPr>
              <w:t>个</w:t>
            </w:r>
            <w:r>
              <w:rPr>
                <w:rFonts w:ascii="仿宋" w:eastAsia="仿宋" w:hAnsi="仿宋"/>
                <w:bCs/>
                <w:szCs w:val="21"/>
              </w:rPr>
              <w:t>工作日</w:t>
            </w:r>
            <w:r>
              <w:rPr>
                <w:rFonts w:ascii="仿宋" w:eastAsia="仿宋" w:hAnsi="仿宋" w:hint="eastAsia"/>
              </w:rPr>
              <w:t>17:30（不含）</w:t>
            </w:r>
            <w:r>
              <w:rPr>
                <w:rFonts w:ascii="仿宋" w:eastAsia="仿宋" w:hAnsi="仿宋" w:hint="eastAsia"/>
                <w:bCs/>
                <w:szCs w:val="21"/>
              </w:rPr>
              <w:t>前</w:t>
            </w:r>
            <w:r>
              <w:rPr>
                <w:rFonts w:ascii="仿宋" w:eastAsia="仿宋" w:hAnsi="仿宋"/>
                <w:bCs/>
                <w:szCs w:val="21"/>
              </w:rPr>
              <w:t>，</w:t>
            </w:r>
            <w:r>
              <w:rPr>
                <w:rFonts w:ascii="仿宋" w:eastAsia="仿宋" w:hAnsi="仿宋" w:hint="eastAsia"/>
                <w:bCs/>
                <w:szCs w:val="21"/>
              </w:rPr>
              <w:t>投资</w:t>
            </w:r>
            <w:r>
              <w:rPr>
                <w:rFonts w:ascii="仿宋" w:eastAsia="仿宋" w:hAnsi="仿宋"/>
                <w:bCs/>
                <w:szCs w:val="21"/>
              </w:rPr>
              <w:t>者</w:t>
            </w:r>
            <w:r>
              <w:rPr>
                <w:rFonts w:ascii="仿宋" w:eastAsia="仿宋" w:hAnsi="仿宋" w:hint="eastAsia"/>
                <w:bCs/>
                <w:szCs w:val="21"/>
              </w:rPr>
              <w:t>可</w:t>
            </w:r>
            <w:r>
              <w:rPr>
                <w:rFonts w:ascii="仿宋" w:eastAsia="仿宋" w:hAnsi="仿宋"/>
                <w:bCs/>
                <w:szCs w:val="21"/>
              </w:rPr>
              <w:t>全额撤销已提交的</w:t>
            </w:r>
            <w:r>
              <w:rPr>
                <w:rFonts w:ascii="仿宋" w:eastAsia="仿宋" w:hAnsi="仿宋" w:hint="eastAsia"/>
                <w:bCs/>
                <w:szCs w:val="21"/>
              </w:rPr>
              <w:t>预约</w:t>
            </w:r>
            <w:r>
              <w:rPr>
                <w:rFonts w:ascii="仿宋" w:eastAsia="仿宋" w:hAnsi="仿宋"/>
                <w:bCs/>
                <w:szCs w:val="21"/>
              </w:rPr>
              <w:t>购买</w:t>
            </w:r>
            <w:r>
              <w:rPr>
                <w:rFonts w:ascii="仿宋" w:eastAsia="仿宋" w:hAnsi="仿宋" w:hint="eastAsia"/>
                <w:bCs/>
                <w:szCs w:val="21"/>
              </w:rPr>
              <w:t>、预约赎回申请；通过其他代销机构购买的，预约申购、预约赎回撤销以代销机构的规定为准。</w:t>
            </w:r>
          </w:p>
        </w:tc>
      </w:tr>
      <w:tr w:rsidR="0066093E">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ind w:firstLineChars="200" w:firstLine="420"/>
              <w:rPr>
                <w:rFonts w:ascii="仿宋" w:eastAsia="仿宋" w:hAnsi="仿宋" w:hint="eastAsia"/>
                <w:bCs/>
                <w:szCs w:val="21"/>
              </w:rPr>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66093E">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认购费/申购费</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本理财产品不收取认购费/申购费。</w:t>
            </w:r>
          </w:p>
        </w:tc>
      </w:tr>
      <w:tr w:rsidR="0066093E">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赎回费</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本理财产品不收取赎回费。</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ind w:firstLine="420"/>
              <w:jc w:val="left"/>
              <w:rPr>
                <w:rFonts w:ascii="仿宋" w:eastAsia="仿宋" w:hAnsi="仿宋" w:hint="eastAsia"/>
                <w:bCs/>
                <w:szCs w:val="21"/>
              </w:rPr>
            </w:pPr>
            <w:r>
              <w:rPr>
                <w:rFonts w:ascii="仿宋" w:eastAsia="仿宋" w:hAnsi="仿宋" w:hint="eastAsia"/>
                <w:bCs/>
                <w:szCs w:val="21"/>
              </w:rPr>
              <w:t>0.03%/年，以前一日资产净值为基数，每日计提。</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ind w:firstLine="420"/>
              <w:jc w:val="left"/>
              <w:rPr>
                <w:rFonts w:ascii="仿宋" w:eastAsia="仿宋" w:hAnsi="仿宋" w:hint="eastAsia"/>
                <w:bCs/>
                <w:szCs w:val="21"/>
              </w:rPr>
            </w:pPr>
            <w:r>
              <w:rPr>
                <w:rFonts w:ascii="仿宋" w:eastAsia="仿宋" w:hAnsi="仿宋" w:hint="eastAsia"/>
                <w:bCs/>
                <w:szCs w:val="21"/>
              </w:rPr>
              <w:t>0.30%/年，以前一日资产净值为基数，每日计提。</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0.20%/年，以前一日资产净值为基数，每日计提。</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rsidP="00530EF3">
            <w:pPr>
              <w:keepNext/>
              <w:adjustRightInd w:val="0"/>
              <w:snapToGrid w:val="0"/>
              <w:spacing w:line="240" w:lineRule="atLeast"/>
              <w:jc w:val="center"/>
              <w:rPr>
                <w:rFonts w:ascii="仿宋" w:eastAsia="仿宋" w:hAnsi="仿宋" w:hint="eastAsia"/>
                <w:bCs/>
                <w:szCs w:val="21"/>
              </w:rPr>
            </w:pPr>
            <w:bookmarkStart w:id="0" w:name="_GoBack" w:colFirst="0" w:colLast="1"/>
            <w:r>
              <w:rPr>
                <w:rFonts w:ascii="仿宋" w:eastAsia="仿宋" w:hAnsi="仿宋" w:hint="eastAsia"/>
                <w:bCs/>
                <w:szCs w:val="21"/>
              </w:rPr>
              <w:lastRenderedPageBreak/>
              <w:t>其他</w:t>
            </w:r>
            <w:r>
              <w:rPr>
                <w:rFonts w:ascii="仿宋" w:eastAsia="仿宋" w:hAnsi="仿宋"/>
                <w:bCs/>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rsidP="00530EF3">
            <w:pPr>
              <w:keepNext/>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理财资金运作期间以及追索理财资金可能产生的诉讼费、保全费、信托费、税费、审计费、律师费、公证费、清算费、执行费等，按其实际发生数额从理财资产中支取。</w:t>
            </w:r>
          </w:p>
        </w:tc>
      </w:tr>
      <w:bookmarkEnd w:id="0"/>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超额</w:t>
            </w:r>
            <w:r>
              <w:rPr>
                <w:rFonts w:ascii="仿宋" w:eastAsia="仿宋" w:hAnsi="仿宋"/>
                <w:bCs/>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扣除各项费用（包括销售手续费、托管费、固定管理费及</w:t>
            </w:r>
            <w:r>
              <w:rPr>
                <w:rFonts w:ascii="仿宋" w:eastAsia="仿宋" w:hAnsi="仿宋"/>
                <w:bCs/>
                <w:szCs w:val="21"/>
              </w:rPr>
              <w:t>其他费用</w:t>
            </w:r>
            <w:r>
              <w:rPr>
                <w:rFonts w:ascii="仿宋" w:eastAsia="仿宋" w:hAnsi="仿宋" w:hint="eastAsia"/>
                <w:bCs/>
                <w:szCs w:val="21"/>
              </w:rPr>
              <w:t>等）后，本期产品实现</w:t>
            </w:r>
            <w:proofErr w:type="gramStart"/>
            <w:r>
              <w:rPr>
                <w:rFonts w:ascii="仿宋" w:eastAsia="仿宋" w:hAnsi="仿宋" w:hint="eastAsia"/>
                <w:bCs/>
                <w:szCs w:val="21"/>
              </w:rPr>
              <w:t>的年化收益率</w:t>
            </w:r>
            <w:proofErr w:type="gramEnd"/>
            <w:r>
              <w:rPr>
                <w:rFonts w:ascii="仿宋" w:eastAsia="仿宋" w:hAnsi="仿宋" w:hint="eastAsia"/>
                <w:bCs/>
                <w:szCs w:val="21"/>
              </w:rPr>
              <w:t>低于或等于</w:t>
            </w:r>
            <w:r w:rsidR="001E7DA9">
              <w:rPr>
                <w:rFonts w:ascii="仿宋" w:eastAsia="仿宋" w:hAnsi="仿宋"/>
                <w:bCs/>
                <w:szCs w:val="21"/>
              </w:rPr>
              <w:t>4.20</w:t>
            </w:r>
            <w:r>
              <w:rPr>
                <w:rFonts w:ascii="仿宋" w:eastAsia="仿宋" w:hAnsi="仿宋" w:hint="eastAsia"/>
                <w:bCs/>
                <w:szCs w:val="21"/>
              </w:rPr>
              <w:t>%，则管理人不收取超额管理费；</w:t>
            </w:r>
            <w:proofErr w:type="gramStart"/>
            <w:r>
              <w:rPr>
                <w:rFonts w:ascii="仿宋" w:eastAsia="仿宋" w:hAnsi="仿宋" w:hint="eastAsia"/>
                <w:bCs/>
                <w:szCs w:val="21"/>
              </w:rPr>
              <w:t>年化收益率</w:t>
            </w:r>
            <w:proofErr w:type="gramEnd"/>
            <w:r>
              <w:rPr>
                <w:rFonts w:ascii="仿宋" w:eastAsia="仿宋" w:hAnsi="仿宋" w:hint="eastAsia"/>
                <w:bCs/>
                <w:szCs w:val="21"/>
              </w:rPr>
              <w:t>超过</w:t>
            </w:r>
            <w:r w:rsidR="001E7DA9">
              <w:rPr>
                <w:rFonts w:ascii="仿宋" w:eastAsia="仿宋" w:hAnsi="仿宋"/>
                <w:bCs/>
                <w:szCs w:val="21"/>
              </w:rPr>
              <w:t>4.20</w:t>
            </w:r>
            <w:r>
              <w:rPr>
                <w:rFonts w:ascii="仿宋" w:eastAsia="仿宋" w:hAnsi="仿宋" w:hint="eastAsia"/>
                <w:bCs/>
                <w:szCs w:val="21"/>
              </w:rPr>
              <w:t>%的部分，50</w:t>
            </w:r>
            <w:r>
              <w:rPr>
                <w:rFonts w:ascii="仿宋" w:eastAsia="仿宋" w:hAnsi="仿宋"/>
                <w:bCs/>
                <w:szCs w:val="21"/>
              </w:rPr>
              <w:t>%</w:t>
            </w:r>
            <w:r>
              <w:rPr>
                <w:rFonts w:ascii="仿宋" w:eastAsia="仿宋" w:hAnsi="仿宋" w:hint="eastAsia"/>
                <w:bCs/>
                <w:szCs w:val="21"/>
              </w:rPr>
              <w:t>归投资人所有，其余作为管理人的超额管理费。超额管理费将于每一开放期首个开放日收取。</w:t>
            </w:r>
          </w:p>
          <w:p w:rsidR="0066093E" w:rsidRDefault="0066093E">
            <w:pPr>
              <w:adjustRightInd w:val="0"/>
              <w:snapToGrid w:val="0"/>
              <w:spacing w:line="240" w:lineRule="atLeast"/>
              <w:ind w:firstLine="420"/>
              <w:rPr>
                <w:rFonts w:ascii="仿宋" w:eastAsia="仿宋" w:hAnsi="仿宋" w:hint="eastAsia"/>
                <w:bCs/>
                <w:szCs w:val="21"/>
              </w:rPr>
            </w:pPr>
            <w:r>
              <w:rPr>
                <w:rFonts w:ascii="仿宋" w:eastAsia="仿宋" w:hAnsi="仿宋" w:hint="eastAsia"/>
                <w:b/>
                <w:color w:val="000000"/>
                <w:szCs w:val="21"/>
              </w:rPr>
              <w:t>华夏理财有权根据市场情</w:t>
            </w:r>
            <w:r>
              <w:rPr>
                <w:rFonts w:ascii="仿宋" w:eastAsia="仿宋" w:hAnsi="仿宋" w:hint="eastAsia"/>
                <w:b/>
                <w:szCs w:val="21"/>
              </w:rPr>
              <w:t>况及产品运作情况调整上述规则，并至少于生效前3个工作日通过华夏银行官方网站等渠道披露相关公告</w:t>
            </w:r>
            <w:r>
              <w:rPr>
                <w:rFonts w:ascii="仿宋" w:eastAsia="仿宋" w:hAnsi="仿宋" w:hint="eastAsia"/>
                <w:b/>
                <w:color w:val="000000"/>
                <w:szCs w:val="21"/>
              </w:rPr>
              <w:t>。</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每周第3个工作日为份额净值公告日，公告上周最后1个工作日的份额净值。如当</w:t>
            </w:r>
            <w:proofErr w:type="gramStart"/>
            <w:r>
              <w:rPr>
                <w:rFonts w:ascii="仿宋" w:eastAsia="仿宋" w:hAnsi="仿宋" w:hint="eastAsia"/>
                <w:bCs/>
                <w:szCs w:val="21"/>
              </w:rPr>
              <w:t>周没有</w:t>
            </w:r>
            <w:proofErr w:type="gramEnd"/>
            <w:r>
              <w:rPr>
                <w:rFonts w:ascii="仿宋" w:eastAsia="仿宋" w:hAnsi="仿宋" w:hint="eastAsia"/>
                <w:bCs/>
                <w:szCs w:val="21"/>
              </w:rPr>
              <w:t>第3个工作日，</w:t>
            </w:r>
            <w:r>
              <w:rPr>
                <w:rFonts w:ascii="仿宋" w:eastAsia="仿宋" w:hAnsi="仿宋"/>
                <w:bCs/>
                <w:szCs w:val="21"/>
              </w:rPr>
              <w:t>则顺延至下</w:t>
            </w:r>
            <w:r>
              <w:rPr>
                <w:rFonts w:ascii="仿宋" w:eastAsia="仿宋" w:hAnsi="仿宋" w:hint="eastAsia"/>
                <w:bCs/>
                <w:szCs w:val="21"/>
              </w:rPr>
              <w:t>1</w:t>
            </w:r>
            <w:r>
              <w:rPr>
                <w:rFonts w:ascii="仿宋" w:eastAsia="仿宋" w:hAnsi="仿宋"/>
                <w:bCs/>
                <w:szCs w:val="21"/>
              </w:rPr>
              <w:t>个工作日</w:t>
            </w:r>
          </w:p>
          <w:p w:rsidR="0066093E" w:rsidRDefault="0066093E">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产品开放日后第2个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公告产品开放日</w:t>
            </w:r>
            <w:r>
              <w:rPr>
                <w:rFonts w:ascii="仿宋" w:eastAsia="仿宋" w:hAnsi="仿宋"/>
                <w:bCs/>
                <w:szCs w:val="21"/>
              </w:rPr>
              <w:t>的</w:t>
            </w:r>
            <w:r>
              <w:rPr>
                <w:rFonts w:ascii="仿宋" w:eastAsia="仿宋" w:hAnsi="仿宋" w:hint="eastAsia"/>
                <w:bCs/>
                <w:szCs w:val="21"/>
              </w:rPr>
              <w:t>份额净值</w:t>
            </w:r>
            <w:r>
              <w:rPr>
                <w:rFonts w:ascii="仿宋" w:eastAsia="仿宋" w:hAnsi="仿宋"/>
                <w:bCs/>
                <w:szCs w:val="21"/>
              </w:rPr>
              <w:t>。</w:t>
            </w:r>
          </w:p>
          <w:p w:rsidR="0066093E" w:rsidRDefault="0066093E">
            <w:pPr>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第2个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ind w:firstLineChars="200" w:firstLine="420"/>
              <w:jc w:val="left"/>
              <w:rPr>
                <w:rFonts w:ascii="仿宋" w:eastAsia="仿宋" w:hAnsi="仿宋" w:cs="宋体" w:hint="eastAsia"/>
                <w:kern w:val="0"/>
                <w:szCs w:val="21"/>
              </w:rPr>
            </w:pPr>
            <w:r>
              <w:rPr>
                <w:rFonts w:ascii="仿宋" w:eastAsia="仿宋" w:hAnsi="仿宋" w:hint="eastAsia"/>
                <w:bCs/>
                <w:szCs w:val="21"/>
              </w:rPr>
              <w:t>产品</w:t>
            </w:r>
            <w:r>
              <w:rPr>
                <w:rFonts w:ascii="仿宋" w:eastAsia="仿宋" w:hAnsi="仿宋"/>
                <w:bCs/>
                <w:szCs w:val="21"/>
              </w:rPr>
              <w:t>管理人可以在产品存续</w:t>
            </w:r>
            <w:proofErr w:type="gramStart"/>
            <w:r>
              <w:rPr>
                <w:rFonts w:ascii="仿宋" w:eastAsia="仿宋" w:hAnsi="仿宋"/>
                <w:bCs/>
                <w:szCs w:val="21"/>
              </w:rPr>
              <w:t>期</w:t>
            </w:r>
            <w:r>
              <w:rPr>
                <w:rFonts w:ascii="仿宋" w:eastAsia="仿宋" w:hAnsi="仿宋" w:hint="eastAsia"/>
                <w:bCs/>
                <w:szCs w:val="21"/>
              </w:rPr>
              <w:t>根据</w:t>
            </w:r>
            <w:proofErr w:type="gramEnd"/>
            <w:r>
              <w:rPr>
                <w:rFonts w:ascii="仿宋" w:eastAsia="仿宋" w:hAnsi="仿宋"/>
                <w:bCs/>
                <w:szCs w:val="21"/>
              </w:rPr>
              <w:t>投资情况选择分红</w:t>
            </w:r>
            <w:r>
              <w:rPr>
                <w:rFonts w:ascii="仿宋" w:eastAsia="仿宋" w:hAnsi="仿宋" w:hint="eastAsia"/>
                <w:bCs/>
                <w:szCs w:val="21"/>
              </w:rPr>
              <w:t>或</w:t>
            </w:r>
            <w:r>
              <w:rPr>
                <w:rFonts w:ascii="仿宋" w:eastAsia="仿宋" w:hAnsi="仿宋"/>
                <w:bCs/>
                <w:szCs w:val="21"/>
              </w:rPr>
              <w:t>不分红</w:t>
            </w:r>
            <w:r>
              <w:rPr>
                <w:rFonts w:ascii="仿宋" w:eastAsia="仿宋" w:hAnsi="仿宋" w:hint="eastAsia"/>
                <w:bCs/>
                <w:szCs w:val="21"/>
              </w:rPr>
              <w:t>，若</w:t>
            </w:r>
            <w:r>
              <w:rPr>
                <w:rFonts w:ascii="仿宋" w:eastAsia="仿宋" w:hAnsi="仿宋"/>
                <w:bCs/>
                <w:szCs w:val="21"/>
              </w:rPr>
              <w:t>分红，将以现金</w:t>
            </w:r>
            <w:r>
              <w:rPr>
                <w:rFonts w:ascii="仿宋" w:eastAsia="仿宋" w:hAnsi="仿宋" w:hint="eastAsia"/>
                <w:bCs/>
                <w:szCs w:val="21"/>
              </w:rPr>
              <w:t>分红或</w:t>
            </w:r>
            <w:r>
              <w:rPr>
                <w:rFonts w:ascii="仿宋" w:eastAsia="仿宋" w:hAnsi="仿宋"/>
                <w:bCs/>
                <w:szCs w:val="21"/>
              </w:rPr>
              <w:t>红利再投资方式</w:t>
            </w:r>
            <w:r>
              <w:rPr>
                <w:rFonts w:ascii="仿宋" w:eastAsia="仿宋" w:hAnsi="仿宋" w:hint="eastAsia"/>
                <w:bCs/>
                <w:szCs w:val="21"/>
              </w:rPr>
              <w:t>进行，</w:t>
            </w:r>
            <w:r>
              <w:rPr>
                <w:rFonts w:ascii="仿宋" w:eastAsia="仿宋" w:hAnsi="仿宋"/>
                <w:bCs/>
                <w:szCs w:val="21"/>
              </w:rPr>
              <w:t>具体以公告为准</w:t>
            </w:r>
            <w:r>
              <w:rPr>
                <w:rFonts w:ascii="仿宋" w:eastAsia="仿宋" w:hAnsi="仿宋" w:hint="eastAsia"/>
                <w:bCs/>
                <w:szCs w:val="21"/>
              </w:rPr>
              <w:t>。</w:t>
            </w:r>
            <w:r>
              <w:rPr>
                <w:rFonts w:ascii="仿宋" w:eastAsia="仿宋" w:hAnsi="仿宋" w:cs="宋体" w:hint="eastAsia"/>
                <w:kern w:val="0"/>
                <w:szCs w:val="21"/>
              </w:rPr>
              <w:t>本理财产品</w:t>
            </w:r>
            <w:r>
              <w:rPr>
                <w:rFonts w:ascii="仿宋" w:eastAsia="仿宋" w:hAnsi="仿宋" w:cs="宋体"/>
                <w:kern w:val="0"/>
                <w:szCs w:val="21"/>
              </w:rPr>
              <w:t>分红，</w:t>
            </w:r>
            <w:r>
              <w:rPr>
                <w:rFonts w:ascii="仿宋" w:eastAsia="仿宋" w:hAnsi="仿宋" w:cs="宋体" w:hint="eastAsia"/>
                <w:kern w:val="0"/>
                <w:szCs w:val="21"/>
              </w:rPr>
              <w:t>将于</w:t>
            </w:r>
            <w:r>
              <w:rPr>
                <w:rFonts w:ascii="仿宋" w:eastAsia="仿宋" w:hAnsi="仿宋" w:cs="宋体"/>
                <w:kern w:val="0"/>
                <w:szCs w:val="21"/>
              </w:rPr>
              <w:t>分红</w:t>
            </w:r>
            <w:r>
              <w:rPr>
                <w:rFonts w:ascii="仿宋" w:eastAsia="仿宋" w:hAnsi="仿宋" w:cs="宋体" w:hint="eastAsia"/>
                <w:kern w:val="0"/>
                <w:szCs w:val="21"/>
              </w:rPr>
              <w:t>日</w:t>
            </w:r>
            <w:r>
              <w:rPr>
                <w:rFonts w:ascii="仿宋" w:eastAsia="仿宋" w:hAnsi="仿宋" w:cs="宋体"/>
                <w:kern w:val="0"/>
                <w:szCs w:val="21"/>
              </w:rPr>
              <w:t>前</w:t>
            </w:r>
            <w:r>
              <w:rPr>
                <w:rFonts w:ascii="仿宋" w:eastAsia="仿宋" w:hAnsi="仿宋" w:hint="eastAsia"/>
                <w:bCs/>
                <w:szCs w:val="21"/>
              </w:rPr>
              <w:t>3</w:t>
            </w:r>
            <w:r>
              <w:rPr>
                <w:rFonts w:ascii="仿宋" w:eastAsia="仿宋" w:hAnsi="仿宋" w:cs="宋体" w:hint="eastAsia"/>
                <w:kern w:val="0"/>
                <w:szCs w:val="21"/>
              </w:rPr>
              <w:t>个</w:t>
            </w:r>
            <w:r>
              <w:rPr>
                <w:rFonts w:ascii="仿宋" w:eastAsia="仿宋" w:hAnsi="仿宋" w:cs="宋体"/>
                <w:kern w:val="0"/>
                <w:szCs w:val="21"/>
              </w:rPr>
              <w:t>工作日通过华夏银行官方网站等渠道</w:t>
            </w:r>
            <w:r>
              <w:rPr>
                <w:rFonts w:ascii="仿宋" w:eastAsia="仿宋" w:hAnsi="仿宋" w:cs="宋体" w:hint="eastAsia"/>
                <w:kern w:val="0"/>
                <w:szCs w:val="21"/>
              </w:rPr>
              <w:t>公布</w:t>
            </w:r>
            <w:r>
              <w:rPr>
                <w:rFonts w:ascii="仿宋" w:eastAsia="仿宋" w:hAnsi="仿宋" w:cs="宋体"/>
                <w:kern w:val="0"/>
                <w:szCs w:val="21"/>
              </w:rPr>
              <w:t>分红</w:t>
            </w:r>
            <w:r>
              <w:rPr>
                <w:rFonts w:ascii="仿宋" w:eastAsia="仿宋" w:hAnsi="仿宋" w:cs="宋体" w:hint="eastAsia"/>
                <w:kern w:val="0"/>
                <w:szCs w:val="21"/>
              </w:rPr>
              <w:t>方案</w:t>
            </w:r>
            <w:r>
              <w:rPr>
                <w:rFonts w:ascii="仿宋" w:eastAsia="仿宋" w:hAnsi="仿宋" w:cs="宋体"/>
                <w:kern w:val="0"/>
                <w:szCs w:val="21"/>
              </w:rPr>
              <w:t>。</w:t>
            </w:r>
          </w:p>
        </w:tc>
      </w:tr>
      <w:tr w:rsidR="006609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bCs/>
                <w:szCs w:val="21"/>
              </w:rP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utoSpaceDE w:val="0"/>
              <w:autoSpaceDN w:val="0"/>
              <w:adjustRightInd w:val="0"/>
              <w:snapToGrid w:val="0"/>
              <w:spacing w:line="240" w:lineRule="atLeast"/>
              <w:ind w:firstLineChars="200" w:firstLine="422"/>
              <w:jc w:val="left"/>
              <w:rPr>
                <w:rFonts w:ascii="仿宋" w:eastAsia="仿宋" w:hAnsi="仿宋"/>
                <w:b/>
                <w:szCs w:val="21"/>
              </w:rPr>
            </w:pPr>
            <w:r>
              <w:rPr>
                <w:rFonts w:ascii="仿宋" w:eastAsia="仿宋" w:hAnsi="仿宋"/>
                <w:b/>
                <w:szCs w:val="21"/>
              </w:rPr>
              <w:t>一、投资者提前终止权</w:t>
            </w:r>
          </w:p>
          <w:p w:rsidR="0066093E" w:rsidRDefault="0066093E">
            <w:pPr>
              <w:autoSpaceDE w:val="0"/>
              <w:autoSpaceDN w:val="0"/>
              <w:adjustRightInd w:val="0"/>
              <w:snapToGrid w:val="0"/>
              <w:spacing w:line="240" w:lineRule="atLeast"/>
              <w:ind w:firstLineChars="200" w:firstLine="422"/>
              <w:jc w:val="left"/>
              <w:rPr>
                <w:rFonts w:ascii="仿宋" w:eastAsia="仿宋" w:hAnsi="仿宋"/>
                <w:bCs/>
                <w:szCs w:val="21"/>
              </w:rPr>
            </w:pPr>
            <w:r>
              <w:rPr>
                <w:rFonts w:ascii="仿宋" w:eastAsia="仿宋" w:hAnsi="仿宋" w:hint="eastAsia"/>
                <w:b/>
                <w:szCs w:val="21"/>
              </w:rPr>
              <w:t>华夏理财</w:t>
            </w:r>
            <w:r>
              <w:rPr>
                <w:rFonts w:ascii="仿宋" w:eastAsia="仿宋" w:hAnsi="仿宋"/>
                <w:b/>
                <w:szCs w:val="21"/>
              </w:rPr>
              <w:t>调整本理财产品的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华夏银行</w:t>
            </w:r>
            <w:r>
              <w:rPr>
                <w:rFonts w:ascii="仿宋" w:eastAsia="仿宋" w:hAnsi="仿宋"/>
                <w:b/>
                <w:szCs w:val="21"/>
              </w:rPr>
              <w:t>官方网站等渠道公告</w:t>
            </w:r>
            <w:r>
              <w:rPr>
                <w:rFonts w:ascii="仿宋" w:eastAsia="仿宋" w:hAnsi="仿宋" w:hint="eastAsia"/>
                <w:bCs/>
                <w:szCs w:val="21"/>
              </w:rPr>
              <w:t>。除本说明书第十部分“特别提示”所列情形外，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销售机构</w:t>
            </w:r>
            <w:r>
              <w:rPr>
                <w:rFonts w:ascii="仿宋" w:eastAsia="仿宋" w:hAnsi="仿宋"/>
                <w:bCs/>
                <w:szCs w:val="21"/>
              </w:rPr>
              <w:t>申请提前赎回并办理相关手续。</w:t>
            </w:r>
          </w:p>
          <w:p w:rsidR="0066093E" w:rsidRDefault="0066093E">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66093E" w:rsidRDefault="0066093E">
            <w:pPr>
              <w:autoSpaceDE w:val="0"/>
              <w:autoSpaceDN w:val="0"/>
              <w:adjustRightInd w:val="0"/>
              <w:snapToGrid w:val="0"/>
              <w:spacing w:line="240" w:lineRule="atLeas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66093E" w:rsidRDefault="0066093E">
            <w:pPr>
              <w:autoSpaceDE w:val="0"/>
              <w:autoSpaceDN w:val="0"/>
              <w:adjustRightInd w:val="0"/>
              <w:snapToGrid w:val="0"/>
              <w:spacing w:line="240" w:lineRule="atLeast"/>
              <w:ind w:firstLineChars="200" w:firstLine="420"/>
              <w:jc w:val="left"/>
              <w:rPr>
                <w:rFonts w:ascii="仿宋" w:eastAsia="仿宋" w:hAnsi="仿宋" w:cs="宋体" w:hint="eastAsia"/>
                <w:bCs/>
                <w:szCs w:val="21"/>
              </w:rPr>
            </w:pPr>
            <w:r>
              <w:rPr>
                <w:rFonts w:ascii="仿宋" w:eastAsia="仿宋" w:hAnsi="仿宋" w:cs="宋体" w:hint="eastAsia"/>
                <w:bCs/>
                <w:szCs w:val="21"/>
              </w:rPr>
              <w:t>①</w:t>
            </w:r>
            <w:r>
              <w:rPr>
                <w:rFonts w:ascii="仿宋" w:eastAsia="仿宋" w:hAnsi="仿宋" w:hint="eastAsia"/>
                <w:bCs/>
                <w:szCs w:val="21"/>
              </w:rPr>
              <w:t>当本理财产品份额低于1000万份时；</w:t>
            </w:r>
          </w:p>
          <w:p w:rsidR="0066093E" w:rsidRDefault="0066093E">
            <w:pPr>
              <w:autoSpaceDE w:val="0"/>
              <w:autoSpaceDN w:val="0"/>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cs="宋体" w:hint="eastAsia"/>
                <w:bCs/>
                <w:szCs w:val="21"/>
              </w:rPr>
              <w:t>②</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66093E" w:rsidRDefault="0066093E">
            <w:pPr>
              <w:autoSpaceDE w:val="0"/>
              <w:autoSpaceDN w:val="0"/>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cs="宋体" w:hint="eastAsia"/>
                <w:bCs/>
                <w:szCs w:val="21"/>
              </w:rPr>
              <w:t>③</w:t>
            </w:r>
            <w:r>
              <w:rPr>
                <w:rFonts w:ascii="仿宋" w:eastAsia="仿宋" w:hAnsi="仿宋" w:hint="eastAsia"/>
                <w:bCs/>
                <w:szCs w:val="21"/>
              </w:rPr>
              <w:t>市场收益率大幅波动，可能或实质影响到产品所能实现的投资收益；</w:t>
            </w:r>
          </w:p>
          <w:p w:rsidR="0066093E" w:rsidRDefault="0066093E">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66093E" w:rsidRDefault="0066093E">
            <w:pPr>
              <w:autoSpaceDE w:val="0"/>
              <w:autoSpaceDN w:val="0"/>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hint="eastAsia"/>
                <w:bCs/>
                <w:szCs w:val="21"/>
              </w:rPr>
              <w:t>⑤</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66093E" w:rsidRDefault="0066093E">
            <w:pPr>
              <w:autoSpaceDE w:val="0"/>
              <w:autoSpaceDN w:val="0"/>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华夏银行</w:t>
            </w:r>
            <w:r>
              <w:rPr>
                <w:rFonts w:ascii="仿宋" w:eastAsia="仿宋" w:hAnsi="仿宋"/>
                <w:bCs/>
                <w:szCs w:val="21"/>
              </w:rPr>
              <w:t>官方网站等渠道公告</w:t>
            </w:r>
            <w:r>
              <w:rPr>
                <w:rFonts w:ascii="仿宋" w:eastAsia="仿宋" w:hAnsi="仿宋" w:hint="eastAsia"/>
                <w:bCs/>
                <w:szCs w:val="21"/>
              </w:rPr>
              <w:t>。</w:t>
            </w:r>
          </w:p>
        </w:tc>
      </w:tr>
      <w:tr w:rsidR="0066093E">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bCs/>
                <w:szCs w:val="21"/>
              </w:rP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autoSpaceDE w:val="0"/>
              <w:autoSpaceDN w:val="0"/>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的，由本产品管理人直接从理财资产中扣付缴纳。</w:t>
            </w:r>
          </w:p>
          <w:p w:rsidR="0066093E" w:rsidRDefault="0066093E">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66093E">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66093E" w:rsidRDefault="0066093E">
            <w:pPr>
              <w:adjustRightInd w:val="0"/>
              <w:snapToGrid w:val="0"/>
              <w:spacing w:line="240" w:lineRule="atLeast"/>
              <w:jc w:val="center"/>
              <w:rPr>
                <w:rFonts w:ascii="仿宋" w:eastAsia="仿宋" w:hAnsi="仿宋" w:cs="宋体"/>
                <w:color w:val="000000"/>
                <w:kern w:val="0"/>
                <w:szCs w:val="21"/>
              </w:rPr>
            </w:pPr>
            <w:r>
              <w:rPr>
                <w:rFonts w:ascii="仿宋" w:eastAsia="仿宋" w:hAnsi="仿宋" w:cs="宋体"/>
                <w:color w:val="000000"/>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66093E" w:rsidRDefault="0066093E">
            <w:pPr>
              <w:numPr>
                <w:ilvl w:val="0"/>
                <w:numId w:val="1"/>
              </w:numPr>
              <w:adjustRightInd w:val="0"/>
              <w:snapToGrid w:val="0"/>
              <w:spacing w:line="240" w:lineRule="atLeast"/>
              <w:ind w:firstLineChars="200" w:firstLine="420"/>
              <w:rPr>
                <w:rFonts w:ascii="仿宋" w:eastAsia="仿宋" w:hAnsi="仿宋" w:cs="宋体" w:hint="eastAsia"/>
                <w:kern w:val="0"/>
                <w:szCs w:val="21"/>
              </w:rPr>
            </w:pP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66093E" w:rsidRDefault="0066093E">
            <w:pPr>
              <w:adjustRightInd w:val="0"/>
              <w:snapToGrid w:val="0"/>
              <w:spacing w:line="240" w:lineRule="atLeast"/>
              <w:rPr>
                <w:rFonts w:ascii="仿宋" w:eastAsia="仿宋" w:hAnsi="仿宋" w:cs="宋体" w:hint="eastAsia"/>
                <w:kern w:val="0"/>
                <w:szCs w:val="21"/>
              </w:rPr>
            </w:pPr>
            <w:r>
              <w:rPr>
                <w:rFonts w:ascii="仿宋" w:eastAsia="仿宋" w:hAnsi="仿宋" w:cs="宋体" w:hint="eastAsia"/>
                <w:kern w:val="0"/>
                <w:szCs w:val="21"/>
              </w:rPr>
              <w:t xml:space="preserve">    2.由华夏理财销售的，募集期</w:t>
            </w:r>
            <w:r>
              <w:rPr>
                <w:rFonts w:ascii="仿宋" w:eastAsia="仿宋" w:hAnsi="仿宋" w:cs="宋体"/>
                <w:kern w:val="0"/>
                <w:szCs w:val="21"/>
              </w:rPr>
              <w:t>认购</w:t>
            </w:r>
            <w:r>
              <w:rPr>
                <w:rFonts w:ascii="仿宋" w:eastAsia="仿宋" w:hAnsi="仿宋" w:cs="宋体" w:hint="eastAsia"/>
                <w:kern w:val="0"/>
                <w:szCs w:val="21"/>
              </w:rPr>
              <w:t>确认</w:t>
            </w:r>
            <w:r>
              <w:rPr>
                <w:rFonts w:ascii="仿宋" w:eastAsia="仿宋" w:hAnsi="仿宋" w:cs="宋体"/>
                <w:kern w:val="0"/>
                <w:szCs w:val="21"/>
              </w:rPr>
              <w:t>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息，且该利息计入认购本金</w:t>
            </w:r>
            <w:r>
              <w:rPr>
                <w:rFonts w:ascii="仿宋" w:eastAsia="仿宋" w:hAnsi="仿宋" w:cs="宋体" w:hint="eastAsia"/>
                <w:kern w:val="0"/>
                <w:szCs w:val="21"/>
              </w:rPr>
              <w:t>。</w:t>
            </w:r>
          </w:p>
          <w:p w:rsidR="0066093E" w:rsidRDefault="0066093E">
            <w:pPr>
              <w:adjustRightInd w:val="0"/>
              <w:snapToGrid w:val="0"/>
              <w:spacing w:line="240" w:lineRule="atLeast"/>
              <w:ind w:firstLineChars="200" w:firstLine="420"/>
              <w:rPr>
                <w:rFonts w:ascii="仿宋" w:eastAsia="仿宋" w:hAnsi="仿宋" w:cs="宋体" w:hint="eastAsia"/>
                <w:kern w:val="0"/>
                <w:szCs w:val="21"/>
              </w:rPr>
            </w:pPr>
            <w:r>
              <w:rPr>
                <w:rFonts w:ascii="仿宋" w:eastAsia="仿宋" w:hAnsi="仿宋" w:cs="宋体" w:hint="eastAsia"/>
                <w:kern w:val="0"/>
                <w:szCs w:val="21"/>
              </w:rPr>
              <w:t>3.由</w:t>
            </w:r>
            <w:r>
              <w:rPr>
                <w:rFonts w:ascii="仿宋" w:eastAsia="仿宋" w:hAnsi="仿宋" w:cs="宋体"/>
                <w:kern w:val="0"/>
                <w:szCs w:val="21"/>
              </w:rPr>
              <w:t>其他代销机构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66093E" w:rsidRDefault="0066093E">
            <w:pPr>
              <w:adjustRightInd w:val="0"/>
              <w:snapToGrid w:val="0"/>
              <w:spacing w:line="240" w:lineRule="atLeast"/>
              <w:ind w:firstLineChars="200" w:firstLine="420"/>
              <w:rPr>
                <w:rFonts w:ascii="仿宋" w:eastAsia="仿宋" w:hAnsi="仿宋" w:cs="宋体" w:hint="eastAsia"/>
                <w:color w:val="000000"/>
                <w:kern w:val="0"/>
                <w:szCs w:val="21"/>
              </w:rPr>
            </w:pPr>
            <w:r>
              <w:rPr>
                <w:rFonts w:ascii="仿宋" w:eastAsia="仿宋" w:hAnsi="仿宋" w:cs="宋体" w:hint="eastAsia"/>
                <w:kern w:val="0"/>
                <w:szCs w:val="21"/>
              </w:rPr>
              <w:t>4.理财产品赎回申请/到期/终止日（不含）至资金到账日（不含）之间，</w:t>
            </w:r>
            <w:r>
              <w:rPr>
                <w:rFonts w:ascii="仿宋" w:eastAsia="仿宋" w:hAnsi="仿宋" w:cs="宋体" w:hint="eastAsia"/>
                <w:kern w:val="0"/>
                <w:szCs w:val="21"/>
              </w:rPr>
              <w:lastRenderedPageBreak/>
              <w:t>投资者资金不计存款利息及理财收益。</w:t>
            </w:r>
          </w:p>
        </w:tc>
      </w:tr>
    </w:tbl>
    <w:p w:rsidR="0066093E" w:rsidRDefault="0066093E">
      <w:pPr>
        <w:pStyle w:val="Default"/>
        <w:snapToGrid w:val="0"/>
        <w:spacing w:afterLines="50" w:after="156" w:line="400" w:lineRule="exact"/>
        <w:ind w:firstLineChars="200" w:firstLine="482"/>
        <w:jc w:val="both"/>
        <w:rPr>
          <w:rFonts w:ascii="Times New Roman" w:eastAsia="黑体" w:cs="Times New Roman" w:hint="eastAsia"/>
          <w:b/>
          <w:color w:val="auto"/>
        </w:rPr>
      </w:pPr>
    </w:p>
    <w:p w:rsidR="0066093E" w:rsidRDefault="0066093E">
      <w:pPr>
        <w:pStyle w:val="Default"/>
        <w:snapToGrid w:val="0"/>
        <w:spacing w:afterLines="50" w:after="156" w:line="400" w:lineRule="exact"/>
        <w:ind w:firstLineChars="200" w:firstLine="482"/>
        <w:jc w:val="both"/>
        <w:rPr>
          <w:rFonts w:ascii="Times New Roman" w:eastAsia="黑体" w:cs="Times New Roman" w:hint="eastAsia"/>
          <w:b/>
          <w:color w:val="auto"/>
        </w:rPr>
      </w:pPr>
      <w:r>
        <w:rPr>
          <w:rFonts w:ascii="Times New Roman" w:eastAsia="黑体" w:cs="Times New Roman" w:hint="eastAsia"/>
          <w:b/>
          <w:color w:val="auto"/>
        </w:rPr>
        <w:t>二、</w:t>
      </w:r>
      <w:r>
        <w:rPr>
          <w:rFonts w:ascii="Times New Roman" w:eastAsia="黑体" w:cs="Times New Roman"/>
          <w:b/>
          <w:color w:val="auto"/>
        </w:rPr>
        <w:t>投资对象</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本产品主要投资于货币市场工具、标准化债权类资产、非标准化债权类资产等固定收益类资产、权益类资产及资产管理产品，其中资产管理产品需符合产品约定的投资范围。</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其中货币市场工具包括但不限于银行存款、大额存单、同业存单（CD）、短期融资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货币市场基金以及中国人民银行、中国银保监会认可的其他具有良好流动性的金融工具；</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债券型公募证券投资基金，以及《标准化债权类资产认定规则》认定的标准化债权类资产等；</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非标准化债权类资产包括《标准化债权类资产认定规则》认定的非标准化债权类资产；</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权益类资产包括但不限于国内依法发行和上市的股票（包括主板、创业板、中小板、</w:t>
      </w:r>
      <w:proofErr w:type="gramStart"/>
      <w:r>
        <w:rPr>
          <w:rFonts w:ascii="仿宋" w:eastAsia="仿宋" w:hAnsi="仿宋" w:cs="宋体" w:hint="eastAsia"/>
          <w:color w:val="000000"/>
          <w:kern w:val="0"/>
          <w:sz w:val="24"/>
        </w:rPr>
        <w:t>科创板</w:t>
      </w:r>
      <w:proofErr w:type="gramEnd"/>
      <w:r>
        <w:rPr>
          <w:rFonts w:ascii="仿宋" w:eastAsia="仿宋" w:hAnsi="仿宋" w:cs="宋体" w:hint="eastAsia"/>
          <w:color w:val="000000"/>
          <w:kern w:val="0"/>
          <w:sz w:val="24"/>
        </w:rPr>
        <w:t>以及其他经中国证监会核准上市的股票，包括新股申购、定向增发、大宗交易、询价转让等）、内地与香港股票市场交易互联互通机制允许买卖的香港市场股票，以及股票型、混合型公募证券投资基金等。</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产品的投资范围可能随国家法律法规及监管政策的变化而调整，如法律法规或监管机构以后允许银行理财产品投资其他品种，可在公告后，将其纳入投资范围，投资比例将遵循法律法规或相关规定。</w:t>
      </w:r>
    </w:p>
    <w:p w:rsidR="0066093E" w:rsidRDefault="0066093E">
      <w:pPr>
        <w:widowControl/>
        <w:adjustRightInd w:val="0"/>
        <w:snapToGrid w:val="0"/>
        <w:spacing w:line="276" w:lineRule="auto"/>
        <w:ind w:firstLineChars="200" w:firstLine="480"/>
        <w:contextualSpacing/>
        <w:jc w:val="left"/>
        <w:rPr>
          <w:rFonts w:ascii="仿宋" w:eastAsia="仿宋" w:hAnsi="仿宋" w:cs="宋体" w:hint="eastAsia"/>
          <w:color w:val="000000"/>
          <w:kern w:val="0"/>
          <w:sz w:val="24"/>
        </w:rPr>
      </w:pPr>
      <w:r>
        <w:rPr>
          <w:rFonts w:ascii="仿宋" w:eastAsia="仿宋" w:hAnsi="仿宋" w:cs="宋体" w:hint="eastAsia"/>
          <w:color w:val="000000"/>
          <w:kern w:val="0"/>
          <w:sz w:val="24"/>
        </w:rPr>
        <w:t>各类资产投资比例如下：</w:t>
      </w:r>
    </w:p>
    <w:tbl>
      <w:tblPr>
        <w:tblW w:w="0" w:type="auto"/>
        <w:tblCellSpacing w:w="0" w:type="dxa"/>
        <w:tblInd w:w="0" w:type="dxa"/>
        <w:tblBorders>
          <w:left w:val="outset" w:sz="6" w:space="0" w:color="auto"/>
          <w:bottom w:val="outset" w:sz="6" w:space="0" w:color="auto"/>
          <w:right w:val="outset" w:sz="6" w:space="0" w:color="auto"/>
          <w:insideH w:val="outset" w:sz="6" w:space="0" w:color="auto"/>
          <w:insideV w:val="outset" w:sz="6" w:space="0" w:color="auto"/>
        </w:tblBorders>
        <w:tblLayout w:type="fixed"/>
        <w:tblCellMar>
          <w:left w:w="0" w:type="dxa"/>
          <w:right w:w="0" w:type="dxa"/>
        </w:tblCellMar>
        <w:tblLook w:val="0000" w:firstRow="0" w:lastRow="0" w:firstColumn="0" w:lastColumn="0" w:noHBand="0" w:noVBand="0"/>
      </w:tblPr>
      <w:tblGrid>
        <w:gridCol w:w="2884"/>
        <w:gridCol w:w="5179"/>
      </w:tblGrid>
      <w:tr w:rsidR="0066093E">
        <w:trPr>
          <w:trHeight w:val="447"/>
          <w:tblCellSpacing w:w="0" w:type="dxa"/>
        </w:trPr>
        <w:tc>
          <w:tcPr>
            <w:tcW w:w="2884" w:type="dxa"/>
            <w:tcBorders>
              <w:top w:val="outset" w:sz="6" w:space="0" w:color="auto"/>
              <w:left w:val="outset" w:sz="6" w:space="0" w:color="auto"/>
              <w:bottom w:val="outset" w:sz="6" w:space="0" w:color="auto"/>
              <w:right w:val="outset" w:sz="6" w:space="0" w:color="auto"/>
            </w:tcBorders>
            <w:vAlign w:val="center"/>
          </w:tcPr>
          <w:p w:rsidR="0066093E" w:rsidRDefault="0066093E">
            <w:pPr>
              <w:adjustRightInd w:val="0"/>
              <w:snapToGrid w:val="0"/>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5179" w:type="dxa"/>
            <w:tcBorders>
              <w:top w:val="outset" w:sz="6" w:space="0" w:color="auto"/>
              <w:left w:val="outset" w:sz="6" w:space="0" w:color="auto"/>
              <w:bottom w:val="outset" w:sz="6" w:space="0" w:color="auto"/>
              <w:right w:val="outset" w:sz="6" w:space="0" w:color="auto"/>
            </w:tcBorders>
            <w:vAlign w:val="center"/>
          </w:tcPr>
          <w:p w:rsidR="0066093E" w:rsidRDefault="0066093E">
            <w:pPr>
              <w:adjustRightInd w:val="0"/>
              <w:snapToGrid w:val="0"/>
              <w:jc w:val="center"/>
              <w:rPr>
                <w:rFonts w:eastAsia="仿宋"/>
                <w:color w:val="000000"/>
                <w:kern w:val="0"/>
                <w:sz w:val="24"/>
              </w:rPr>
            </w:pPr>
            <w:r>
              <w:rPr>
                <w:rFonts w:eastAsia="仿宋"/>
                <w:color w:val="000000"/>
                <w:kern w:val="0"/>
                <w:sz w:val="24"/>
              </w:rPr>
              <w:t>投资比例</w:t>
            </w:r>
          </w:p>
        </w:tc>
      </w:tr>
      <w:tr w:rsidR="0066093E">
        <w:trPr>
          <w:trHeight w:val="447"/>
          <w:tblCellSpacing w:w="0" w:type="dxa"/>
        </w:trPr>
        <w:tc>
          <w:tcPr>
            <w:tcW w:w="2884" w:type="dxa"/>
            <w:tcBorders>
              <w:top w:val="outset" w:sz="6" w:space="0" w:color="auto"/>
              <w:left w:val="outset" w:sz="6" w:space="0" w:color="auto"/>
              <w:bottom w:val="outset" w:sz="6" w:space="0" w:color="auto"/>
              <w:right w:val="outset" w:sz="6" w:space="0" w:color="auto"/>
            </w:tcBorders>
            <w:vAlign w:val="center"/>
          </w:tcPr>
          <w:p w:rsidR="0066093E" w:rsidRDefault="0066093E">
            <w:pPr>
              <w:adjustRightInd w:val="0"/>
              <w:snapToGrid w:val="0"/>
              <w:jc w:val="center"/>
              <w:rPr>
                <w:rFonts w:eastAsia="仿宋"/>
                <w:color w:val="000000"/>
                <w:kern w:val="0"/>
                <w:sz w:val="24"/>
              </w:rPr>
            </w:pPr>
            <w:r>
              <w:rPr>
                <w:rFonts w:ascii="仿宋" w:eastAsia="仿宋" w:hAnsi="仿宋" w:cs="宋体" w:hint="eastAsia"/>
                <w:color w:val="000000"/>
                <w:kern w:val="0"/>
                <w:sz w:val="24"/>
              </w:rPr>
              <w:t>固定收益类</w:t>
            </w:r>
          </w:p>
        </w:tc>
        <w:tc>
          <w:tcPr>
            <w:tcW w:w="5179" w:type="dxa"/>
            <w:tcBorders>
              <w:top w:val="outset" w:sz="6" w:space="0" w:color="auto"/>
              <w:left w:val="outset" w:sz="6" w:space="0" w:color="auto"/>
              <w:bottom w:val="outset" w:sz="6" w:space="0" w:color="auto"/>
              <w:right w:val="outset" w:sz="6" w:space="0" w:color="auto"/>
            </w:tcBorders>
            <w:vAlign w:val="center"/>
          </w:tcPr>
          <w:p w:rsidR="0066093E" w:rsidRDefault="0066093E">
            <w:pPr>
              <w:adjustRightInd w:val="0"/>
              <w:snapToGrid w:val="0"/>
              <w:jc w:val="center"/>
              <w:rPr>
                <w:rFonts w:eastAsia="仿宋"/>
                <w:color w:val="000000"/>
                <w:kern w:val="0"/>
                <w:sz w:val="24"/>
              </w:rPr>
            </w:pPr>
            <w:r>
              <w:rPr>
                <w:rFonts w:ascii="仿宋" w:eastAsia="仿宋" w:hAnsi="仿宋" w:cs="宋体" w:hint="eastAsia"/>
                <w:color w:val="000000"/>
                <w:kern w:val="0"/>
                <w:sz w:val="24"/>
              </w:rPr>
              <w:t>80%（含）-100%</w:t>
            </w:r>
          </w:p>
        </w:tc>
      </w:tr>
      <w:tr w:rsidR="0066093E">
        <w:trPr>
          <w:trHeight w:val="411"/>
          <w:tblCellSpacing w:w="0" w:type="dxa"/>
        </w:trPr>
        <w:tc>
          <w:tcPr>
            <w:tcW w:w="2884" w:type="dxa"/>
            <w:tcBorders>
              <w:top w:val="outset" w:sz="6" w:space="0" w:color="auto"/>
              <w:left w:val="outset" w:sz="6" w:space="0" w:color="auto"/>
              <w:bottom w:val="outset" w:sz="6" w:space="0" w:color="auto"/>
              <w:right w:val="outset" w:sz="6" w:space="0" w:color="auto"/>
            </w:tcBorders>
            <w:vAlign w:val="center"/>
          </w:tcPr>
          <w:p w:rsidR="0066093E" w:rsidRDefault="0066093E">
            <w:pPr>
              <w:adjustRightInd w:val="0"/>
              <w:snapToGrid w:val="0"/>
              <w:jc w:val="center"/>
              <w:rPr>
                <w:rFonts w:eastAsia="仿宋"/>
                <w:color w:val="000000"/>
                <w:kern w:val="0"/>
                <w:sz w:val="24"/>
              </w:rPr>
            </w:pPr>
            <w:r>
              <w:rPr>
                <w:rFonts w:ascii="仿宋" w:eastAsia="仿宋" w:hAnsi="仿宋" w:cs="宋体" w:hint="eastAsia"/>
                <w:color w:val="000000"/>
                <w:kern w:val="0"/>
                <w:sz w:val="24"/>
              </w:rPr>
              <w:t>权益类</w:t>
            </w:r>
          </w:p>
        </w:tc>
        <w:tc>
          <w:tcPr>
            <w:tcW w:w="5179" w:type="dxa"/>
            <w:tcBorders>
              <w:top w:val="outset" w:sz="6" w:space="0" w:color="auto"/>
              <w:left w:val="outset" w:sz="6" w:space="0" w:color="auto"/>
              <w:bottom w:val="outset" w:sz="6" w:space="0" w:color="auto"/>
              <w:right w:val="outset" w:sz="6" w:space="0" w:color="auto"/>
            </w:tcBorders>
            <w:vAlign w:val="center"/>
          </w:tcPr>
          <w:p w:rsidR="0066093E" w:rsidRDefault="0066093E">
            <w:pPr>
              <w:adjustRightInd w:val="0"/>
              <w:snapToGrid w:val="0"/>
              <w:jc w:val="center"/>
              <w:rPr>
                <w:rFonts w:eastAsia="仿宋"/>
                <w:color w:val="000000"/>
                <w:kern w:val="0"/>
                <w:sz w:val="24"/>
              </w:rPr>
            </w:pPr>
            <w:r>
              <w:rPr>
                <w:rFonts w:ascii="仿宋" w:eastAsia="仿宋" w:hAnsi="仿宋" w:cs="宋体" w:hint="eastAsia"/>
                <w:color w:val="000000"/>
                <w:kern w:val="0"/>
                <w:sz w:val="24"/>
              </w:rPr>
              <w:t>0%-20%（含）</w:t>
            </w:r>
          </w:p>
        </w:tc>
      </w:tr>
    </w:tbl>
    <w:p w:rsidR="0066093E" w:rsidRDefault="0066093E">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如资产类别及投资比例发生调整，产品管理人将于调整事项生效前</w:t>
      </w:r>
      <w:r>
        <w:rPr>
          <w:rFonts w:ascii="仿宋" w:eastAsia="仿宋" w:hAnsi="仿宋" w:cs="宋体"/>
          <w:b/>
          <w:bCs/>
          <w:color w:val="000000"/>
          <w:kern w:val="0"/>
          <w:sz w:val="24"/>
        </w:rPr>
        <w:t>3</w:t>
      </w:r>
      <w:r>
        <w:rPr>
          <w:rFonts w:ascii="仿宋" w:eastAsia="仿宋" w:hAnsi="仿宋" w:cs="宋体" w:hint="eastAsia"/>
          <w:b/>
          <w:bCs/>
          <w:color w:val="000000"/>
          <w:kern w:val="0"/>
          <w:sz w:val="24"/>
        </w:rPr>
        <w:t>个工作日通过华夏银行官方网站等渠道予以公布</w:t>
      </w:r>
      <w:r>
        <w:rPr>
          <w:rFonts w:ascii="仿宋" w:eastAsia="仿宋" w:hAnsi="仿宋" w:cs="宋体" w:hint="eastAsia"/>
          <w:color w:val="000000"/>
          <w:kern w:val="0"/>
          <w:sz w:val="24"/>
        </w:rPr>
        <w:t>。若本理财产品的投资人不接受上述调整，则应在公告规定时间内提前赎回本理财产品；</w:t>
      </w:r>
      <w:r>
        <w:rPr>
          <w:rFonts w:ascii="仿宋" w:eastAsia="仿宋" w:hAnsi="仿宋" w:cs="宋体" w:hint="eastAsia"/>
          <w:b/>
          <w:color w:val="000000"/>
          <w:kern w:val="0"/>
          <w:sz w:val="24"/>
        </w:rPr>
        <w:t>若本理财产品投资人未在公告规定时间内提前赎回本理财产品，则视为其对相关调整无异议且同意在调整后继续持有本理财产品。</w:t>
      </w:r>
      <w:r>
        <w:rPr>
          <w:rFonts w:ascii="仿宋" w:eastAsia="仿宋" w:hAnsi="仿宋" w:cs="宋体" w:hint="eastAsia"/>
          <w:color w:val="000000"/>
          <w:kern w:val="0"/>
          <w:sz w:val="24"/>
        </w:rPr>
        <w:t>非因产品管理人主观因素导致本理财产品突破上述投资比例限制的，本理财产品管理人应当在所投资的</w:t>
      </w:r>
      <w:r>
        <w:rPr>
          <w:rFonts w:ascii="仿宋" w:eastAsia="仿宋" w:hAnsi="仿宋" w:hint="eastAsia"/>
          <w:sz w:val="24"/>
        </w:rPr>
        <w:t>流动性受限资产可出售、可转让</w:t>
      </w:r>
      <w:r>
        <w:rPr>
          <w:rFonts w:ascii="仿宋" w:eastAsia="仿宋" w:hAnsi="仿宋" w:hint="eastAsia"/>
          <w:sz w:val="24"/>
        </w:rPr>
        <w:lastRenderedPageBreak/>
        <w:t>或者恢复交易的10</w:t>
      </w:r>
      <w:r>
        <w:rPr>
          <w:rFonts w:ascii="仿宋" w:eastAsia="仿宋" w:hAnsi="仿宋" w:cs="宋体" w:hint="eastAsia"/>
          <w:color w:val="000000"/>
          <w:kern w:val="0"/>
          <w:sz w:val="24"/>
        </w:rPr>
        <w:t>个工作日内将本理财产品调整至上述投资比例内，监管规定的特殊情形除外。</w:t>
      </w:r>
    </w:p>
    <w:p w:rsidR="0066093E" w:rsidRDefault="0066093E">
      <w:pPr>
        <w:pStyle w:val="Default"/>
        <w:snapToGrid w:val="0"/>
        <w:spacing w:afterLines="50" w:after="156" w:line="400" w:lineRule="exact"/>
        <w:ind w:firstLineChars="200" w:firstLine="482"/>
        <w:jc w:val="both"/>
        <w:rPr>
          <w:rFonts w:ascii="Times New Roman" w:eastAsia="黑体" w:cs="Times New Roman" w:hint="eastAsia"/>
          <w:b/>
          <w:color w:val="auto"/>
        </w:rPr>
      </w:pPr>
      <w:r>
        <w:rPr>
          <w:rFonts w:ascii="Times New Roman" w:eastAsia="黑体" w:cs="Times New Roman" w:hint="eastAsia"/>
          <w:b/>
          <w:color w:val="auto"/>
        </w:rPr>
        <w:t>三、理财产品管理人及托管</w:t>
      </w:r>
      <w:r>
        <w:rPr>
          <w:rFonts w:ascii="Times New Roman" w:eastAsia="黑体" w:cs="Times New Roman"/>
          <w:b/>
          <w:color w:val="auto"/>
        </w:rPr>
        <w:t>人</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color w:val="000000"/>
          <w:kern w:val="0"/>
          <w:sz w:val="24"/>
        </w:rPr>
        <w:t>本理财</w:t>
      </w:r>
      <w:r>
        <w:rPr>
          <w:rFonts w:ascii="仿宋" w:eastAsia="仿宋" w:hAnsi="仿宋" w:cs="宋体" w:hint="eastAsia"/>
          <w:color w:val="000000"/>
          <w:kern w:val="0"/>
          <w:sz w:val="24"/>
        </w:rPr>
        <w:t>产品托管人为华夏银行股份有限公司。</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（一）基本信息</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法定代表人：李民吉</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注册地址：北京市东城区建国门内大街22号</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（二）主要职责</w:t>
      </w:r>
    </w:p>
    <w:p w:rsidR="0066093E" w:rsidRDefault="0066093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66093E" w:rsidRDefault="0066093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66093E" w:rsidRDefault="0066093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3.按照托管协议约定和理财产品</w:t>
      </w:r>
      <w:bookmarkStart w:id="1" w:name="_Hlk76384476"/>
      <w:r>
        <w:rPr>
          <w:rFonts w:ascii="仿宋" w:eastAsia="仿宋" w:hAnsi="仿宋" w:cs="宋体" w:hint="eastAsia"/>
          <w:color w:val="000000"/>
          <w:kern w:val="0"/>
          <w:sz w:val="24"/>
        </w:rPr>
        <w:t>管理人</w:t>
      </w:r>
      <w:bookmarkEnd w:id="1"/>
      <w:r>
        <w:rPr>
          <w:rFonts w:ascii="仿宋" w:eastAsia="仿宋" w:hAnsi="仿宋" w:cs="宋体" w:hint="eastAsia"/>
          <w:color w:val="000000"/>
          <w:kern w:val="0"/>
          <w:sz w:val="24"/>
        </w:rPr>
        <w:t>的投资指令，及时办理清算、交割事宜；</w:t>
      </w:r>
    </w:p>
    <w:p w:rsidR="0066093E" w:rsidRDefault="0066093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4.建立与理财产品管理人的对账机制，复核、审查理财产品资金头寸、资产账目、资产净值、认购和赎回价格等数据，及时核查认购、赎回以及投资资金的支付和到账情况；</w:t>
      </w:r>
    </w:p>
    <w:p w:rsidR="0066093E" w:rsidRDefault="0066093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5.监督理财产品投资运作，发现理财产品违反法律、行政法规、规章规定或合同约定投资的，应当拒绝执行，及时通知理财产品管理人并报告银行业监督管理机构；</w:t>
      </w:r>
    </w:p>
    <w:p w:rsidR="0066093E" w:rsidRDefault="0066093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66093E" w:rsidRDefault="0066093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7.理财托管业务活动的记录、账册、报表和其他相关资料保存15年以上；</w:t>
      </w:r>
    </w:p>
    <w:p w:rsidR="0066093E" w:rsidRDefault="0066093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9.国务院银行业监督管理机构规定的其他职责。</w:t>
      </w:r>
    </w:p>
    <w:p w:rsidR="0066093E" w:rsidRDefault="0066093E">
      <w:pPr>
        <w:pStyle w:val="Default"/>
        <w:snapToGrid w:val="0"/>
        <w:spacing w:afterLines="50" w:after="156" w:line="400" w:lineRule="exact"/>
        <w:ind w:firstLineChars="200" w:firstLine="482"/>
        <w:jc w:val="both"/>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66093E" w:rsidRDefault="0066093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理财产品</w:t>
      </w:r>
      <w:r>
        <w:rPr>
          <w:rFonts w:ascii="仿宋" w:eastAsia="仿宋" w:hAnsi="仿宋" w:cs="宋体" w:hint="eastAsia"/>
          <w:color w:val="000000"/>
          <w:kern w:val="0"/>
          <w:sz w:val="24"/>
        </w:rPr>
        <w:t>份额净值</w:t>
      </w:r>
      <w:r>
        <w:rPr>
          <w:rFonts w:ascii="仿宋" w:eastAsia="仿宋" w:hAnsi="仿宋" w:cs="宋体"/>
          <w:color w:val="000000"/>
          <w:kern w:val="0"/>
          <w:sz w:val="24"/>
        </w:rPr>
        <w:t>＝理财产品</w:t>
      </w:r>
      <w:r>
        <w:rPr>
          <w:rFonts w:ascii="仿宋" w:eastAsia="仿宋" w:hAnsi="仿宋" w:cs="宋体" w:hint="eastAsia"/>
          <w:color w:val="000000"/>
          <w:kern w:val="0"/>
          <w:sz w:val="24"/>
        </w:rPr>
        <w:t>资产</w:t>
      </w:r>
      <w:r>
        <w:rPr>
          <w:rFonts w:ascii="仿宋" w:eastAsia="仿宋" w:hAnsi="仿宋" w:cs="宋体"/>
          <w:color w:val="000000"/>
          <w:kern w:val="0"/>
          <w:sz w:val="24"/>
        </w:rPr>
        <w:t>净值/理财产品份额</w:t>
      </w:r>
      <w:r>
        <w:rPr>
          <w:rFonts w:ascii="仿宋" w:eastAsia="仿宋" w:hAnsi="仿宋" w:cs="宋体" w:hint="eastAsia"/>
          <w:color w:val="000000"/>
          <w:kern w:val="0"/>
          <w:sz w:val="24"/>
        </w:rPr>
        <w:t>。</w:t>
      </w:r>
    </w:p>
    <w:p w:rsidR="0066093E" w:rsidRDefault="0066093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理财产品</w:t>
      </w:r>
      <w:r>
        <w:rPr>
          <w:rFonts w:ascii="仿宋" w:eastAsia="仿宋" w:hAnsi="仿宋" w:cs="宋体" w:hint="eastAsia"/>
          <w:color w:val="000000"/>
          <w:kern w:val="0"/>
          <w:sz w:val="24"/>
        </w:rPr>
        <w:t>份额净值</w:t>
      </w:r>
      <w:r>
        <w:rPr>
          <w:rFonts w:ascii="仿宋" w:eastAsia="仿宋" w:hAnsi="仿宋" w:cs="宋体"/>
          <w:color w:val="000000"/>
          <w:kern w:val="0"/>
          <w:sz w:val="24"/>
        </w:rPr>
        <w:t>为提取相关费用后的</w:t>
      </w:r>
      <w:r>
        <w:rPr>
          <w:rFonts w:ascii="仿宋" w:eastAsia="仿宋" w:hAnsi="仿宋" w:cs="宋体" w:hint="eastAsia"/>
          <w:color w:val="000000"/>
          <w:kern w:val="0"/>
          <w:sz w:val="24"/>
        </w:rPr>
        <w:t>份额净值</w:t>
      </w:r>
      <w:r>
        <w:rPr>
          <w:rFonts w:ascii="仿宋" w:eastAsia="仿宋" w:hAnsi="仿宋" w:cs="宋体"/>
          <w:color w:val="000000"/>
          <w:kern w:val="0"/>
          <w:sz w:val="24"/>
        </w:rPr>
        <w:t>，投资者按</w:t>
      </w:r>
      <w:r>
        <w:rPr>
          <w:rFonts w:ascii="仿宋" w:eastAsia="仿宋" w:hAnsi="仿宋" w:cs="宋体" w:hint="eastAsia"/>
          <w:color w:val="000000"/>
          <w:kern w:val="0"/>
          <w:sz w:val="24"/>
        </w:rPr>
        <w:t>该份额净值</w:t>
      </w:r>
      <w:r>
        <w:rPr>
          <w:rFonts w:ascii="仿宋" w:eastAsia="仿宋" w:hAnsi="仿宋" w:cs="宋体"/>
          <w:color w:val="000000"/>
          <w:kern w:val="0"/>
          <w:sz w:val="24"/>
        </w:rPr>
        <w:t>申购、赎回和</w:t>
      </w:r>
      <w:r>
        <w:rPr>
          <w:rFonts w:ascii="仿宋" w:eastAsia="仿宋" w:hAnsi="仿宋" w:cs="宋体" w:hint="eastAsia"/>
          <w:color w:val="000000"/>
          <w:kern w:val="0"/>
          <w:sz w:val="24"/>
        </w:rPr>
        <w:t>到期/</w:t>
      </w:r>
      <w:r>
        <w:rPr>
          <w:rFonts w:ascii="仿宋" w:eastAsia="仿宋" w:hAnsi="仿宋" w:cs="宋体"/>
          <w:color w:val="000000"/>
          <w:kern w:val="0"/>
          <w:sz w:val="24"/>
        </w:rPr>
        <w:t>终止。</w:t>
      </w:r>
    </w:p>
    <w:p w:rsidR="0066093E" w:rsidRDefault="0066093E">
      <w:pPr>
        <w:pStyle w:val="Default"/>
        <w:snapToGrid w:val="0"/>
        <w:spacing w:afterLines="50" w:after="156" w:line="400" w:lineRule="exact"/>
        <w:ind w:firstLineChars="200" w:firstLine="482"/>
        <w:jc w:val="both"/>
        <w:rPr>
          <w:rFonts w:ascii="Times New Roman" w:eastAsia="黑体" w:cs="Times New Roman" w:hint="eastAsia"/>
          <w:b/>
          <w:color w:val="auto"/>
        </w:rPr>
      </w:pPr>
      <w:r>
        <w:rPr>
          <w:rFonts w:ascii="Times New Roman" w:eastAsia="黑体" w:cs="Times New Roman" w:hint="eastAsia"/>
          <w:b/>
          <w:color w:val="auto"/>
        </w:rPr>
        <w:t>五</w:t>
      </w:r>
      <w:r>
        <w:rPr>
          <w:rFonts w:ascii="Times New Roman" w:eastAsia="黑体" w:cs="Times New Roman"/>
          <w:b/>
          <w:color w:val="auto"/>
        </w:rPr>
        <w:t>、认购</w:t>
      </w:r>
      <w:r>
        <w:rPr>
          <w:rFonts w:ascii="Times New Roman" w:eastAsia="黑体" w:cs="Times New Roman" w:hint="eastAsia"/>
          <w:b/>
          <w:color w:val="auto"/>
        </w:rPr>
        <w:t>、申购、赎回</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color w:val="000000"/>
          <w:kern w:val="0"/>
          <w:sz w:val="24"/>
        </w:rPr>
        <w:t>1</w:t>
      </w:r>
      <w:r>
        <w:rPr>
          <w:rFonts w:ascii="仿宋" w:eastAsia="仿宋" w:hAnsi="仿宋" w:cs="宋体" w:hint="eastAsia"/>
          <w:color w:val="000000"/>
          <w:kern w:val="0"/>
          <w:sz w:val="24"/>
        </w:rPr>
        <w:t>.</w:t>
      </w:r>
      <w:r>
        <w:rPr>
          <w:rFonts w:ascii="仿宋" w:eastAsia="仿宋" w:hAnsi="仿宋" w:cs="宋体" w:hint="eastAsia"/>
          <w:kern w:val="0"/>
          <w:sz w:val="24"/>
        </w:rPr>
        <w:t>通过华夏银行/华夏理财购买的，</w:t>
      </w:r>
      <w:r>
        <w:rPr>
          <w:rFonts w:ascii="仿宋" w:eastAsia="仿宋" w:hAnsi="仿宋" w:cs="宋体"/>
          <w:kern w:val="0"/>
          <w:sz w:val="24"/>
        </w:rPr>
        <w:t>投资者可通过</w:t>
      </w:r>
      <w:r>
        <w:rPr>
          <w:rFonts w:ascii="仿宋" w:eastAsia="仿宋" w:hAnsi="仿宋" w:hint="eastAsia"/>
          <w:sz w:val="24"/>
        </w:rPr>
        <w:t>柜台、手机银行、网上银行、</w:t>
      </w:r>
      <w:proofErr w:type="gramStart"/>
      <w:r>
        <w:rPr>
          <w:rFonts w:ascii="仿宋" w:eastAsia="仿宋" w:hAnsi="仿宋" w:hint="eastAsia"/>
          <w:sz w:val="24"/>
        </w:rPr>
        <w:t>微信银行</w:t>
      </w:r>
      <w:proofErr w:type="gramEnd"/>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hint="eastAsia"/>
          <w:color w:val="000000"/>
          <w:kern w:val="0"/>
          <w:sz w:val="24"/>
        </w:rPr>
        <w:t>、</w:t>
      </w:r>
      <w:r>
        <w:rPr>
          <w:rFonts w:ascii="仿宋" w:eastAsia="仿宋" w:hAnsi="仿宋" w:cs="宋体"/>
          <w:color w:val="000000"/>
          <w:kern w:val="0"/>
          <w:sz w:val="24"/>
        </w:rPr>
        <w:t>申购、赎回</w:t>
      </w:r>
      <w:r>
        <w:rPr>
          <w:rFonts w:ascii="仿宋" w:eastAsia="仿宋" w:hAnsi="仿宋" w:cs="宋体"/>
          <w:kern w:val="0"/>
          <w:sz w:val="24"/>
        </w:rPr>
        <w:t>申请</w:t>
      </w:r>
      <w:r>
        <w:rPr>
          <w:rFonts w:ascii="仿宋" w:eastAsia="仿宋" w:hAnsi="仿宋" w:cs="宋体" w:hint="eastAsia"/>
          <w:kern w:val="0"/>
          <w:sz w:val="24"/>
        </w:rPr>
        <w:t>；通过其他代销机构购买的，购买渠道以代销机构规定为准</w:t>
      </w:r>
      <w:r>
        <w:rPr>
          <w:rFonts w:ascii="仿宋" w:eastAsia="仿宋" w:hAnsi="仿宋" w:cs="宋体"/>
          <w:kern w:val="0"/>
          <w:sz w:val="24"/>
        </w:rPr>
        <w:t>。</w:t>
      </w:r>
    </w:p>
    <w:p w:rsidR="0066093E" w:rsidRDefault="0066093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2</w:t>
      </w:r>
      <w:r>
        <w:rPr>
          <w:rFonts w:ascii="仿宋" w:eastAsia="仿宋" w:hAnsi="仿宋" w:cs="宋体" w:hint="eastAsia"/>
          <w:color w:val="000000"/>
          <w:kern w:val="0"/>
          <w:sz w:val="24"/>
        </w:rPr>
        <w:t>.如发生华夏理财</w:t>
      </w:r>
      <w:r>
        <w:rPr>
          <w:rFonts w:ascii="仿宋" w:eastAsia="仿宋" w:hAnsi="仿宋" w:cs="宋体"/>
          <w:color w:val="000000"/>
          <w:kern w:val="0"/>
          <w:sz w:val="24"/>
        </w:rPr>
        <w:t>认为</w:t>
      </w:r>
      <w:r>
        <w:rPr>
          <w:rFonts w:ascii="仿宋" w:eastAsia="仿宋" w:hAnsi="仿宋" w:cs="宋体" w:hint="eastAsia"/>
          <w:color w:val="000000"/>
          <w:kern w:val="0"/>
          <w:sz w:val="24"/>
        </w:rPr>
        <w:t>继续认购</w:t>
      </w:r>
      <w:r>
        <w:rPr>
          <w:rFonts w:ascii="仿宋" w:eastAsia="仿宋" w:hAnsi="仿宋" w:cs="宋体"/>
          <w:color w:val="000000"/>
          <w:kern w:val="0"/>
          <w:sz w:val="24"/>
        </w:rPr>
        <w:t>、申购</w:t>
      </w:r>
      <w:r>
        <w:rPr>
          <w:rFonts w:ascii="仿宋" w:eastAsia="仿宋" w:hAnsi="仿宋" w:cs="宋体" w:hint="eastAsia"/>
          <w:color w:val="000000"/>
          <w:kern w:val="0"/>
          <w:sz w:val="24"/>
        </w:rPr>
        <w:t>、</w:t>
      </w:r>
      <w:r>
        <w:rPr>
          <w:rFonts w:ascii="仿宋" w:eastAsia="仿宋" w:hAnsi="仿宋" w:cs="宋体"/>
          <w:color w:val="000000"/>
          <w:kern w:val="0"/>
          <w:sz w:val="24"/>
        </w:rPr>
        <w:t>赎回</w:t>
      </w:r>
      <w:r>
        <w:rPr>
          <w:rFonts w:ascii="仿宋" w:eastAsia="仿宋" w:hAnsi="仿宋" w:cs="宋体" w:hint="eastAsia"/>
          <w:color w:val="000000"/>
          <w:kern w:val="0"/>
          <w:sz w:val="24"/>
        </w:rPr>
        <w:t>可能</w:t>
      </w:r>
      <w:r>
        <w:rPr>
          <w:rFonts w:ascii="仿宋" w:eastAsia="仿宋" w:hAnsi="仿宋" w:cs="宋体"/>
          <w:color w:val="000000"/>
          <w:kern w:val="0"/>
          <w:sz w:val="24"/>
        </w:rPr>
        <w:t>影响到投资者利益</w:t>
      </w:r>
      <w:r>
        <w:rPr>
          <w:rFonts w:ascii="仿宋" w:eastAsia="仿宋" w:hAnsi="仿宋" w:cs="宋体" w:hint="eastAsia"/>
          <w:color w:val="000000"/>
          <w:kern w:val="0"/>
          <w:sz w:val="24"/>
        </w:rPr>
        <w:t>的事件</w:t>
      </w:r>
      <w:r>
        <w:rPr>
          <w:rFonts w:ascii="仿宋" w:eastAsia="仿宋" w:hAnsi="仿宋" w:cs="宋体"/>
          <w:color w:val="000000"/>
          <w:kern w:val="0"/>
          <w:sz w:val="24"/>
        </w:rPr>
        <w:t>时，</w:t>
      </w:r>
      <w:r>
        <w:rPr>
          <w:rFonts w:ascii="仿宋" w:eastAsia="仿宋" w:hAnsi="仿宋" w:cs="宋体" w:hint="eastAsia"/>
          <w:color w:val="000000"/>
          <w:kern w:val="0"/>
          <w:sz w:val="24"/>
        </w:rPr>
        <w:t>华夏理财有权</w:t>
      </w:r>
      <w:r>
        <w:rPr>
          <w:rFonts w:ascii="仿宋" w:eastAsia="仿宋" w:hAnsi="仿宋" w:cs="宋体"/>
          <w:color w:val="000000"/>
          <w:kern w:val="0"/>
          <w:sz w:val="24"/>
        </w:rPr>
        <w:t>暂停</w:t>
      </w:r>
      <w:r>
        <w:rPr>
          <w:rFonts w:ascii="仿宋" w:eastAsia="仿宋" w:hAnsi="仿宋" w:cs="宋体" w:hint="eastAsia"/>
          <w:color w:val="000000"/>
          <w:kern w:val="0"/>
          <w:sz w:val="24"/>
        </w:rPr>
        <w:t>认购</w:t>
      </w:r>
      <w:r>
        <w:rPr>
          <w:rFonts w:ascii="仿宋" w:eastAsia="仿宋" w:hAnsi="仿宋" w:cs="宋体"/>
          <w:color w:val="000000"/>
          <w:kern w:val="0"/>
          <w:sz w:val="24"/>
        </w:rPr>
        <w:t>、申购</w:t>
      </w:r>
      <w:r>
        <w:rPr>
          <w:rFonts w:ascii="仿宋" w:eastAsia="仿宋" w:hAnsi="仿宋" w:cs="宋体" w:hint="eastAsia"/>
          <w:color w:val="000000"/>
          <w:kern w:val="0"/>
          <w:sz w:val="24"/>
        </w:rPr>
        <w:t>、</w:t>
      </w:r>
      <w:r>
        <w:rPr>
          <w:rFonts w:ascii="仿宋" w:eastAsia="仿宋" w:hAnsi="仿宋" w:cs="宋体"/>
          <w:color w:val="000000"/>
          <w:kern w:val="0"/>
          <w:sz w:val="24"/>
        </w:rPr>
        <w:t>赎回并于</w:t>
      </w:r>
      <w:r>
        <w:rPr>
          <w:rFonts w:ascii="仿宋" w:eastAsia="仿宋" w:hAnsi="仿宋" w:cs="宋体" w:hint="eastAsia"/>
          <w:color w:val="000000"/>
          <w:kern w:val="0"/>
          <w:sz w:val="24"/>
        </w:rPr>
        <w:t>2个</w:t>
      </w:r>
      <w:r>
        <w:rPr>
          <w:rFonts w:ascii="仿宋" w:eastAsia="仿宋" w:hAnsi="仿宋" w:cs="宋体"/>
          <w:color w:val="000000"/>
          <w:kern w:val="0"/>
          <w:sz w:val="24"/>
        </w:rPr>
        <w:t>工作日</w:t>
      </w:r>
      <w:r>
        <w:rPr>
          <w:rFonts w:ascii="仿宋" w:eastAsia="仿宋" w:hAnsi="仿宋" w:cs="宋体" w:hint="eastAsia"/>
          <w:color w:val="000000"/>
          <w:kern w:val="0"/>
          <w:sz w:val="24"/>
        </w:rPr>
        <w:t>内</w:t>
      </w:r>
      <w:r>
        <w:rPr>
          <w:rFonts w:ascii="仿宋" w:eastAsia="仿宋" w:hAnsi="仿宋" w:cs="宋体"/>
          <w:color w:val="000000"/>
          <w:kern w:val="0"/>
          <w:sz w:val="24"/>
        </w:rPr>
        <w:t>公告相应</w:t>
      </w:r>
      <w:r>
        <w:rPr>
          <w:rFonts w:ascii="仿宋" w:eastAsia="仿宋" w:hAnsi="仿宋" w:cs="宋体" w:hint="eastAsia"/>
          <w:color w:val="000000"/>
          <w:kern w:val="0"/>
          <w:sz w:val="24"/>
        </w:rPr>
        <w:t>信息</w:t>
      </w:r>
      <w:r>
        <w:rPr>
          <w:rFonts w:ascii="仿宋" w:eastAsia="仿宋" w:hAnsi="仿宋" w:cs="宋体"/>
          <w:color w:val="000000"/>
          <w:kern w:val="0"/>
          <w:sz w:val="24"/>
        </w:rPr>
        <w:t>。</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color w:val="000000"/>
          <w:kern w:val="0"/>
          <w:sz w:val="24"/>
        </w:rPr>
        <w:lastRenderedPageBreak/>
        <w:t>3</w:t>
      </w:r>
      <w:r>
        <w:rPr>
          <w:rFonts w:ascii="仿宋" w:eastAsia="仿宋" w:hAnsi="仿宋" w:cs="宋体" w:hint="eastAsia"/>
          <w:color w:val="000000"/>
          <w:kern w:val="0"/>
          <w:sz w:val="24"/>
        </w:rPr>
        <w:t>.</w:t>
      </w:r>
      <w:r>
        <w:rPr>
          <w:rFonts w:ascii="仿宋" w:eastAsia="仿宋" w:hAnsi="仿宋" w:cs="宋体"/>
          <w:color w:val="000000"/>
          <w:kern w:val="0"/>
          <w:sz w:val="24"/>
        </w:rPr>
        <w:t>不可抗力原因导致本理财产品无法正常运作时，</w:t>
      </w:r>
      <w:r>
        <w:rPr>
          <w:rFonts w:ascii="仿宋" w:eastAsia="仿宋" w:hAnsi="仿宋" w:cs="宋体" w:hint="eastAsia"/>
          <w:color w:val="000000"/>
          <w:kern w:val="0"/>
          <w:sz w:val="24"/>
        </w:rPr>
        <w:t>华夏理财有权</w:t>
      </w:r>
      <w:r>
        <w:rPr>
          <w:rFonts w:ascii="仿宋" w:eastAsia="仿宋" w:hAnsi="仿宋" w:cs="宋体"/>
          <w:color w:val="000000"/>
          <w:kern w:val="0"/>
          <w:sz w:val="24"/>
        </w:rPr>
        <w:t>暂停</w:t>
      </w:r>
      <w:r>
        <w:rPr>
          <w:rFonts w:ascii="仿宋" w:eastAsia="仿宋" w:hAnsi="仿宋" w:cs="宋体" w:hint="eastAsia"/>
          <w:color w:val="000000"/>
          <w:kern w:val="0"/>
          <w:sz w:val="24"/>
        </w:rPr>
        <w:t>认购</w:t>
      </w:r>
      <w:r>
        <w:rPr>
          <w:rFonts w:ascii="仿宋" w:eastAsia="仿宋" w:hAnsi="仿宋" w:cs="宋体"/>
          <w:color w:val="000000"/>
          <w:kern w:val="0"/>
          <w:sz w:val="24"/>
        </w:rPr>
        <w:t>、申购</w:t>
      </w:r>
      <w:r>
        <w:rPr>
          <w:rFonts w:ascii="仿宋" w:eastAsia="仿宋" w:hAnsi="仿宋" w:cs="宋体" w:hint="eastAsia"/>
          <w:color w:val="000000"/>
          <w:kern w:val="0"/>
          <w:sz w:val="24"/>
        </w:rPr>
        <w:t>、</w:t>
      </w:r>
      <w:r>
        <w:rPr>
          <w:rFonts w:ascii="仿宋" w:eastAsia="仿宋" w:hAnsi="仿宋" w:cs="宋体"/>
          <w:color w:val="000000"/>
          <w:kern w:val="0"/>
          <w:sz w:val="24"/>
        </w:rPr>
        <w:t>赎回。</w:t>
      </w:r>
    </w:p>
    <w:p w:rsidR="0066093E" w:rsidRDefault="0066093E">
      <w:pPr>
        <w:pStyle w:val="Default"/>
        <w:snapToGrid w:val="0"/>
        <w:spacing w:afterLines="50" w:after="156" w:line="400" w:lineRule="exact"/>
        <w:ind w:firstLineChars="200" w:firstLine="482"/>
        <w:jc w:val="both"/>
        <w:rPr>
          <w:rFonts w:ascii="Times New Roman" w:eastAsia="黑体" w:cs="Times New Roman" w:hint="eastAsia"/>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例1：假设客户持有的本理财产品份额为200,000份，在开放日赎回100,000份，则：若根据前述超额管理费条款，管理人收取超额管理费，且扣除超额管理费后的产品开放日份额净值为1.1800，则客户获得的赎回金额为：100,000*1.1800=118,000.00元。</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若根据前述超额管理费条款，管理人不收取超额管理费，且产品开放日份额净值为1.0700，则客户获得的赎回金额为：100,000*1.0700=107,000.00元。</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若根据前述超额管理费条款，管理人不收取超额管理费，且产品开放日份额净值为0.9980，则客户获得赎回金额为：100,000*0.9980=99,800.00元。</w:t>
      </w:r>
    </w:p>
    <w:p w:rsidR="0066093E" w:rsidRDefault="0066093E">
      <w:pPr>
        <w:widowControl/>
        <w:adjustRightInd w:val="0"/>
        <w:snapToGrid w:val="0"/>
        <w:spacing w:line="276" w:lineRule="auto"/>
        <w:ind w:firstLineChars="200" w:firstLine="480"/>
        <w:contextualSpacing/>
        <w:rPr>
          <w:rFonts w:ascii="仿宋" w:eastAsia="仿宋" w:hAnsi="仿宋" w:hint="eastAsia"/>
          <w:sz w:val="24"/>
        </w:rPr>
      </w:pPr>
      <w:r>
        <w:rPr>
          <w:rFonts w:ascii="仿宋" w:eastAsia="仿宋" w:hAnsi="仿宋" w:cs="宋体" w:hint="eastAsia"/>
          <w:color w:val="000000"/>
          <w:kern w:val="0"/>
          <w:sz w:val="24"/>
        </w:rPr>
        <w:t>例2：客户在本理财产品的开放日申请购买了100,000元的本理财产品，如购买当日产品的份额净值为1.0110，则该笔购买申请确认后，该笔购买申请对应的理财产品份额为：100,000/1.0110=98,911.96份。</w:t>
      </w:r>
    </w:p>
    <w:p w:rsidR="0066093E" w:rsidRDefault="0066093E">
      <w:pPr>
        <w:autoSpaceDE w:val="0"/>
        <w:autoSpaceDN w:val="0"/>
        <w:adjustRightInd w:val="0"/>
        <w:snapToGrid w:val="0"/>
        <w:spacing w:line="276" w:lineRule="auto"/>
        <w:ind w:firstLineChars="200" w:firstLine="482"/>
        <w:contextualSpacing/>
        <w:rPr>
          <w:rFonts w:eastAsia="黑体" w:hint="eastAsia"/>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66093E" w:rsidRDefault="0066093E">
      <w:pPr>
        <w:autoSpaceDE w:val="0"/>
        <w:autoSpaceDN w:val="0"/>
        <w:adjustRightInd w:val="0"/>
        <w:snapToGrid w:val="0"/>
        <w:spacing w:line="276" w:lineRule="auto"/>
        <w:ind w:firstLineChars="200" w:firstLine="482"/>
        <w:contextualSpacing/>
        <w:rPr>
          <w:rFonts w:eastAsia="黑体" w:hint="eastAsia"/>
          <w:b/>
          <w:sz w:val="24"/>
        </w:rPr>
      </w:pPr>
      <w:r>
        <w:rPr>
          <w:rFonts w:eastAsia="黑体" w:hint="eastAsia"/>
          <w:b/>
          <w:sz w:val="24"/>
        </w:rPr>
        <w:t>华夏理财郑重提示：本理财产品是非保本浮动收益净值型理财产品，不保证理财本金和收益。投资者的本金和收益可能会因市场变动而蒙受损失。投资者应充分认识投资风险，谨慎投资。</w:t>
      </w:r>
    </w:p>
    <w:p w:rsidR="0066093E" w:rsidRDefault="0066093E">
      <w:pPr>
        <w:autoSpaceDE w:val="0"/>
        <w:autoSpaceDN w:val="0"/>
        <w:adjustRightInd w:val="0"/>
        <w:snapToGrid w:val="0"/>
        <w:spacing w:line="276" w:lineRule="auto"/>
        <w:ind w:firstLineChars="200" w:firstLine="482"/>
        <w:contextualSpacing/>
        <w:rPr>
          <w:rFonts w:eastAsia="黑体" w:hint="eastAsia"/>
          <w:b/>
          <w:color w:val="000000"/>
          <w:sz w:val="24"/>
        </w:rPr>
      </w:pPr>
      <w:r>
        <w:rPr>
          <w:rFonts w:eastAsia="黑体" w:hint="eastAsia"/>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rsidR="0066093E" w:rsidRDefault="0066093E">
      <w:pPr>
        <w:autoSpaceDE w:val="0"/>
        <w:autoSpaceDN w:val="0"/>
        <w:adjustRightInd w:val="0"/>
        <w:snapToGrid w:val="0"/>
        <w:spacing w:line="276" w:lineRule="auto"/>
        <w:ind w:firstLineChars="200" w:firstLine="482"/>
        <w:contextualSpacing/>
        <w:rPr>
          <w:rFonts w:eastAsia="黑体" w:hint="eastAsia"/>
          <w:b/>
          <w:color w:val="000000"/>
          <w:sz w:val="24"/>
        </w:rPr>
      </w:pPr>
      <w:r>
        <w:rPr>
          <w:rFonts w:eastAsia="黑体" w:hint="eastAsia"/>
          <w:b/>
          <w:color w:val="000000"/>
          <w:sz w:val="24"/>
        </w:rPr>
        <w:t>本产品说明书中的任何业绩基准、收益示例或类似表述均不具有法律约束力，不代表投资者可能获得的实际收益，亦不构成华夏理财</w:t>
      </w:r>
      <w:r>
        <w:rPr>
          <w:rFonts w:eastAsia="黑体" w:hint="eastAsia"/>
          <w:b/>
          <w:color w:val="000000"/>
          <w:sz w:val="24"/>
        </w:rPr>
        <w:t>/</w:t>
      </w:r>
      <w:r>
        <w:rPr>
          <w:rFonts w:eastAsia="黑体" w:hint="eastAsia"/>
          <w:b/>
          <w:color w:val="000000"/>
          <w:sz w:val="24"/>
        </w:rPr>
        <w:t>代销机构对本理财产品的任何收益承诺，仅供投资者期</w:t>
      </w:r>
      <w:proofErr w:type="gramStart"/>
      <w:r>
        <w:rPr>
          <w:rFonts w:eastAsia="黑体" w:hint="eastAsia"/>
          <w:b/>
          <w:color w:val="000000"/>
          <w:sz w:val="24"/>
        </w:rPr>
        <w:t>初作为</w:t>
      </w:r>
      <w:proofErr w:type="gramEnd"/>
      <w:r>
        <w:rPr>
          <w:rFonts w:eastAsia="黑体" w:hint="eastAsia"/>
          <w:b/>
          <w:color w:val="000000"/>
          <w:sz w:val="24"/>
        </w:rPr>
        <w:t>投资决定的参考。</w:t>
      </w:r>
    </w:p>
    <w:p w:rsidR="0066093E" w:rsidRDefault="0066093E">
      <w:pPr>
        <w:pStyle w:val="Default"/>
        <w:snapToGrid w:val="0"/>
        <w:spacing w:afterLines="50" w:after="156" w:line="400" w:lineRule="exact"/>
        <w:ind w:firstLineChars="200" w:firstLine="482"/>
        <w:jc w:val="both"/>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66093E" w:rsidRDefault="0066093E">
      <w:pPr>
        <w:pStyle w:val="Default"/>
        <w:snapToGrid w:val="0"/>
        <w:spacing w:line="276" w:lineRule="auto"/>
        <w:ind w:firstLineChars="200" w:firstLine="480"/>
        <w:contextualSpacing/>
        <w:rPr>
          <w:rFonts w:ascii="仿宋" w:eastAsia="仿宋" w:hAnsi="仿宋" w:hint="eastAsia"/>
        </w:rPr>
      </w:pPr>
      <w:r>
        <w:rPr>
          <w:rFonts w:ascii="仿宋" w:eastAsia="仿宋" w:hAnsi="仿宋" w:hint="eastAsia"/>
        </w:rPr>
        <w:t>（一）估值对象</w:t>
      </w:r>
    </w:p>
    <w:p w:rsidR="0066093E" w:rsidRDefault="0066093E">
      <w:pPr>
        <w:autoSpaceDE w:val="0"/>
        <w:autoSpaceDN w:val="0"/>
        <w:adjustRightInd w:val="0"/>
        <w:snapToGrid w:val="0"/>
        <w:spacing w:line="276" w:lineRule="auto"/>
        <w:ind w:firstLineChars="200" w:firstLine="480"/>
        <w:rPr>
          <w:rFonts w:ascii="仿宋" w:eastAsia="仿宋" w:hAnsi="仿宋" w:cs="仿宋" w:hint="eastAsia"/>
          <w:sz w:val="24"/>
        </w:rPr>
      </w:pPr>
      <w:r>
        <w:rPr>
          <w:rFonts w:ascii="仿宋" w:eastAsia="仿宋" w:hAnsi="仿宋" w:cs="仿宋" w:hint="eastAsia"/>
          <w:sz w:val="24"/>
        </w:rPr>
        <w:t>本理财产品所投资的银行存款、货币市场工具、债券等标准化债权类资产、非标准化债权类资产、权益类资产以及资产管理产品等资产。</w:t>
      </w:r>
    </w:p>
    <w:p w:rsidR="0066093E" w:rsidRDefault="0066093E">
      <w:pPr>
        <w:pStyle w:val="Default"/>
        <w:snapToGrid w:val="0"/>
        <w:spacing w:line="276" w:lineRule="auto"/>
        <w:ind w:firstLineChars="200" w:firstLine="480"/>
        <w:contextualSpacing/>
        <w:rPr>
          <w:rFonts w:ascii="仿宋" w:eastAsia="仿宋" w:hAnsi="仿宋"/>
        </w:rPr>
      </w:pPr>
      <w:r>
        <w:rPr>
          <w:rFonts w:ascii="仿宋" w:eastAsia="仿宋" w:hAnsi="仿宋" w:hint="eastAsia"/>
        </w:rPr>
        <w:t>（二）估值方法</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1.证券交易所上市的有价证券</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lastRenderedPageBreak/>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在交易所市场上市的含有转股权的债券（如可转换债券、可交换债券等）等，选取每日收盘价减去所含的应收利息得到的净价进行估值。</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2.处于未上市期间的有价证券应区分如下情况处理：</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（1）送股、转增股、配股和公开增发的新股，按估值日在证券交易所挂牌的同一股票的市价（收盘价）估值；该日无交易的，以最近一日的市价（收盘价）估值；</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（3）优先股采用估值技术确认公允价值，在估值技术难以可靠计量公允价值的情况下，采用管理人和托管人共同认可的第三方机构提供的估值，或双方共同认可的估值；</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等流通受限股票，应以证券交易所上市交易的同一股票的公允价值为基础，引入第三方机构提供的流动性折扣进行估值。</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3.全国银行间债券市场交易的债券、资产支持证券等固定收益品种，采用中</w:t>
      </w:r>
      <w:proofErr w:type="gramStart"/>
      <w:r>
        <w:rPr>
          <w:rFonts w:ascii="仿宋" w:eastAsia="仿宋" w:hAnsi="仿宋" w:cs="宋体" w:hint="eastAsia"/>
          <w:color w:val="000000"/>
          <w:kern w:val="0"/>
          <w:sz w:val="24"/>
        </w:rPr>
        <w:t>债金融</w:t>
      </w:r>
      <w:proofErr w:type="gramEnd"/>
      <w:r>
        <w:rPr>
          <w:rFonts w:ascii="仿宋" w:eastAsia="仿宋" w:hAnsi="仿宋" w:cs="宋体" w:hint="eastAsia"/>
          <w:color w:val="000000"/>
          <w:kern w:val="0"/>
          <w:sz w:val="24"/>
        </w:rPr>
        <w:t>估值中心有限公司提供的估值价确定公允价值。若中</w:t>
      </w:r>
      <w:proofErr w:type="gramStart"/>
      <w:r>
        <w:rPr>
          <w:rFonts w:ascii="仿宋" w:eastAsia="仿宋" w:hAnsi="仿宋" w:cs="宋体" w:hint="eastAsia"/>
          <w:color w:val="000000"/>
          <w:kern w:val="0"/>
          <w:sz w:val="24"/>
        </w:rPr>
        <w:t>债金融</w:t>
      </w:r>
      <w:proofErr w:type="gramEnd"/>
      <w:r>
        <w:rPr>
          <w:rFonts w:ascii="仿宋" w:eastAsia="仿宋" w:hAnsi="仿宋" w:cs="宋体" w:hint="eastAsia"/>
          <w:color w:val="000000"/>
          <w:kern w:val="0"/>
          <w:sz w:val="24"/>
        </w:rPr>
        <w:t>估值中心有限公司未提供价格数据，应采用估值技术确认公允价值，或者管理人和托管人共同认可的估值。</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4.同一债券同时在两个或两个以上市场交易的，按债券所处的市场分别估值。</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5.证券投资基金的估值</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（1）</w:t>
      </w:r>
      <w:proofErr w:type="gramStart"/>
      <w:r>
        <w:rPr>
          <w:rFonts w:ascii="仿宋" w:eastAsia="仿宋" w:hAnsi="仿宋" w:cs="宋体" w:hint="eastAsia"/>
          <w:color w:val="000000"/>
          <w:kern w:val="0"/>
          <w:sz w:val="24"/>
        </w:rPr>
        <w:t>场外申赎</w:t>
      </w:r>
      <w:proofErr w:type="gramEnd"/>
      <w:r>
        <w:rPr>
          <w:rFonts w:ascii="仿宋" w:eastAsia="仿宋" w:hAnsi="仿宋" w:cs="宋体" w:hint="eastAsia"/>
          <w:color w:val="000000"/>
          <w:kern w:val="0"/>
          <w:sz w:val="24"/>
        </w:rPr>
        <w:t>的开放式基金（包括上市开放式基金LOF）以估值日前一交易日基金净值估值，估值日前一交易日开放式基金份额净值未公布的，以此前最近一个交易日基金份额净值计算；</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（2）上市流通的证券投资基金（包括场内买入的ETF、封闭式基金、上市定期开放式基金）按估值日其所在证券交易所的收盘价估值；估值日无交易的，以最近一个交易日的收盘价估值；</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（3）货币基金按前一估值日后至估值日期间（含节假日）发布的万份收益计提估值日收益。</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6.银行存款（活期、定期）及证券资金账户存款以本金列示，按照约定利率在持有期内逐日计提应收利息，在利息到账日以实收利息入账。</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7.债券回购和具有固定回报的买入返售金融资产：以买入/外放成本列示，按约定收益率逐日计提收益。</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lastRenderedPageBreak/>
        <w:t>8.期货以估值日期货交易所的当日结算价估值，估值当日无结算价的，且最近交易日后经济环境未发生重大变化的，采用最近交易日结算价估值。</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9.汇率估值方法</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10.场内期权以估值日交易所的结算价估值，该日无交易的，以最近一日的结算价为准。</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11.非标准化债权类资产采用估值技术确认公允价值，在估值技术难以可靠计量公允价值的情况下，按照管理人和托管人共同认可的估值。</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12.本系列产品所投资的资产管理产品以估值日公布的产品单位净值进行估值，估值</w:t>
      </w:r>
      <w:proofErr w:type="gramStart"/>
      <w:r>
        <w:rPr>
          <w:rFonts w:ascii="仿宋" w:eastAsia="仿宋" w:hAnsi="仿宋" w:cs="宋体" w:hint="eastAsia"/>
          <w:color w:val="000000"/>
          <w:kern w:val="0"/>
          <w:sz w:val="24"/>
        </w:rPr>
        <w:t>日产品</w:t>
      </w:r>
      <w:proofErr w:type="gramEnd"/>
      <w:r>
        <w:rPr>
          <w:rFonts w:ascii="仿宋" w:eastAsia="仿宋" w:hAnsi="仿宋" w:cs="宋体" w:hint="eastAsia"/>
          <w:color w:val="000000"/>
          <w:kern w:val="0"/>
          <w:sz w:val="24"/>
        </w:rPr>
        <w:t>单位净值未公布的，以最近一个工作日产品单位净值计算。</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13.相关法律法规以及监管部门有强制规定的，从其规定。如有新增事项或变更事项，依法按最新规定计算。没有相关规定的，由产品管理人与托管人协商确定计算方法。</w:t>
      </w:r>
    </w:p>
    <w:p w:rsidR="0066093E" w:rsidRDefault="0066093E">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14.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66093E" w:rsidRDefault="0066093E">
      <w:pPr>
        <w:widowControl/>
        <w:adjustRightInd w:val="0"/>
        <w:snapToGrid w:val="0"/>
        <w:spacing w:line="276" w:lineRule="auto"/>
        <w:ind w:firstLineChars="200" w:firstLine="482"/>
        <w:contextualSpacing/>
        <w:rPr>
          <w:rFonts w:ascii="仿宋" w:eastAsia="仿宋" w:hAnsi="仿宋" w:cs="宋体" w:hint="eastAsia"/>
          <w:b/>
          <w:bCs/>
          <w:color w:val="000000"/>
          <w:kern w:val="0"/>
          <w:sz w:val="24"/>
        </w:rPr>
      </w:pPr>
      <w:r>
        <w:rPr>
          <w:rFonts w:ascii="仿宋" w:eastAsia="仿宋" w:hAnsi="仿宋" w:cs="宋体" w:hint="eastAsia"/>
          <w:b/>
          <w:bCs/>
          <w:color w:val="000000"/>
          <w:kern w:val="0"/>
          <w:sz w:val="24"/>
        </w:rPr>
        <w:t>以上“理财产品估值”章节所列的投资品种不代表本产品的实际投资范围，本产品实际可投资范围以产品说明书“投资对象”章节列示为准。</w:t>
      </w:r>
    </w:p>
    <w:p w:rsidR="0066093E" w:rsidRDefault="0066093E">
      <w:pPr>
        <w:pStyle w:val="Default"/>
        <w:snapToGrid w:val="0"/>
        <w:spacing w:afterLines="50" w:after="156" w:line="400" w:lineRule="exact"/>
        <w:ind w:firstLineChars="200" w:firstLine="482"/>
        <w:jc w:val="both"/>
        <w:rPr>
          <w:rFonts w:ascii="Times New Roman" w:eastAsia="黑体" w:cs="Times New Roman" w:hint="eastAsia"/>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66093E" w:rsidRDefault="0066093E">
      <w:pPr>
        <w:pStyle w:val="Default"/>
        <w:snapToGrid w:val="0"/>
        <w:spacing w:line="276" w:lineRule="auto"/>
        <w:ind w:firstLineChars="200" w:firstLine="480"/>
        <w:contextualSpacing/>
        <w:jc w:val="both"/>
        <w:rPr>
          <w:rFonts w:ascii="Times New Roman" w:eastAsia="黑体" w:cs="Times New Roman" w:hint="eastAsia"/>
        </w:rPr>
      </w:pPr>
      <w:r>
        <w:rPr>
          <w:rFonts w:ascii="仿宋" w:eastAsia="仿宋" w:hAnsi="仿宋"/>
        </w:rPr>
        <w:t>本理财产品</w:t>
      </w:r>
      <w:r>
        <w:rPr>
          <w:rFonts w:ascii="仿宋" w:eastAsia="仿宋" w:hAnsi="仿宋" w:hint="eastAsia"/>
        </w:rPr>
        <w:t>为非保本浮动收益净值型</w:t>
      </w:r>
      <w:r>
        <w:rPr>
          <w:rFonts w:ascii="仿宋" w:eastAsia="仿宋" w:hAnsi="仿宋"/>
        </w:rPr>
        <w:t>理财产品，根据法律法规及监管要求的有关规定，特向</w:t>
      </w:r>
      <w:r>
        <w:rPr>
          <w:rFonts w:ascii="仿宋" w:eastAsia="仿宋" w:hAnsi="仿宋" w:hint="eastAsia"/>
        </w:rPr>
        <w:t>投资者</w:t>
      </w:r>
      <w:r>
        <w:rPr>
          <w:rFonts w:ascii="仿宋" w:eastAsia="仿宋" w:hAnsi="仿宋"/>
        </w:rPr>
        <w:t>提示如下：与银行存款比较，本理财产品存在投资风险，</w:t>
      </w:r>
      <w:r>
        <w:rPr>
          <w:rFonts w:ascii="仿宋" w:eastAsia="仿宋" w:hAnsi="仿宋" w:hint="eastAsia"/>
        </w:rPr>
        <w:t>投资者</w:t>
      </w:r>
      <w:r>
        <w:rPr>
          <w:rFonts w:ascii="仿宋" w:eastAsia="仿宋" w:hAnsi="仿宋"/>
        </w:rPr>
        <w:t>的本金和收益可能会因市场变动等原因而蒙受损失，</w:t>
      </w:r>
      <w:r>
        <w:rPr>
          <w:rFonts w:ascii="仿宋" w:eastAsia="仿宋" w:hAnsi="仿宋" w:hint="eastAsia"/>
        </w:rPr>
        <w:t>投资者</w:t>
      </w:r>
      <w:r>
        <w:rPr>
          <w:rFonts w:ascii="仿宋" w:eastAsia="仿宋" w:hAnsi="仿宋"/>
        </w:rPr>
        <w:t>应充分认识投资风险，谨慎投资。本理财产品可能面临的风险主要包括：</w:t>
      </w:r>
    </w:p>
    <w:p w:rsidR="0066093E" w:rsidRDefault="0066093E">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（一）本金及理财收益风险：本理财产品不保证本金及理财收益，理财产品收益来源于本理财产品项下投资组合的回报，容易受到企业信用状况变化、市场利率变化、</w:t>
      </w:r>
      <w:r>
        <w:rPr>
          <w:rFonts w:ascii="Times New Roman" w:eastAsia="黑体" w:cs="Times New Roman" w:hint="eastAsia"/>
          <w:b/>
          <w:color w:val="auto"/>
        </w:rPr>
        <w:t>汇率变化、</w:t>
      </w:r>
      <w:r>
        <w:rPr>
          <w:rFonts w:ascii="Times New Roman" w:eastAsia="黑体" w:cs="Times New Roman" w:hint="eastAsia"/>
          <w:b/>
        </w:rPr>
        <w:t>投资组合运作情况以及投资管理方投资能力等</w:t>
      </w:r>
      <w:r>
        <w:rPr>
          <w:rFonts w:ascii="Times New Roman" w:eastAsia="黑体" w:cs="Times New Roman"/>
          <w:b/>
        </w:rPr>
        <w:t>因素</w:t>
      </w:r>
      <w:r>
        <w:rPr>
          <w:rFonts w:ascii="Times New Roman" w:eastAsia="黑体" w:cs="Times New Roman" w:hint="eastAsia"/>
          <w:b/>
        </w:rPr>
        <w:t>的影响，在最不利的情况下，本理财产品理财收益率可能为零，并有可能损失本金，由此产生的风险由投资者自行承担。</w:t>
      </w:r>
    </w:p>
    <w:p w:rsidR="0066093E" w:rsidRDefault="0066093E">
      <w:pPr>
        <w:pStyle w:val="Default"/>
        <w:snapToGrid w:val="0"/>
        <w:spacing w:line="276" w:lineRule="auto"/>
        <w:ind w:firstLineChars="200" w:firstLine="482"/>
        <w:contextualSpacing/>
        <w:jc w:val="both"/>
        <w:rPr>
          <w:rFonts w:ascii="Times New Roman" w:eastAsia="黑体" w:cs="Times New Roman" w:hint="eastAsia"/>
          <w:b/>
        </w:rPr>
      </w:pPr>
      <w:r>
        <w:rPr>
          <w:rFonts w:ascii="Times New Roman" w:eastAsia="黑体" w:cs="Times New Roman" w:hint="eastAsia"/>
          <w:b/>
        </w:rPr>
        <w:t>（二）信用风险：如理财产品</w:t>
      </w:r>
      <w:bookmarkStart w:id="2" w:name="_Hlk76300274"/>
      <w:r>
        <w:rPr>
          <w:rFonts w:ascii="Times New Roman" w:eastAsia="黑体" w:cs="Times New Roman" w:hint="eastAsia"/>
          <w:b/>
          <w:color w:val="auto"/>
        </w:rPr>
        <w:t>所投资的资产</w:t>
      </w:r>
      <w:bookmarkEnd w:id="2"/>
      <w:r>
        <w:rPr>
          <w:rFonts w:ascii="Times New Roman" w:eastAsia="黑体" w:cs="Times New Roman" w:hint="eastAsia"/>
          <w:b/>
          <w:color w:val="auto"/>
        </w:rPr>
        <w:t>发行人、</w:t>
      </w:r>
      <w:r>
        <w:rPr>
          <w:rFonts w:ascii="Times New Roman" w:eastAsia="黑体" w:cs="Times New Roman" w:hint="eastAsia"/>
          <w:b/>
        </w:rPr>
        <w:t>资产管理计划管理人、信托受托人、债务人、担保人（如有）等相关主体发生违约，可能导致无法按时支付本金及理财收益，进而导致本理财产品收益为零甚至本金遭受损失。</w:t>
      </w:r>
    </w:p>
    <w:p w:rsidR="0066093E" w:rsidRDefault="0066093E">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ascii="Times New Roman" w:eastAsia="黑体" w:cs="Times New Roman" w:hint="eastAsia"/>
          <w:b/>
        </w:rPr>
        <w:t>资产</w:t>
      </w:r>
      <w:r>
        <w:rPr>
          <w:rFonts w:ascii="Times New Roman" w:eastAsia="黑体" w:cs="Times New Roman"/>
          <w:b/>
        </w:rPr>
        <w:t>价格、利率、信用</w:t>
      </w:r>
      <w:r>
        <w:rPr>
          <w:rFonts w:ascii="Times New Roman" w:eastAsia="黑体" w:cs="Times New Roman" w:hint="eastAsia"/>
          <w:b/>
          <w:color w:val="auto"/>
        </w:rPr>
        <w:t>、汇率</w:t>
      </w:r>
      <w:r>
        <w:rPr>
          <w:rFonts w:ascii="Times New Roman" w:eastAsia="黑体" w:cs="Times New Roman"/>
          <w:b/>
        </w:rPr>
        <w:t>以及国家政策等的变动导致本理财产品净值遭受损失的可能。</w:t>
      </w:r>
    </w:p>
    <w:p w:rsidR="0066093E" w:rsidRDefault="0066093E">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lastRenderedPageBreak/>
        <w:t>（四）流动性风险：</w:t>
      </w:r>
      <w:r>
        <w:rPr>
          <w:rFonts w:ascii="Times New Roman" w:eastAsia="黑体" w:cs="Times New Roman"/>
          <w:b/>
        </w:rPr>
        <w:t>本理财产品为</w:t>
      </w:r>
      <w:r>
        <w:rPr>
          <w:rFonts w:ascii="Times New Roman" w:eastAsia="黑体" w:cs="Times New Roman" w:hint="eastAsia"/>
          <w:b/>
        </w:rPr>
        <w:t>开放式</w:t>
      </w:r>
      <w:r>
        <w:rPr>
          <w:rFonts w:ascii="Times New Roman" w:eastAsia="黑体" w:cs="Times New Roman"/>
          <w:b/>
        </w:rPr>
        <w:t>净值型理财产品，投资者无权随时终止</w:t>
      </w:r>
      <w:r>
        <w:rPr>
          <w:rFonts w:ascii="Times New Roman" w:eastAsia="黑体" w:cs="Times New Roman" w:hint="eastAsia"/>
          <w:b/>
        </w:rPr>
        <w:t>本</w:t>
      </w:r>
      <w:r>
        <w:rPr>
          <w:rFonts w:ascii="Times New Roman" w:eastAsia="黑体" w:cs="Times New Roman"/>
          <w:b/>
        </w:rPr>
        <w:t>理财产品，</w:t>
      </w:r>
      <w:r>
        <w:rPr>
          <w:rFonts w:ascii="Times New Roman" w:eastAsia="黑体" w:cs="Times New Roman" w:hint="eastAsia"/>
          <w:b/>
        </w:rPr>
        <w:t>只能在本产品说明书规定的开放日及开放时间内办理申购与赎回</w:t>
      </w:r>
      <w:r>
        <w:rPr>
          <w:rFonts w:eastAsia="黑体" w:hint="eastAsia"/>
          <w:b/>
        </w:rPr>
        <w:t>。除本产品说明书规定情形以外，投资</w:t>
      </w:r>
      <w:r>
        <w:rPr>
          <w:rFonts w:eastAsia="黑体"/>
          <w:b/>
        </w:rPr>
        <w:t>封闭期内不受理</w:t>
      </w:r>
      <w:r>
        <w:rPr>
          <w:rFonts w:eastAsia="黑体" w:hint="eastAsia"/>
          <w:b/>
        </w:rPr>
        <w:t>投资者</w:t>
      </w:r>
      <w:r>
        <w:rPr>
          <w:rFonts w:eastAsia="黑体"/>
          <w:b/>
        </w:rPr>
        <w:t>任何形式的提前赎回申请；</w:t>
      </w:r>
      <w:r>
        <w:rPr>
          <w:rFonts w:ascii="Times New Roman" w:eastAsia="黑体" w:cs="Times New Roman" w:hint="eastAsia"/>
          <w:b/>
        </w:rPr>
        <w:t>若发生巨额赎回，华夏理财有权根据理财产品的资产组合状况决定接受赎回申请</w:t>
      </w:r>
      <w:r>
        <w:rPr>
          <w:rFonts w:ascii="仿宋" w:eastAsia="仿宋" w:hAnsi="仿宋" w:hint="eastAsia"/>
          <w:bCs/>
          <w:szCs w:val="21"/>
        </w:rPr>
        <w:t>、</w:t>
      </w:r>
      <w:r>
        <w:rPr>
          <w:rFonts w:ascii="Times New Roman" w:eastAsia="黑体" w:cs="Times New Roman" w:hint="eastAsia"/>
          <w:b/>
        </w:rPr>
        <w:t>拒绝赎回申请</w:t>
      </w:r>
      <w:r>
        <w:rPr>
          <w:rFonts w:ascii="仿宋" w:eastAsia="仿宋" w:hAnsi="仿宋" w:hint="eastAsia"/>
          <w:bCs/>
          <w:szCs w:val="21"/>
        </w:rPr>
        <w:t>、</w:t>
      </w:r>
      <w:r>
        <w:rPr>
          <w:rFonts w:ascii="Times New Roman" w:eastAsia="黑体" w:cs="Times New Roman" w:hint="eastAsia"/>
          <w:b/>
        </w:rPr>
        <w:t>以比例确认等方式对赎回申请给予部分确认</w:t>
      </w:r>
      <w:r>
        <w:rPr>
          <w:rFonts w:eastAsia="黑体"/>
          <w:b/>
        </w:rPr>
        <w:t>。以上情形均</w:t>
      </w:r>
      <w:r>
        <w:rPr>
          <w:rFonts w:ascii="Times New Roman" w:eastAsia="黑体" w:cs="Times New Roman" w:hint="eastAsia"/>
          <w:b/>
        </w:rPr>
        <w:t>可能影响投资者的资金安排，带来流动性风险</w:t>
      </w:r>
      <w:r>
        <w:rPr>
          <w:rFonts w:ascii="Times New Roman" w:eastAsia="黑体" w:cs="Times New Roman"/>
          <w:b/>
        </w:rPr>
        <w:t>。</w:t>
      </w:r>
    </w:p>
    <w:p w:rsidR="0066093E" w:rsidRDefault="0066093E">
      <w:pPr>
        <w:pStyle w:val="Default"/>
        <w:snapToGrid w:val="0"/>
        <w:spacing w:line="276" w:lineRule="auto"/>
        <w:ind w:firstLineChars="200" w:firstLine="482"/>
        <w:contextualSpacing/>
        <w:jc w:val="both"/>
        <w:rPr>
          <w:rFonts w:ascii="Times New Roman" w:eastAsia="黑体" w:cs="Times New Roman" w:hint="eastAsia"/>
          <w:b/>
        </w:rPr>
      </w:pPr>
      <w:r>
        <w:rPr>
          <w:rFonts w:ascii="Times New Roman" w:eastAsia="黑体" w:cs="Times New Roman" w:hint="eastAsia"/>
          <w:b/>
        </w:rPr>
        <w:t>（五）投资风险：本理财产品的实际收益率取决于所投资金融工具的收益率，投资者应对此有充分的认识。除本产品说明书中明确规定的收益或收益分配方式外，任何业绩基准、收益示例或类似表述均不具有法律约束力，不代表投资者可能获得的实际收益，亦不构成华夏理财</w:t>
      </w:r>
      <w:r>
        <w:rPr>
          <w:rFonts w:ascii="Times New Roman" w:eastAsia="黑体" w:cs="Times New Roman" w:hint="eastAsia"/>
          <w:b/>
        </w:rPr>
        <w:t>/</w:t>
      </w:r>
      <w:r>
        <w:rPr>
          <w:rFonts w:ascii="Times New Roman" w:eastAsia="黑体" w:cs="Times New Roman" w:hint="eastAsia"/>
          <w:b/>
        </w:rPr>
        <w:t>代销机构对本理财产品的任何收益承诺，仅供投资者期</w:t>
      </w:r>
      <w:proofErr w:type="gramStart"/>
      <w:r>
        <w:rPr>
          <w:rFonts w:ascii="Times New Roman" w:eastAsia="黑体" w:cs="Times New Roman" w:hint="eastAsia"/>
          <w:b/>
        </w:rPr>
        <w:t>初作为</w:t>
      </w:r>
      <w:proofErr w:type="gramEnd"/>
      <w:r>
        <w:rPr>
          <w:rFonts w:ascii="Times New Roman" w:eastAsia="黑体" w:cs="Times New Roman" w:hint="eastAsia"/>
          <w:b/>
        </w:rPr>
        <w:t>投资决定的参考。</w:t>
      </w:r>
    </w:p>
    <w:p w:rsidR="0066093E" w:rsidRDefault="0066093E">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w:t>
      </w:r>
      <w:r>
        <w:rPr>
          <w:rFonts w:ascii="Times New Roman" w:eastAsia="黑体" w:hAnsi="Calibri" w:cs="Times New Roman" w:hint="eastAsia"/>
          <w:b/>
          <w:color w:val="auto"/>
        </w:rPr>
        <w:t>/</w:t>
      </w:r>
      <w:r>
        <w:rPr>
          <w:rFonts w:ascii="Times New Roman" w:eastAsia="黑体" w:hAnsi="Calibri" w:cs="Times New Roman" w:hint="eastAsia"/>
          <w:b/>
          <w:color w:val="auto"/>
        </w:rPr>
        <w:t>损失外，汇率变化会带来额外的损失或收益，从而对投资者收益产生影响；反之亦然。</w:t>
      </w:r>
    </w:p>
    <w:p w:rsidR="0066093E" w:rsidRDefault="0066093E">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（七）法律及政策风险：本理财产品是针对当前的相关法规和政策设计的。如国家宏观政策以及市场相关法规政策发生变化，影响理财产品的受理、投资、偿还等的正常进行，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ascii="Times New Roman" w:eastAsia="黑体" w:cs="Times New Roman" w:hint="eastAsia"/>
          <w:b/>
        </w:rPr>
        <w:t>造成</w:t>
      </w:r>
      <w:r>
        <w:rPr>
          <w:rFonts w:ascii="Times New Roman" w:eastAsia="黑体" w:cs="Times New Roman"/>
          <w:b/>
        </w:rPr>
        <w:t>本金损失。</w:t>
      </w:r>
    </w:p>
    <w:p w:rsidR="0066093E" w:rsidRDefault="0066093E">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（八）</w:t>
      </w:r>
      <w:r>
        <w:rPr>
          <w:rFonts w:ascii="Times New Roman" w:eastAsia="黑体" w:cs="Times New Roman"/>
          <w:b/>
        </w:rPr>
        <w:t>理财产品不成立风险：</w:t>
      </w:r>
      <w:r>
        <w:rPr>
          <w:rFonts w:ascii="Times New Roman" w:eastAsia="黑体" w:cs="Times New Roman" w:hint="eastAsia"/>
          <w:b/>
        </w:rPr>
        <w:t>募集期</w:t>
      </w:r>
      <w:r>
        <w:rPr>
          <w:rFonts w:ascii="Times New Roman" w:eastAsia="黑体" w:cs="Times New Roman"/>
          <w:b/>
        </w:rPr>
        <w:t>结束，如理财产品</w:t>
      </w:r>
      <w:r>
        <w:rPr>
          <w:rFonts w:ascii="Times New Roman" w:eastAsia="黑体" w:cs="Times New Roman" w:hint="eastAsia"/>
          <w:b/>
        </w:rPr>
        <w:t>募集</w:t>
      </w:r>
      <w:r>
        <w:rPr>
          <w:rFonts w:ascii="Times New Roman" w:eastAsia="黑体" w:cs="Times New Roman"/>
          <w:b/>
        </w:rPr>
        <w:t>总金额未达到发行</w:t>
      </w:r>
      <w:r>
        <w:rPr>
          <w:rFonts w:ascii="Times New Roman" w:eastAsia="黑体" w:cs="Times New Roman" w:hint="eastAsia"/>
          <w:b/>
        </w:rPr>
        <w:t>规模</w:t>
      </w:r>
      <w:r>
        <w:rPr>
          <w:rFonts w:ascii="Times New Roman" w:eastAsia="黑体" w:cs="Times New Roman"/>
          <w:b/>
        </w:rPr>
        <w:t>下限</w:t>
      </w:r>
      <w:r>
        <w:rPr>
          <w:rFonts w:ascii="Times New Roman" w:eastAsia="黑体" w:cs="Times New Roman" w:hint="eastAsia"/>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ascii="Times New Roman" w:eastAsia="黑体" w:cs="Times New Roman" w:hint="eastAsia"/>
          <w:b/>
        </w:rPr>
        <w:t>理财</w:t>
      </w:r>
      <w:r>
        <w:rPr>
          <w:rFonts w:ascii="Times New Roman" w:eastAsia="黑体" w:cs="Times New Roman"/>
          <w:b/>
        </w:rPr>
        <w:t>有权宣布本理财产品不成立。</w:t>
      </w:r>
    </w:p>
    <w:p w:rsidR="0066093E" w:rsidRDefault="0066093E">
      <w:pPr>
        <w:pStyle w:val="Default"/>
        <w:snapToGrid w:val="0"/>
        <w:spacing w:line="276" w:lineRule="auto"/>
        <w:ind w:firstLineChars="200" w:firstLine="482"/>
        <w:contextualSpacing/>
        <w:jc w:val="both"/>
        <w:rPr>
          <w:rFonts w:ascii="Times New Roman" w:eastAsia="黑体" w:cs="Times New Roman" w:hint="eastAsia"/>
          <w:b/>
        </w:rPr>
      </w:pPr>
      <w:r>
        <w:rPr>
          <w:rFonts w:ascii="Times New Roman" w:eastAsia="黑体" w:cs="Times New Roman"/>
          <w:b/>
        </w:rPr>
        <w:t>（</w:t>
      </w:r>
      <w:r>
        <w:rPr>
          <w:rFonts w:ascii="Times New Roman" w:eastAsia="黑体" w:cs="Times New Roman" w:hint="eastAsia"/>
          <w:b/>
        </w:rPr>
        <w:t>九</w:t>
      </w:r>
      <w:r>
        <w:rPr>
          <w:rFonts w:ascii="Times New Roman" w:eastAsia="黑体" w:cs="Times New Roman"/>
          <w:b/>
        </w:rPr>
        <w:t>）</w:t>
      </w:r>
      <w:r>
        <w:rPr>
          <w:rFonts w:ascii="Times New Roman" w:eastAsia="黑体" w:cs="Times New Roman" w:hint="eastAsia"/>
          <w:b/>
        </w:rPr>
        <w:t>提前终止风险：如遇前述提前</w:t>
      </w:r>
      <w:r>
        <w:rPr>
          <w:rFonts w:ascii="Times New Roman" w:eastAsia="黑体" w:cs="Times New Roman"/>
          <w:b/>
        </w:rPr>
        <w:t>终止权</w:t>
      </w:r>
      <w:r>
        <w:rPr>
          <w:rFonts w:ascii="Times New Roman" w:eastAsia="黑体" w:cs="Times New Roman" w:hint="eastAsia"/>
          <w:b/>
        </w:rPr>
        <w:t>条款中涉及</w:t>
      </w:r>
      <w:r>
        <w:rPr>
          <w:rFonts w:ascii="Times New Roman" w:eastAsia="黑体" w:cs="Times New Roman"/>
          <w:b/>
        </w:rPr>
        <w:t>的</w:t>
      </w:r>
      <w:r>
        <w:rPr>
          <w:rFonts w:ascii="Times New Roman" w:eastAsia="黑体" w:cs="Times New Roman" w:hint="eastAsia"/>
          <w:b/>
        </w:rPr>
        <w:t>情形，华夏理财有权提前终止本理财产品，投资者可能无法实现期初预计的收益、收益为零甚至损失理财本金。</w:t>
      </w:r>
    </w:p>
    <w:p w:rsidR="0066093E" w:rsidRDefault="0066093E">
      <w:pPr>
        <w:pStyle w:val="Default"/>
        <w:snapToGrid w:val="0"/>
        <w:spacing w:line="276" w:lineRule="auto"/>
        <w:ind w:firstLineChars="200" w:firstLine="482"/>
        <w:contextualSpacing/>
        <w:jc w:val="both"/>
        <w:rPr>
          <w:rFonts w:ascii="Times New Roman" w:eastAsia="黑体" w:cs="Times New Roman"/>
          <w:b/>
        </w:rPr>
      </w:pPr>
      <w:r>
        <w:rPr>
          <w:rFonts w:eastAsia="黑体" w:hint="eastAsia"/>
          <w:b/>
        </w:rPr>
        <w:t>（十）延期风险：对于有确定到期日的产品，</w:t>
      </w:r>
      <w:r>
        <w:rPr>
          <w:rFonts w:eastAsia="黑体"/>
          <w:b/>
        </w:rPr>
        <w:t>如因与理财产品投资资产相关的</w:t>
      </w:r>
      <w:r>
        <w:rPr>
          <w:rFonts w:eastAsia="黑体" w:hint="eastAsia"/>
          <w:b/>
        </w:rPr>
        <w:t>资产管理计划管理人、</w:t>
      </w:r>
      <w:r>
        <w:rPr>
          <w:rFonts w:eastAsia="黑体"/>
          <w:b/>
        </w:rPr>
        <w:t>信托受托人、债务人、担保人（如有）等主体发生违约，导致本理财产品不能按时偿</w:t>
      </w:r>
      <w:r>
        <w:rPr>
          <w:rFonts w:eastAsia="黑体" w:hint="eastAsia"/>
          <w:b/>
        </w:rPr>
        <w:t>付</w:t>
      </w:r>
      <w:r>
        <w:rPr>
          <w:rFonts w:eastAsia="黑体"/>
          <w:b/>
        </w:rPr>
        <w:t>本金及理财收益</w:t>
      </w:r>
      <w:r>
        <w:rPr>
          <w:rFonts w:eastAsia="黑体" w:hint="eastAsia"/>
          <w:b/>
        </w:rPr>
        <w:t>；或因市场成交量不足、资产限制赎回、暂停交易、缺乏意愿交易对手等原因，管理人未能及时完成资产变现，则本</w:t>
      </w:r>
      <w:r>
        <w:rPr>
          <w:rFonts w:eastAsia="黑体"/>
          <w:b/>
        </w:rPr>
        <w:t>理财</w:t>
      </w:r>
      <w:r>
        <w:rPr>
          <w:rFonts w:eastAsia="黑体" w:hint="eastAsia"/>
          <w:b/>
        </w:rPr>
        <w:t>产品</w:t>
      </w:r>
      <w:r>
        <w:rPr>
          <w:rFonts w:eastAsia="黑体"/>
          <w:b/>
        </w:rPr>
        <w:t>期限将相应延长。</w:t>
      </w:r>
    </w:p>
    <w:p w:rsidR="0066093E" w:rsidRDefault="0066093E">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一）信息传递风险：华夏理财按照本产品说明书有关信息披露的约定，发布理财产品的信息。投资者应根据信息披露的约定及时查询。如果投资者未及时查询而未能及时了解理财产品信息，并由此影响投资者的投资决策，因此产生的责任和风险由投资者自行承担。另外，投资者预留在</w:t>
      </w:r>
      <w:bookmarkStart w:id="3"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3"/>
      <w:r>
        <w:rPr>
          <w:rFonts w:ascii="Times New Roman" w:eastAsia="黑体" w:cs="Times New Roman" w:hint="eastAsia"/>
          <w:b/>
        </w:rPr>
        <w:t>的有效联系方式变更的，应及时通知</w:t>
      </w:r>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r>
        <w:rPr>
          <w:rFonts w:ascii="Times New Roman" w:eastAsia="黑体" w:cs="Times New Roman" w:hint="eastAsia"/>
          <w:b/>
        </w:rPr>
        <w:t>。因投资者未及时告知导致的信息传递风险由投资者自行承担。</w:t>
      </w:r>
    </w:p>
    <w:p w:rsidR="0066093E" w:rsidRDefault="0066093E">
      <w:pPr>
        <w:pStyle w:val="Default"/>
        <w:snapToGrid w:val="0"/>
        <w:spacing w:line="276" w:lineRule="auto"/>
        <w:ind w:firstLineChars="200" w:firstLine="482"/>
        <w:contextualSpacing/>
        <w:jc w:val="both"/>
        <w:rPr>
          <w:rFonts w:ascii="Times New Roman" w:eastAsia="黑体" w:cs="Times New Roman" w:hint="eastAsia"/>
          <w:b/>
        </w:rPr>
      </w:pPr>
      <w:r>
        <w:rPr>
          <w:rFonts w:ascii="Times New Roman" w:eastAsia="黑体" w:cs="Times New Roman" w:hint="eastAsia"/>
          <w:b/>
        </w:rPr>
        <w:lastRenderedPageBreak/>
        <w:t>（十二）其他风险：指由于自然灾害</w:t>
      </w:r>
      <w:r>
        <w:rPr>
          <w:rFonts w:ascii="Times New Roman" w:eastAsia="黑体" w:cs="Times New Roman"/>
          <w:b/>
        </w:rPr>
        <w:t>、战争或国家政策变化等不能预见、不能避免</w:t>
      </w:r>
      <w:r>
        <w:rPr>
          <w:rFonts w:ascii="Times New Roman" w:eastAsia="黑体" w:cs="Times New Roman" w:hint="eastAsia"/>
          <w:b/>
        </w:rPr>
        <w:t>、</w:t>
      </w:r>
      <w:r>
        <w:rPr>
          <w:rFonts w:ascii="Times New Roman" w:eastAsia="黑体" w:cs="Times New Roman"/>
          <w:b/>
        </w:rPr>
        <w:t>不能克服的</w:t>
      </w:r>
      <w:r>
        <w:rPr>
          <w:rFonts w:ascii="Times New Roman" w:eastAsia="黑体" w:cs="Times New Roman" w:hint="eastAsia"/>
          <w:b/>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rPr>
        <w:t>导致理财资产收益降低或损失，甚至影响理财产品的受理、投资、偿还等的正常进行，进而影响理财产品的资金收益和本金安全。</w:t>
      </w:r>
    </w:p>
    <w:p w:rsidR="0066093E" w:rsidRDefault="0066093E">
      <w:pPr>
        <w:pStyle w:val="Default"/>
        <w:snapToGrid w:val="0"/>
        <w:spacing w:line="276" w:lineRule="auto"/>
        <w:ind w:firstLine="482"/>
        <w:contextualSpacing/>
        <w:rPr>
          <w:rFonts w:ascii="Times New Roman" w:eastAsia="黑体" w:cs="Times New Roman" w:hint="eastAsia"/>
          <w:b/>
        </w:rPr>
      </w:pPr>
      <w:r>
        <w:rPr>
          <w:rFonts w:ascii="Times New Roman" w:eastAsia="黑体" w:cs="Times New Roman" w:hint="eastAsia"/>
          <w:b/>
        </w:rPr>
        <w:t>（十三）关联关系风险：本产品的代销机构与托管人可能为产品管理人的关联方，华夏理财已履行了现行法律法规和监管规定的必要程序。本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华夏理财的控股股东，二者存在关联关系。如因存在关联关系，导致销售机构对本理财产品未能进行独立、审慎判断或放松准入管理，可能会给投资者造成潜在风险。</w:t>
      </w:r>
    </w:p>
    <w:p w:rsidR="0066093E" w:rsidRDefault="0066093E">
      <w:pPr>
        <w:pStyle w:val="Default"/>
        <w:snapToGrid w:val="0"/>
        <w:spacing w:afterLines="50" w:after="156" w:line="400" w:lineRule="exact"/>
        <w:ind w:firstLineChars="200" w:firstLine="482"/>
        <w:jc w:val="both"/>
        <w:rPr>
          <w:rFonts w:ascii="Times New Roman" w:eastAsia="黑体" w:cs="Times New Roman" w:hint="eastAsia"/>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66093E" w:rsidRDefault="0066093E">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w:t>
      </w:r>
      <w:r>
        <w:rPr>
          <w:rFonts w:ascii="仿宋" w:eastAsia="仿宋" w:hAnsi="仿宋" w:cs="宋体" w:hint="eastAsia"/>
          <w:color w:val="000000"/>
          <w:kern w:val="0"/>
          <w:sz w:val="24"/>
        </w:rPr>
        <w:t>一</w:t>
      </w:r>
      <w:r>
        <w:rPr>
          <w:rFonts w:ascii="仿宋" w:eastAsia="仿宋" w:hAnsi="仿宋" w:cs="宋体"/>
          <w:color w:val="000000"/>
          <w:kern w:val="0"/>
          <w:sz w:val="24"/>
        </w:rPr>
        <w:t>）理财产品运作信息披露</w:t>
      </w:r>
    </w:p>
    <w:p w:rsidR="0066093E" w:rsidRDefault="0066093E">
      <w:pPr>
        <w:autoSpaceDE w:val="0"/>
        <w:autoSpaceDN w:val="0"/>
        <w:adjustRightInd w:val="0"/>
        <w:snapToGrid w:val="0"/>
        <w:spacing w:line="276" w:lineRule="auto"/>
        <w:ind w:firstLineChars="200" w:firstLine="482"/>
        <w:contextualSpacing/>
        <w:rPr>
          <w:rFonts w:ascii="仿宋" w:eastAsia="仿宋" w:hAnsi="仿宋" w:cs="宋体"/>
          <w:b/>
          <w:color w:val="000000"/>
          <w:kern w:val="0"/>
          <w:sz w:val="24"/>
        </w:rPr>
      </w:pPr>
      <w:r>
        <w:rPr>
          <w:rFonts w:ascii="仿宋" w:eastAsia="仿宋" w:hAnsi="仿宋" w:cs="宋体" w:hint="eastAsia"/>
          <w:b/>
          <w:color w:val="000000"/>
          <w:kern w:val="0"/>
          <w:sz w:val="24"/>
        </w:rPr>
        <w:t>1.</w:t>
      </w:r>
      <w:r>
        <w:rPr>
          <w:rFonts w:ascii="仿宋" w:eastAsia="仿宋" w:hAnsi="仿宋" w:cs="宋体"/>
          <w:b/>
          <w:color w:val="000000"/>
          <w:kern w:val="0"/>
          <w:sz w:val="24"/>
        </w:rPr>
        <w:t>华夏</w:t>
      </w:r>
      <w:r>
        <w:rPr>
          <w:rFonts w:ascii="仿宋" w:eastAsia="仿宋" w:hAnsi="仿宋" w:cs="宋体" w:hint="eastAsia"/>
          <w:b/>
          <w:color w:val="000000"/>
          <w:kern w:val="0"/>
          <w:sz w:val="24"/>
        </w:rPr>
        <w:t>理财</w:t>
      </w:r>
      <w:r>
        <w:rPr>
          <w:rFonts w:ascii="仿宋" w:eastAsia="仿宋" w:hAnsi="仿宋" w:cs="宋体"/>
          <w:b/>
          <w:color w:val="000000"/>
          <w:kern w:val="0"/>
          <w:sz w:val="24"/>
        </w:rPr>
        <w:t>将按照法律法规及监管</w:t>
      </w:r>
      <w:r>
        <w:rPr>
          <w:rFonts w:ascii="仿宋" w:eastAsia="仿宋" w:hAnsi="仿宋" w:cs="宋体" w:hint="eastAsia"/>
          <w:b/>
          <w:color w:val="000000"/>
          <w:kern w:val="0"/>
          <w:sz w:val="24"/>
        </w:rPr>
        <w:t>规定</w:t>
      </w:r>
      <w:r>
        <w:rPr>
          <w:rFonts w:ascii="仿宋" w:eastAsia="仿宋" w:hAnsi="仿宋" w:cs="宋体"/>
          <w:b/>
          <w:color w:val="000000"/>
          <w:kern w:val="0"/>
          <w:sz w:val="24"/>
        </w:rPr>
        <w:t>的要求</w:t>
      </w:r>
      <w:r>
        <w:rPr>
          <w:rFonts w:ascii="仿宋" w:eastAsia="仿宋" w:hAnsi="仿宋" w:cs="宋体" w:hint="eastAsia"/>
          <w:b/>
          <w:color w:val="000000"/>
          <w:kern w:val="0"/>
          <w:sz w:val="24"/>
        </w:rPr>
        <w:t>披露本理财产品信息，披露事项包括理财产品成立、不成立、净值、收益分配、到期、提前终止、调整等内容。信息披露将通过</w:t>
      </w:r>
      <w:r>
        <w:rPr>
          <w:rFonts w:ascii="仿宋" w:eastAsia="仿宋" w:hAnsi="仿宋" w:cs="宋体"/>
          <w:b/>
          <w:color w:val="000000"/>
          <w:kern w:val="0"/>
          <w:sz w:val="24"/>
        </w:rPr>
        <w:t>华夏银行</w:t>
      </w:r>
      <w:r>
        <w:rPr>
          <w:rFonts w:ascii="仿宋" w:eastAsia="仿宋" w:hAnsi="仿宋" w:cs="宋体" w:hint="eastAsia"/>
          <w:b/>
          <w:color w:val="000000"/>
          <w:kern w:val="0"/>
          <w:sz w:val="24"/>
        </w:rPr>
        <w:t>官方</w:t>
      </w:r>
      <w:r>
        <w:rPr>
          <w:rFonts w:ascii="仿宋" w:eastAsia="仿宋" w:hAnsi="仿宋" w:cs="宋体"/>
          <w:b/>
          <w:color w:val="000000"/>
          <w:kern w:val="0"/>
          <w:sz w:val="24"/>
        </w:rPr>
        <w:t>网站</w:t>
      </w:r>
      <w:r>
        <w:rPr>
          <w:rFonts w:ascii="仿宋" w:eastAsia="仿宋" w:hAnsi="仿宋" w:cs="宋体" w:hint="eastAsia"/>
          <w:b/>
          <w:color w:val="000000"/>
          <w:kern w:val="0"/>
          <w:sz w:val="24"/>
        </w:rPr>
        <w:t>等渠道发布公告</w:t>
      </w:r>
      <w:r>
        <w:rPr>
          <w:rFonts w:ascii="仿宋" w:eastAsia="仿宋" w:hAnsi="仿宋" w:cs="宋体"/>
          <w:b/>
          <w:color w:val="000000"/>
          <w:kern w:val="0"/>
          <w:sz w:val="24"/>
        </w:rPr>
        <w:t>。投资者应定期通过上述相关渠道获知有关信息或</w:t>
      </w:r>
      <w:r>
        <w:rPr>
          <w:rFonts w:ascii="仿宋" w:eastAsia="仿宋" w:hAnsi="仿宋" w:cs="宋体" w:hint="eastAsia"/>
          <w:b/>
          <w:color w:val="000000"/>
          <w:kern w:val="0"/>
          <w:sz w:val="24"/>
        </w:rPr>
        <w:t>主动</w:t>
      </w:r>
      <w:r>
        <w:rPr>
          <w:rFonts w:ascii="仿宋" w:eastAsia="仿宋" w:hAnsi="仿宋" w:cs="宋体"/>
          <w:b/>
          <w:color w:val="000000"/>
          <w:kern w:val="0"/>
          <w:sz w:val="24"/>
        </w:rPr>
        <w:t>致电华夏银行全国统一投资者服务热线（</w:t>
      </w:r>
      <w:r>
        <w:rPr>
          <w:rFonts w:ascii="仿宋" w:eastAsia="仿宋" w:hAnsi="仿宋" w:cs="宋体" w:hint="eastAsia"/>
          <w:b/>
          <w:color w:val="000000"/>
          <w:kern w:val="0"/>
          <w:sz w:val="24"/>
        </w:rPr>
        <w:t>95</w:t>
      </w:r>
      <w:r>
        <w:rPr>
          <w:rFonts w:ascii="仿宋" w:eastAsia="仿宋" w:hAnsi="仿宋" w:cs="宋体"/>
          <w:b/>
          <w:color w:val="000000"/>
          <w:kern w:val="0"/>
          <w:sz w:val="24"/>
        </w:rPr>
        <w:t>577）查询。如投资者未及时查询产品信息，因此产生的责任和风险由投资者承担。</w:t>
      </w:r>
    </w:p>
    <w:p w:rsidR="0066093E" w:rsidRDefault="0066093E">
      <w:pPr>
        <w:autoSpaceDE w:val="0"/>
        <w:autoSpaceDN w:val="0"/>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2.本理财产品已经在“全国银行业理财信息登记系统”登记，投资者可依据登记编码在“中国理财网”查询本理财产品信息。</w:t>
      </w:r>
    </w:p>
    <w:p w:rsidR="0066093E" w:rsidRDefault="0066093E">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color w:val="000000"/>
          <w:kern w:val="0"/>
          <w:sz w:val="24"/>
        </w:rPr>
        <w:t>在产品不成立时，华夏</w:t>
      </w:r>
      <w:r>
        <w:rPr>
          <w:rFonts w:ascii="仿宋" w:eastAsia="仿宋" w:hAnsi="仿宋" w:cs="宋体" w:hint="eastAsia"/>
          <w:color w:val="000000"/>
          <w:kern w:val="0"/>
          <w:sz w:val="24"/>
        </w:rPr>
        <w:t>理财</w:t>
      </w:r>
      <w:r>
        <w:rPr>
          <w:rFonts w:ascii="仿宋" w:eastAsia="仿宋" w:hAnsi="仿宋" w:cs="宋体"/>
          <w:color w:val="000000"/>
          <w:kern w:val="0"/>
          <w:sz w:val="24"/>
        </w:rPr>
        <w:t>将在原定成立日后2个工作日内发布产品不成立</w:t>
      </w:r>
      <w:r>
        <w:rPr>
          <w:rFonts w:ascii="仿宋" w:eastAsia="仿宋" w:hAnsi="仿宋" w:cs="宋体" w:hint="eastAsia"/>
          <w:color w:val="000000"/>
          <w:kern w:val="0"/>
          <w:sz w:val="24"/>
        </w:rPr>
        <w:t>公告</w:t>
      </w:r>
      <w:r>
        <w:rPr>
          <w:rFonts w:ascii="仿宋" w:eastAsia="仿宋" w:hAnsi="仿宋" w:cs="宋体"/>
          <w:color w:val="000000"/>
          <w:kern w:val="0"/>
          <w:sz w:val="24"/>
        </w:rPr>
        <w:t xml:space="preserve">。 </w:t>
      </w:r>
    </w:p>
    <w:p w:rsidR="0066093E" w:rsidRDefault="0066093E">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w:t>
      </w:r>
      <w:r>
        <w:rPr>
          <w:rFonts w:ascii="仿宋" w:eastAsia="仿宋" w:hAnsi="仿宋" w:cs="宋体"/>
          <w:color w:val="000000"/>
          <w:kern w:val="0"/>
          <w:sz w:val="24"/>
        </w:rPr>
        <w:t>本理财产品成立后</w:t>
      </w:r>
      <w:r>
        <w:rPr>
          <w:rFonts w:ascii="仿宋" w:eastAsia="仿宋" w:hAnsi="仿宋" w:cs="宋体" w:hint="eastAsia"/>
          <w:color w:val="000000"/>
          <w:kern w:val="0"/>
          <w:sz w:val="24"/>
        </w:rPr>
        <w:t>5</w:t>
      </w:r>
      <w:r>
        <w:rPr>
          <w:rFonts w:ascii="仿宋" w:eastAsia="仿宋" w:hAnsi="仿宋" w:cs="宋体"/>
          <w:color w:val="000000"/>
          <w:kern w:val="0"/>
          <w:sz w:val="24"/>
        </w:rPr>
        <w:t>个工作日内，华夏</w:t>
      </w:r>
      <w:r>
        <w:rPr>
          <w:rFonts w:ascii="仿宋" w:eastAsia="仿宋" w:hAnsi="仿宋" w:cs="宋体" w:hint="eastAsia"/>
          <w:color w:val="000000"/>
          <w:kern w:val="0"/>
          <w:sz w:val="24"/>
        </w:rPr>
        <w:t>理财</w:t>
      </w:r>
      <w:r>
        <w:rPr>
          <w:rFonts w:ascii="仿宋" w:eastAsia="仿宋" w:hAnsi="仿宋" w:cs="宋体"/>
          <w:color w:val="000000"/>
          <w:kern w:val="0"/>
          <w:sz w:val="24"/>
        </w:rPr>
        <w:t>将发布产品</w:t>
      </w:r>
      <w:r>
        <w:rPr>
          <w:rFonts w:ascii="仿宋" w:eastAsia="仿宋" w:hAnsi="仿宋" w:cs="宋体" w:hint="eastAsia"/>
          <w:color w:val="000000"/>
          <w:kern w:val="0"/>
          <w:sz w:val="24"/>
        </w:rPr>
        <w:t>成立公</w:t>
      </w:r>
      <w:r>
        <w:rPr>
          <w:rFonts w:ascii="仿宋" w:eastAsia="仿宋" w:hAnsi="仿宋" w:cs="宋体"/>
          <w:color w:val="000000"/>
          <w:kern w:val="0"/>
          <w:sz w:val="24"/>
        </w:rPr>
        <w:t>告。</w:t>
      </w:r>
    </w:p>
    <w:p w:rsidR="0066093E" w:rsidRDefault="0066093E">
      <w:pPr>
        <w:autoSpaceDE w:val="0"/>
        <w:autoSpaceDN w:val="0"/>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color w:val="000000"/>
          <w:kern w:val="0"/>
          <w:sz w:val="24"/>
        </w:rPr>
        <w:t>5</w:t>
      </w:r>
      <w:r>
        <w:rPr>
          <w:rFonts w:ascii="仿宋" w:eastAsia="仿宋" w:hAnsi="仿宋" w:cs="宋体" w:hint="eastAsia"/>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color w:val="000000"/>
          <w:kern w:val="0"/>
          <w:sz w:val="24"/>
        </w:rPr>
        <w:t>。</w:t>
      </w:r>
    </w:p>
    <w:p w:rsidR="0066093E" w:rsidRDefault="0066093E">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6</w:t>
      </w:r>
      <w:r>
        <w:rPr>
          <w:rFonts w:ascii="仿宋" w:eastAsia="仿宋" w:hAnsi="仿宋" w:cs="宋体" w:hint="eastAsia"/>
          <w:color w:val="000000"/>
          <w:kern w:val="0"/>
          <w:sz w:val="24"/>
        </w:rPr>
        <w:t>.</w:t>
      </w:r>
      <w:r>
        <w:rPr>
          <w:rFonts w:ascii="仿宋" w:eastAsia="仿宋" w:hAnsi="仿宋" w:cs="宋体"/>
          <w:color w:val="000000"/>
          <w:kern w:val="0"/>
          <w:sz w:val="24"/>
        </w:rPr>
        <w:t>如</w:t>
      </w:r>
      <w:r>
        <w:rPr>
          <w:rFonts w:ascii="仿宋" w:eastAsia="仿宋" w:hAnsi="仿宋" w:cs="宋体" w:hint="eastAsia"/>
          <w:color w:val="000000"/>
          <w:kern w:val="0"/>
          <w:sz w:val="24"/>
        </w:rPr>
        <w:t>华夏理财</w:t>
      </w:r>
      <w:r>
        <w:rPr>
          <w:rFonts w:ascii="仿宋" w:eastAsia="仿宋" w:hAnsi="仿宋" w:cs="宋体"/>
          <w:color w:val="000000"/>
          <w:kern w:val="0"/>
          <w:sz w:val="24"/>
        </w:rPr>
        <w:t>决定</w:t>
      </w:r>
      <w:r>
        <w:rPr>
          <w:rFonts w:ascii="仿宋" w:eastAsia="仿宋" w:hAnsi="仿宋" w:cs="宋体" w:hint="eastAsia"/>
          <w:color w:val="000000"/>
          <w:kern w:val="0"/>
          <w:sz w:val="24"/>
        </w:rPr>
        <w:t>提前</w:t>
      </w:r>
      <w:r>
        <w:rPr>
          <w:rFonts w:ascii="仿宋" w:eastAsia="仿宋" w:hAnsi="仿宋" w:cs="宋体"/>
          <w:color w:val="000000"/>
          <w:kern w:val="0"/>
          <w:sz w:val="24"/>
        </w:rPr>
        <w:t>终止本理财产品，将于</w:t>
      </w:r>
      <w:r>
        <w:rPr>
          <w:rFonts w:ascii="仿宋" w:eastAsia="仿宋" w:hAnsi="仿宋" w:cs="宋体" w:hint="eastAsia"/>
          <w:color w:val="000000"/>
          <w:kern w:val="0"/>
          <w:sz w:val="24"/>
        </w:rPr>
        <w:t>提前</w:t>
      </w:r>
      <w:r>
        <w:rPr>
          <w:rFonts w:ascii="仿宋" w:eastAsia="仿宋" w:hAnsi="仿宋" w:cs="宋体"/>
          <w:color w:val="000000"/>
          <w:kern w:val="0"/>
          <w:sz w:val="24"/>
        </w:rPr>
        <w:t>终止日的前3个工作日发布相关信息公告。</w:t>
      </w:r>
    </w:p>
    <w:p w:rsidR="0066093E" w:rsidRDefault="0066093E">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7</w:t>
      </w:r>
      <w:r>
        <w:rPr>
          <w:rFonts w:ascii="仿宋" w:eastAsia="仿宋" w:hAnsi="仿宋" w:cs="宋体" w:hint="eastAsia"/>
          <w:color w:val="000000"/>
          <w:kern w:val="0"/>
          <w:sz w:val="24"/>
        </w:rPr>
        <w:t>.</w:t>
      </w:r>
      <w:r>
        <w:rPr>
          <w:rFonts w:ascii="仿宋" w:eastAsia="仿宋" w:hAnsi="仿宋" w:cs="宋体"/>
          <w:color w:val="000000"/>
          <w:kern w:val="0"/>
          <w:sz w:val="24"/>
        </w:rPr>
        <w:t>产品</w:t>
      </w:r>
      <w:r>
        <w:rPr>
          <w:rFonts w:ascii="仿宋" w:eastAsia="仿宋" w:hAnsi="仿宋" w:cs="宋体" w:hint="eastAsia"/>
          <w:color w:val="000000"/>
          <w:kern w:val="0"/>
          <w:sz w:val="24"/>
        </w:rPr>
        <w:t>到期/</w:t>
      </w:r>
      <w:r>
        <w:rPr>
          <w:rFonts w:ascii="仿宋" w:eastAsia="仿宋" w:hAnsi="仿宋" w:cs="宋体"/>
          <w:color w:val="000000"/>
          <w:kern w:val="0"/>
          <w:sz w:val="24"/>
        </w:rPr>
        <w:t>终止后</w:t>
      </w:r>
      <w:r>
        <w:rPr>
          <w:rFonts w:ascii="仿宋" w:eastAsia="仿宋" w:hAnsi="仿宋" w:cs="宋体" w:hint="eastAsia"/>
          <w:color w:val="000000"/>
          <w:kern w:val="0"/>
          <w:sz w:val="24"/>
        </w:rPr>
        <w:t>5</w:t>
      </w:r>
      <w:r>
        <w:rPr>
          <w:rFonts w:ascii="仿宋" w:eastAsia="仿宋" w:hAnsi="仿宋" w:cs="宋体"/>
          <w:color w:val="000000"/>
          <w:kern w:val="0"/>
          <w:sz w:val="24"/>
        </w:rPr>
        <w:t>个工作日内，华夏</w:t>
      </w:r>
      <w:r>
        <w:rPr>
          <w:rFonts w:ascii="仿宋" w:eastAsia="仿宋" w:hAnsi="仿宋" w:cs="宋体" w:hint="eastAsia"/>
          <w:color w:val="000000"/>
          <w:kern w:val="0"/>
          <w:sz w:val="24"/>
        </w:rPr>
        <w:t>理财</w:t>
      </w:r>
      <w:r>
        <w:rPr>
          <w:rFonts w:ascii="仿宋" w:eastAsia="仿宋" w:hAnsi="仿宋" w:cs="宋体"/>
          <w:color w:val="000000"/>
          <w:kern w:val="0"/>
          <w:sz w:val="24"/>
        </w:rPr>
        <w:t>将发布产品到期</w:t>
      </w:r>
      <w:r>
        <w:rPr>
          <w:rFonts w:ascii="仿宋" w:eastAsia="仿宋" w:hAnsi="仿宋" w:cs="宋体" w:hint="eastAsia"/>
          <w:color w:val="000000"/>
          <w:kern w:val="0"/>
          <w:sz w:val="24"/>
        </w:rPr>
        <w:t>/终止</w:t>
      </w:r>
      <w:r>
        <w:rPr>
          <w:rFonts w:ascii="仿宋" w:eastAsia="仿宋" w:hAnsi="仿宋" w:cs="宋体"/>
          <w:color w:val="000000"/>
          <w:kern w:val="0"/>
          <w:sz w:val="24"/>
        </w:rPr>
        <w:t>报告。</w:t>
      </w:r>
    </w:p>
    <w:p w:rsidR="0066093E" w:rsidRDefault="0066093E">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（二）理财产品临时信息披露</w:t>
      </w:r>
    </w:p>
    <w:p w:rsidR="0066093E" w:rsidRDefault="0066093E">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1</w:t>
      </w:r>
      <w:r>
        <w:rPr>
          <w:rFonts w:ascii="仿宋" w:eastAsia="仿宋" w:hAnsi="仿宋" w:cs="宋体" w:hint="eastAsia"/>
          <w:color w:val="000000"/>
          <w:kern w:val="0"/>
          <w:sz w:val="24"/>
        </w:rPr>
        <w:t>.</w:t>
      </w:r>
      <w:r>
        <w:rPr>
          <w:rFonts w:ascii="仿宋" w:eastAsia="仿宋" w:hAnsi="仿宋" w:cs="宋体"/>
          <w:color w:val="000000"/>
          <w:kern w:val="0"/>
          <w:sz w:val="24"/>
        </w:rPr>
        <w:t>临时报告与公告</w:t>
      </w:r>
    </w:p>
    <w:p w:rsidR="0066093E" w:rsidRDefault="0066093E">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本理财产品在运作管理过程中，发生以下可能对理财产品</w:t>
      </w:r>
      <w:r>
        <w:rPr>
          <w:rFonts w:ascii="仿宋" w:eastAsia="仿宋" w:hAnsi="仿宋" w:cs="宋体" w:hint="eastAsia"/>
          <w:color w:val="000000"/>
          <w:kern w:val="0"/>
          <w:sz w:val="24"/>
        </w:rPr>
        <w:t>投资者</w:t>
      </w:r>
      <w:r>
        <w:rPr>
          <w:rFonts w:ascii="仿宋" w:eastAsia="仿宋" w:hAnsi="仿宋" w:cs="宋体"/>
          <w:color w:val="000000"/>
          <w:kern w:val="0"/>
          <w:sz w:val="24"/>
        </w:rPr>
        <w:t>权益及</w:t>
      </w:r>
      <w:r>
        <w:rPr>
          <w:rFonts w:ascii="仿宋" w:eastAsia="仿宋" w:hAnsi="仿宋" w:cs="宋体" w:hint="eastAsia"/>
          <w:color w:val="000000"/>
          <w:kern w:val="0"/>
          <w:sz w:val="24"/>
        </w:rPr>
        <w:t>产品份额净值</w:t>
      </w:r>
      <w:r>
        <w:rPr>
          <w:rFonts w:ascii="仿宋" w:eastAsia="仿宋" w:hAnsi="仿宋" w:cs="宋体"/>
          <w:color w:val="000000"/>
          <w:kern w:val="0"/>
          <w:sz w:val="24"/>
        </w:rPr>
        <w:t>产生重大影响的事项时，华夏</w:t>
      </w:r>
      <w:r>
        <w:rPr>
          <w:rFonts w:ascii="仿宋" w:eastAsia="仿宋" w:hAnsi="仿宋" w:cs="宋体" w:hint="eastAsia"/>
          <w:color w:val="000000"/>
          <w:kern w:val="0"/>
          <w:sz w:val="24"/>
        </w:rPr>
        <w:t>理财作为产品</w:t>
      </w:r>
      <w:r>
        <w:rPr>
          <w:rFonts w:ascii="仿宋" w:eastAsia="仿宋" w:hAnsi="仿宋" w:cs="宋体"/>
          <w:color w:val="000000"/>
          <w:kern w:val="0"/>
          <w:sz w:val="24"/>
        </w:rPr>
        <w:t>管理人将</w:t>
      </w:r>
      <w:r>
        <w:rPr>
          <w:rFonts w:ascii="仿宋" w:eastAsia="仿宋" w:hAnsi="仿宋" w:cs="宋体" w:hint="eastAsia"/>
          <w:color w:val="000000"/>
          <w:kern w:val="0"/>
          <w:sz w:val="24"/>
        </w:rPr>
        <w:t>在事项发生后</w:t>
      </w:r>
      <w:r>
        <w:rPr>
          <w:rFonts w:ascii="仿宋" w:eastAsia="仿宋" w:hAnsi="仿宋" w:cs="宋体"/>
          <w:color w:val="000000"/>
          <w:kern w:val="0"/>
          <w:sz w:val="24"/>
        </w:rPr>
        <w:t>2</w:t>
      </w:r>
      <w:r>
        <w:rPr>
          <w:rFonts w:ascii="仿宋" w:eastAsia="仿宋" w:hAnsi="仿宋" w:cs="宋体" w:hint="eastAsia"/>
          <w:color w:val="000000"/>
          <w:kern w:val="0"/>
          <w:sz w:val="24"/>
        </w:rPr>
        <w:t>个</w:t>
      </w:r>
      <w:r>
        <w:rPr>
          <w:rFonts w:ascii="仿宋" w:eastAsia="仿宋" w:hAnsi="仿宋" w:cs="宋体"/>
          <w:color w:val="000000"/>
          <w:kern w:val="0"/>
          <w:sz w:val="24"/>
        </w:rPr>
        <w:t>工作</w:t>
      </w:r>
      <w:r>
        <w:rPr>
          <w:rFonts w:ascii="仿宋" w:eastAsia="仿宋" w:hAnsi="仿宋" w:cs="宋体" w:hint="eastAsia"/>
          <w:color w:val="000000"/>
          <w:kern w:val="0"/>
          <w:sz w:val="24"/>
        </w:rPr>
        <w:t>日内</w:t>
      </w:r>
      <w:r>
        <w:rPr>
          <w:rFonts w:ascii="仿宋" w:eastAsia="仿宋" w:hAnsi="仿宋" w:cs="宋体"/>
          <w:color w:val="000000"/>
          <w:kern w:val="0"/>
          <w:sz w:val="24"/>
        </w:rPr>
        <w:t>及时</w:t>
      </w:r>
      <w:r>
        <w:rPr>
          <w:rFonts w:ascii="仿宋" w:eastAsia="仿宋" w:hAnsi="仿宋" w:cs="宋体" w:hint="eastAsia"/>
          <w:color w:val="000000"/>
          <w:kern w:val="0"/>
          <w:sz w:val="24"/>
        </w:rPr>
        <w:t>发布公告。</w:t>
      </w:r>
    </w:p>
    <w:p w:rsidR="0066093E" w:rsidRDefault="0066093E">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lastRenderedPageBreak/>
        <w:t>（1）与本理财产品有关的重大诉讼；</w:t>
      </w:r>
    </w:p>
    <w:p w:rsidR="0066093E" w:rsidRDefault="0066093E">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（2）</w:t>
      </w:r>
      <w:r>
        <w:rPr>
          <w:rFonts w:ascii="仿宋" w:eastAsia="仿宋" w:hAnsi="仿宋" w:cs="宋体" w:hint="eastAsia"/>
          <w:color w:val="000000"/>
          <w:kern w:val="0"/>
          <w:sz w:val="24"/>
        </w:rPr>
        <w:t>产品</w:t>
      </w:r>
      <w:r>
        <w:rPr>
          <w:rFonts w:ascii="仿宋" w:eastAsia="仿宋" w:hAnsi="仿宋" w:cs="宋体"/>
          <w:color w:val="000000"/>
          <w:kern w:val="0"/>
          <w:sz w:val="24"/>
        </w:rPr>
        <w:t>管理人、</w:t>
      </w:r>
      <w:r>
        <w:rPr>
          <w:rFonts w:ascii="仿宋" w:eastAsia="仿宋" w:hAnsi="仿宋" w:cs="宋体" w:hint="eastAsia"/>
          <w:color w:val="000000"/>
          <w:kern w:val="0"/>
          <w:sz w:val="24"/>
        </w:rPr>
        <w:t>托管</w:t>
      </w:r>
      <w:r>
        <w:rPr>
          <w:rFonts w:ascii="仿宋" w:eastAsia="仿宋" w:hAnsi="仿宋" w:cs="宋体"/>
          <w:color w:val="000000"/>
          <w:kern w:val="0"/>
          <w:sz w:val="24"/>
        </w:rPr>
        <w:t>人、投资顾问</w:t>
      </w:r>
      <w:r>
        <w:rPr>
          <w:rFonts w:ascii="仿宋" w:eastAsia="仿宋" w:hAnsi="仿宋" w:cs="宋体" w:hint="eastAsia"/>
          <w:color w:val="000000"/>
          <w:kern w:val="0"/>
          <w:sz w:val="24"/>
        </w:rPr>
        <w:t>（如有）</w:t>
      </w:r>
      <w:r>
        <w:rPr>
          <w:rFonts w:ascii="仿宋" w:eastAsia="仿宋" w:hAnsi="仿宋" w:cs="宋体"/>
          <w:color w:val="000000"/>
          <w:kern w:val="0"/>
          <w:sz w:val="24"/>
        </w:rPr>
        <w:t>受到监管部门的调查；</w:t>
      </w:r>
    </w:p>
    <w:p w:rsidR="0066093E" w:rsidRDefault="0066093E">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w:t>
      </w:r>
      <w:r>
        <w:rPr>
          <w:rFonts w:ascii="仿宋" w:eastAsia="仿宋" w:hAnsi="仿宋" w:cs="宋体" w:hint="eastAsia"/>
          <w:color w:val="000000"/>
          <w:kern w:val="0"/>
          <w:sz w:val="24"/>
        </w:rPr>
        <w:t>3</w:t>
      </w:r>
      <w:r>
        <w:rPr>
          <w:rFonts w:ascii="仿宋" w:eastAsia="仿宋" w:hAnsi="仿宋" w:cs="宋体"/>
          <w:color w:val="000000"/>
          <w:kern w:val="0"/>
          <w:sz w:val="24"/>
        </w:rPr>
        <w:t>）其它应披露的事项。</w:t>
      </w:r>
    </w:p>
    <w:p w:rsidR="0066093E" w:rsidRDefault="0066093E">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2</w:t>
      </w:r>
      <w:r>
        <w:rPr>
          <w:rFonts w:ascii="仿宋" w:eastAsia="仿宋" w:hAnsi="仿宋" w:cs="宋体" w:hint="eastAsia"/>
          <w:color w:val="000000"/>
          <w:kern w:val="0"/>
          <w:sz w:val="24"/>
        </w:rPr>
        <w:t>.</w:t>
      </w:r>
      <w:r>
        <w:rPr>
          <w:rFonts w:ascii="仿宋" w:eastAsia="仿宋" w:hAnsi="仿宋" w:cs="宋体"/>
          <w:color w:val="000000"/>
          <w:kern w:val="0"/>
          <w:sz w:val="24"/>
        </w:rPr>
        <w:t>本理财产品存续期间如发生华夏</w:t>
      </w:r>
      <w:r>
        <w:rPr>
          <w:rFonts w:ascii="仿宋" w:eastAsia="仿宋" w:hAnsi="仿宋" w:cs="宋体" w:hint="eastAsia"/>
          <w:color w:val="000000"/>
          <w:kern w:val="0"/>
          <w:sz w:val="24"/>
        </w:rPr>
        <w:t>理财</w:t>
      </w:r>
      <w:r>
        <w:rPr>
          <w:rFonts w:ascii="仿宋" w:eastAsia="仿宋" w:hAnsi="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ascii="仿宋" w:eastAsia="仿宋" w:hAnsi="仿宋" w:cs="宋体" w:hint="eastAsia"/>
          <w:color w:val="000000"/>
          <w:kern w:val="0"/>
          <w:sz w:val="24"/>
        </w:rPr>
        <w:t>理财将在事项发生后</w:t>
      </w:r>
      <w:r>
        <w:rPr>
          <w:rFonts w:ascii="仿宋" w:eastAsia="仿宋" w:hAnsi="仿宋" w:cs="宋体"/>
          <w:color w:val="000000"/>
          <w:kern w:val="0"/>
          <w:sz w:val="24"/>
        </w:rPr>
        <w:t>2</w:t>
      </w:r>
      <w:r>
        <w:rPr>
          <w:rFonts w:ascii="仿宋" w:eastAsia="仿宋" w:hAnsi="仿宋" w:cs="宋体" w:hint="eastAsia"/>
          <w:color w:val="000000"/>
          <w:kern w:val="0"/>
          <w:sz w:val="24"/>
        </w:rPr>
        <w:t>个</w:t>
      </w:r>
      <w:r>
        <w:rPr>
          <w:rFonts w:ascii="仿宋" w:eastAsia="仿宋" w:hAnsi="仿宋" w:cs="宋体"/>
          <w:color w:val="000000"/>
          <w:kern w:val="0"/>
          <w:sz w:val="24"/>
        </w:rPr>
        <w:t>工作</w:t>
      </w:r>
      <w:r>
        <w:rPr>
          <w:rFonts w:ascii="仿宋" w:eastAsia="仿宋" w:hAnsi="仿宋" w:cs="宋体" w:hint="eastAsia"/>
          <w:color w:val="000000"/>
          <w:kern w:val="0"/>
          <w:sz w:val="24"/>
        </w:rPr>
        <w:t>日内</w:t>
      </w:r>
      <w:r>
        <w:rPr>
          <w:rFonts w:ascii="仿宋" w:eastAsia="仿宋" w:hAnsi="仿宋" w:cs="宋体"/>
          <w:color w:val="000000"/>
          <w:kern w:val="0"/>
          <w:sz w:val="24"/>
        </w:rPr>
        <w:t>发布相关信息公告。</w:t>
      </w:r>
    </w:p>
    <w:p w:rsidR="0066093E" w:rsidRDefault="0066093E">
      <w:pPr>
        <w:pStyle w:val="Default"/>
        <w:snapToGrid w:val="0"/>
        <w:spacing w:afterLines="50" w:after="156" w:line="400" w:lineRule="exact"/>
        <w:ind w:firstLineChars="200" w:firstLine="482"/>
        <w:jc w:val="both"/>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66093E" w:rsidRDefault="0066093E">
      <w:pPr>
        <w:autoSpaceDE w:val="0"/>
        <w:autoSpaceDN w:val="0"/>
        <w:adjustRightInd w:val="0"/>
        <w:snapToGrid w:val="0"/>
        <w:spacing w:line="276" w:lineRule="auto"/>
        <w:ind w:firstLineChars="200" w:firstLine="482"/>
        <w:contextualSpacing/>
        <w:rPr>
          <w:rFonts w:ascii="黑体" w:eastAsia="黑体" w:hAnsi="黑体" w:cs="黑体" w:hint="eastAsia"/>
          <w:b/>
          <w:bCs/>
          <w:color w:val="000000"/>
          <w:kern w:val="0"/>
          <w:sz w:val="24"/>
        </w:rPr>
      </w:pPr>
      <w:r>
        <w:rPr>
          <w:rFonts w:ascii="黑体" w:eastAsia="黑体" w:hAnsi="黑体" w:cs="黑体" w:hint="eastAsia"/>
          <w:b/>
          <w:bCs/>
          <w:color w:val="000000"/>
          <w:kern w:val="0"/>
          <w:sz w:val="24"/>
        </w:rPr>
        <w:t>本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rsidR="0066093E" w:rsidRDefault="0066093E">
      <w:pPr>
        <w:autoSpaceDE w:val="0"/>
        <w:autoSpaceDN w:val="0"/>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color w:val="000000"/>
          <w:kern w:val="0"/>
          <w:sz w:val="24"/>
        </w:rPr>
        <w:t>本产品说明书</w:t>
      </w:r>
      <w:r>
        <w:rPr>
          <w:rFonts w:ascii="仿宋" w:eastAsia="仿宋" w:hAnsi="仿宋" w:cs="宋体" w:hint="eastAsia"/>
          <w:color w:val="000000"/>
          <w:kern w:val="0"/>
          <w:sz w:val="24"/>
        </w:rPr>
        <w:t>与理财产品协议书、理财产品风险揭示书和投资者权益须知共同组成投资者与华夏理财之间理财产品合同的不可分割之组成部分</w:t>
      </w:r>
      <w:r>
        <w:rPr>
          <w:rFonts w:ascii="仿宋" w:eastAsia="仿宋" w:hAnsi="仿宋" w:cs="宋体"/>
          <w:color w:val="000000"/>
          <w:kern w:val="0"/>
          <w:sz w:val="24"/>
        </w:rPr>
        <w:t>。若投资者对本产品说明书的内容有任何疑问，请向华夏</w:t>
      </w:r>
      <w:r>
        <w:rPr>
          <w:rFonts w:ascii="仿宋" w:eastAsia="仿宋" w:hAnsi="仿宋" w:cs="宋体" w:hint="eastAsia"/>
          <w:color w:val="000000"/>
          <w:kern w:val="0"/>
          <w:sz w:val="24"/>
        </w:rPr>
        <w:t>理财/代销机构</w:t>
      </w:r>
      <w:r>
        <w:rPr>
          <w:rFonts w:ascii="仿宋" w:eastAsia="仿宋" w:hAnsi="仿宋" w:cs="宋体"/>
          <w:color w:val="000000"/>
          <w:kern w:val="0"/>
          <w:sz w:val="24"/>
        </w:rPr>
        <w:t>咨询。</w:t>
      </w:r>
    </w:p>
    <w:p w:rsidR="0066093E" w:rsidRDefault="0066093E">
      <w:pPr>
        <w:widowControl/>
        <w:adjustRightInd w:val="0"/>
        <w:snapToGrid w:val="0"/>
        <w:spacing w:line="276" w:lineRule="auto"/>
        <w:ind w:firstLineChars="200" w:firstLine="482"/>
        <w:contextualSpacing/>
        <w:rPr>
          <w:rFonts w:eastAsia="黑体"/>
          <w:b/>
          <w:bCs/>
          <w:sz w:val="24"/>
        </w:rPr>
      </w:pPr>
      <w:r>
        <w:rPr>
          <w:rFonts w:eastAsia="黑体"/>
          <w:b/>
          <w:bCs/>
          <w:sz w:val="24"/>
        </w:rPr>
        <w:t>投资者在</w:t>
      </w:r>
      <w:r>
        <w:rPr>
          <w:rFonts w:eastAsia="黑体" w:hint="eastAsia"/>
          <w:b/>
          <w:bCs/>
          <w:sz w:val="24"/>
        </w:rPr>
        <w:t>购买</w:t>
      </w:r>
      <w:r>
        <w:rPr>
          <w:rFonts w:eastAsia="黑体"/>
          <w:b/>
          <w:bCs/>
          <w:sz w:val="24"/>
        </w:rPr>
        <w:t>理财产品前已阅读本理财产品风险提示，充分了解并知晓本理财产品的风险，自愿承担</w:t>
      </w:r>
      <w:r>
        <w:rPr>
          <w:rFonts w:eastAsia="黑体" w:hint="eastAsia"/>
          <w:b/>
          <w:bCs/>
          <w:sz w:val="24"/>
        </w:rPr>
        <w:t>相应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w:t>
      </w:r>
      <w:r>
        <w:rPr>
          <w:rFonts w:eastAsia="黑体"/>
          <w:b/>
          <w:bCs/>
          <w:sz w:val="24"/>
        </w:rPr>
        <w:t>投资。</w:t>
      </w:r>
    </w:p>
    <w:p w:rsidR="0066093E" w:rsidRDefault="0066093E">
      <w:pPr>
        <w:pStyle w:val="Default"/>
        <w:snapToGrid w:val="0"/>
        <w:spacing w:afterLines="50" w:after="156" w:line="400" w:lineRule="exact"/>
        <w:ind w:firstLineChars="200" w:firstLine="482"/>
        <w:jc w:val="both"/>
        <w:rPr>
          <w:rFonts w:ascii="Times New Roman" w:eastAsia="黑体" w:cs="Times New Roman" w:hint="eastAsia"/>
          <w:b/>
          <w:color w:val="auto"/>
        </w:rPr>
      </w:pPr>
      <w:r>
        <w:rPr>
          <w:rFonts w:ascii="Times New Roman" w:eastAsia="黑体" w:cs="Times New Roman" w:hint="eastAsia"/>
          <w:b/>
          <w:color w:val="auto"/>
        </w:rPr>
        <w:t>十一、说明书签署及生效</w:t>
      </w:r>
    </w:p>
    <w:p w:rsidR="0066093E" w:rsidRDefault="0066093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w:t>
      </w:r>
      <w:bookmarkStart w:id="4" w:name="_Hlk76384810"/>
      <w:r>
        <w:rPr>
          <w:rFonts w:ascii="仿宋" w:eastAsia="仿宋" w:hAnsi="仿宋" w:cs="宋体" w:hint="eastAsia"/>
          <w:kern w:val="0"/>
          <w:sz w:val="24"/>
        </w:rPr>
        <w:t>华夏理财/代销机构</w:t>
      </w:r>
      <w:bookmarkEnd w:id="4"/>
      <w:r>
        <w:rPr>
          <w:rFonts w:ascii="仿宋" w:eastAsia="仿宋" w:hAnsi="仿宋" w:cs="宋体" w:hint="eastAsia"/>
          <w:kern w:val="0"/>
          <w:sz w:val="24"/>
        </w:rPr>
        <w:t>网点柜面渠道购买本理财产品的，本产品说明书经自然人客户签字/法人或其他组织客户的法定代表人或授权代表签章并加盖公章、成功缴纳购买资金，并经华夏理财系统确认购买份额之日起生效。</w:t>
      </w:r>
    </w:p>
    <w:p w:rsidR="0066093E" w:rsidRDefault="0066093E">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kern w:val="0"/>
          <w:sz w:val="24"/>
        </w:rPr>
        <w:t>如客户通过华夏理财/代销机构电子渠道购买本理财产品的，本产品说明书自客户通过电子渠道确认同意，完成认/申购资金划付，并经华夏理财系统确认购买份额之日起生效。</w:t>
      </w:r>
    </w:p>
    <w:p w:rsidR="0066093E" w:rsidRDefault="0066093E">
      <w:pPr>
        <w:autoSpaceDE w:val="0"/>
        <w:autoSpaceDN w:val="0"/>
        <w:adjustRightInd w:val="0"/>
        <w:snapToGrid w:val="0"/>
        <w:spacing w:line="276" w:lineRule="auto"/>
        <w:contextualSpacing/>
        <w:jc w:val="left"/>
        <w:rPr>
          <w:rFonts w:ascii="仿宋" w:eastAsia="仿宋" w:hAnsi="仿宋" w:cs="宋体"/>
          <w:color w:val="000000"/>
          <w:kern w:val="0"/>
          <w:sz w:val="24"/>
        </w:rPr>
      </w:pPr>
    </w:p>
    <w:p w:rsidR="0066093E" w:rsidRDefault="0066093E">
      <w:pPr>
        <w:autoSpaceDE w:val="0"/>
        <w:autoSpaceDN w:val="0"/>
        <w:adjustRightInd w:val="0"/>
        <w:snapToGrid w:val="0"/>
        <w:spacing w:line="276" w:lineRule="auto"/>
        <w:contextualSpacing/>
        <w:jc w:val="left"/>
        <w:rPr>
          <w:rFonts w:ascii="仿宋" w:eastAsia="仿宋" w:hAnsi="仿宋" w:cs="宋体"/>
          <w:color w:val="000000"/>
          <w:kern w:val="0"/>
          <w:sz w:val="24"/>
        </w:rPr>
      </w:pPr>
    </w:p>
    <w:p w:rsidR="0066093E" w:rsidRDefault="0066093E">
      <w:pPr>
        <w:autoSpaceDE w:val="0"/>
        <w:autoSpaceDN w:val="0"/>
        <w:adjustRightInd w:val="0"/>
        <w:snapToGrid w:val="0"/>
        <w:spacing w:line="276" w:lineRule="auto"/>
        <w:contextualSpacing/>
        <w:jc w:val="left"/>
        <w:rPr>
          <w:rFonts w:ascii="仿宋" w:eastAsia="仿宋" w:hAnsi="仿宋" w:cs="宋体"/>
          <w:color w:val="000000"/>
          <w:kern w:val="0"/>
          <w:sz w:val="24"/>
        </w:rPr>
      </w:pPr>
    </w:p>
    <w:p w:rsidR="0066093E" w:rsidRDefault="0066093E">
      <w:pPr>
        <w:autoSpaceDE w:val="0"/>
        <w:autoSpaceDN w:val="0"/>
        <w:adjustRightInd w:val="0"/>
        <w:snapToGrid w:val="0"/>
        <w:spacing w:line="276" w:lineRule="auto"/>
        <w:contextualSpacing/>
        <w:jc w:val="left"/>
        <w:rPr>
          <w:rFonts w:ascii="仿宋" w:eastAsia="仿宋" w:hAnsi="仿宋" w:cs="宋体" w:hint="eastAsia"/>
          <w:color w:val="000000"/>
          <w:kern w:val="0"/>
          <w:sz w:val="24"/>
        </w:rPr>
      </w:pPr>
      <w:r>
        <w:rPr>
          <w:rFonts w:ascii="仿宋" w:eastAsia="仿宋" w:hAnsi="仿宋" w:cs="宋体" w:hint="eastAsia"/>
          <w:color w:val="000000"/>
          <w:kern w:val="0"/>
          <w:sz w:val="24"/>
        </w:rPr>
        <w:t xml:space="preserve">                                       </w:t>
      </w:r>
    </w:p>
    <w:p w:rsidR="0066093E" w:rsidRDefault="0066093E">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66093E" w:rsidRDefault="0066093E">
      <w:pPr>
        <w:autoSpaceDE w:val="0"/>
        <w:autoSpaceDN w:val="0"/>
        <w:adjustRightInd w:val="0"/>
        <w:snapToGrid w:val="0"/>
        <w:spacing w:line="276" w:lineRule="auto"/>
        <w:contextualSpacing/>
        <w:jc w:val="left"/>
        <w:rPr>
          <w:rFonts w:ascii="仿宋" w:eastAsia="仿宋" w:hAnsi="仿宋" w:cs="宋体" w:hint="eastAsia"/>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66093E" w:rsidRDefault="0066093E">
      <w:pPr>
        <w:autoSpaceDE w:val="0"/>
        <w:autoSpaceDN w:val="0"/>
        <w:adjustRightInd w:val="0"/>
        <w:snapToGrid w:val="0"/>
        <w:spacing w:line="276" w:lineRule="auto"/>
        <w:ind w:firstLineChars="200" w:firstLine="480"/>
        <w:contextualSpacing/>
        <w:jc w:val="left"/>
        <w:rPr>
          <w:rFonts w:ascii="仿宋" w:eastAsia="仿宋" w:hAnsi="仿宋" w:cs="宋体" w:hint="eastAsia"/>
          <w:color w:val="000000"/>
          <w:kern w:val="0"/>
          <w:sz w:val="24"/>
        </w:rPr>
      </w:pPr>
    </w:p>
    <w:p w:rsidR="0066093E" w:rsidRDefault="0066093E">
      <w:pPr>
        <w:autoSpaceDE w:val="0"/>
        <w:autoSpaceDN w:val="0"/>
        <w:adjustRightInd w:val="0"/>
        <w:snapToGrid w:val="0"/>
        <w:spacing w:line="276" w:lineRule="auto"/>
        <w:contextualSpacing/>
        <w:jc w:val="left"/>
        <w:rPr>
          <w:rFonts w:ascii="仿宋" w:eastAsia="仿宋" w:hAnsi="仿宋" w:cs="宋体" w:hint="eastAsia"/>
          <w:color w:val="000000"/>
          <w:kern w:val="0"/>
          <w:sz w:val="24"/>
        </w:rPr>
      </w:pPr>
      <w:r>
        <w:rPr>
          <w:rFonts w:ascii="仿宋" w:eastAsia="仿宋" w:hAnsi="仿宋" w:cs="宋体" w:hint="eastAsia"/>
          <w:color w:val="000000"/>
          <w:kern w:val="0"/>
          <w:sz w:val="24"/>
        </w:rPr>
        <w:t xml:space="preserve">（或）法人或其他组织（盖章或线上确认同意）：        </w:t>
      </w:r>
    </w:p>
    <w:p w:rsidR="0066093E" w:rsidRDefault="0066093E">
      <w:pPr>
        <w:autoSpaceDE w:val="0"/>
        <w:autoSpaceDN w:val="0"/>
        <w:adjustRightInd w:val="0"/>
        <w:snapToGrid w:val="0"/>
        <w:spacing w:line="276" w:lineRule="auto"/>
        <w:contextualSpacing/>
        <w:jc w:val="left"/>
        <w:rPr>
          <w:rFonts w:ascii="仿宋" w:eastAsia="仿宋" w:hAnsi="仿宋" w:cs="宋体" w:hint="eastAsia"/>
          <w:color w:val="000000"/>
          <w:kern w:val="0"/>
          <w:sz w:val="24"/>
        </w:rPr>
      </w:pPr>
      <w:r>
        <w:rPr>
          <w:rFonts w:ascii="仿宋" w:eastAsia="仿宋" w:hAnsi="仿宋" w:cs="宋体" w:hint="eastAsia"/>
          <w:color w:val="000000"/>
          <w:kern w:val="0"/>
          <w:sz w:val="24"/>
        </w:rPr>
        <w:t>法定代表人或授权代表（签章或线上确认同意）：</w:t>
      </w: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66093E" w:rsidRDefault="0066093E">
      <w:pPr>
        <w:autoSpaceDE w:val="0"/>
        <w:autoSpaceDN w:val="0"/>
        <w:adjustRightInd w:val="0"/>
        <w:snapToGrid w:val="0"/>
        <w:spacing w:line="276" w:lineRule="auto"/>
        <w:ind w:firstLineChars="200" w:firstLine="480"/>
        <w:contextualSpacing/>
        <w:jc w:val="left"/>
        <w:rPr>
          <w:rFonts w:ascii="仿宋" w:eastAsia="仿宋" w:hAnsi="仿宋" w:cs="宋体" w:hint="eastAsia"/>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66093E" w:rsidRDefault="0066093E">
      <w:pPr>
        <w:autoSpaceDE w:val="0"/>
        <w:autoSpaceDN w:val="0"/>
        <w:adjustRightInd w:val="0"/>
        <w:snapToGrid w:val="0"/>
        <w:spacing w:line="276" w:lineRule="auto"/>
        <w:contextualSpacing/>
        <w:jc w:val="left"/>
        <w:rPr>
          <w:rFonts w:ascii="仿宋" w:eastAsia="仿宋" w:hAnsi="仿宋" w:cs="宋体" w:hint="eastAsia"/>
          <w:color w:val="000000"/>
          <w:kern w:val="0"/>
          <w:sz w:val="24"/>
        </w:rPr>
      </w:pPr>
      <w:r>
        <w:rPr>
          <w:rFonts w:ascii="仿宋" w:eastAsia="仿宋" w:hAnsi="仿宋" w:cs="宋体" w:hint="eastAsia"/>
          <w:color w:val="000000"/>
          <w:kern w:val="0"/>
          <w:sz w:val="24"/>
        </w:rPr>
        <w:t xml:space="preserve">产品管理人：华夏理财有限责任公司 </w:t>
      </w:r>
    </w:p>
    <w:p w:rsidR="0066093E" w:rsidRDefault="0066093E">
      <w:pPr>
        <w:autoSpaceDE w:val="0"/>
        <w:autoSpaceDN w:val="0"/>
        <w:adjustRightInd w:val="0"/>
        <w:snapToGrid w:val="0"/>
        <w:spacing w:line="276" w:lineRule="auto"/>
        <w:contextualSpacing/>
        <w:jc w:val="left"/>
        <w:rPr>
          <w:rFonts w:ascii="仿宋" w:eastAsia="仿宋" w:hAnsi="仿宋" w:cs="宋体" w:hint="eastAsia"/>
          <w:color w:val="000000"/>
          <w:kern w:val="0"/>
          <w:sz w:val="24"/>
        </w:rPr>
      </w:pPr>
    </w:p>
    <w:p w:rsidR="0066093E" w:rsidRDefault="0066093E">
      <w:pPr>
        <w:autoSpaceDE w:val="0"/>
        <w:autoSpaceDN w:val="0"/>
        <w:adjustRightInd w:val="0"/>
        <w:snapToGrid w:val="0"/>
        <w:spacing w:line="276" w:lineRule="auto"/>
        <w:contextualSpacing/>
        <w:jc w:val="left"/>
        <w:rPr>
          <w:rFonts w:ascii="仿宋" w:eastAsia="仿宋" w:hAnsi="仿宋" w:cs="宋体" w:hint="eastAsia"/>
          <w:color w:val="000000"/>
          <w:kern w:val="0"/>
          <w:sz w:val="24"/>
        </w:rPr>
      </w:pPr>
      <w:r>
        <w:rPr>
          <w:rFonts w:ascii="仿宋" w:eastAsia="仿宋" w:hAnsi="仿宋" w:cs="宋体" w:hint="eastAsia"/>
          <w:color w:val="000000"/>
        </w:rPr>
        <w:t xml:space="preserve">日期：  </w:t>
      </w:r>
      <w:r>
        <w:rPr>
          <w:rFonts w:ascii="仿宋" w:eastAsia="仿宋" w:hAnsi="仿宋" w:cs="宋体"/>
          <w:color w:val="000000"/>
        </w:rPr>
        <w:t xml:space="preserve">   年     月    日            </w:t>
      </w:r>
      <w:r>
        <w:rPr>
          <w:rFonts w:ascii="仿宋" w:eastAsia="仿宋" w:hAnsi="仿宋" w:cs="宋体" w:hint="eastAsia"/>
          <w:color w:val="000000"/>
          <w:kern w:val="0"/>
          <w:sz w:val="24"/>
        </w:rPr>
        <w:t xml:space="preserve">              </w:t>
      </w:r>
    </w:p>
    <w:p w:rsidR="0066093E" w:rsidRDefault="0066093E">
      <w:pPr>
        <w:pStyle w:val="a7"/>
        <w:widowControl/>
        <w:spacing w:line="240" w:lineRule="auto"/>
        <w:ind w:firstLine="0"/>
      </w:pPr>
    </w:p>
    <w:sectPr w:rsidR="0066093E">
      <w:head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70A3" w:rsidRDefault="002B70A3">
      <w:pPr>
        <w:spacing w:line="240" w:lineRule="auto"/>
      </w:pPr>
      <w:r>
        <w:separator/>
      </w:r>
    </w:p>
  </w:endnote>
  <w:endnote w:type="continuationSeparator" w:id="0">
    <w:p w:rsidR="002B70A3" w:rsidRDefault="002B70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简仿宋">
    <w:panose1 w:val="00000000000000000000"/>
    <w:charset w:val="86"/>
    <w:family w:val="auto"/>
    <w:pitch w:val="variable"/>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70A3" w:rsidRDefault="002B70A3">
      <w:pPr>
        <w:spacing w:line="240" w:lineRule="auto"/>
      </w:pPr>
      <w:r>
        <w:separator/>
      </w:r>
    </w:p>
  </w:footnote>
  <w:footnote w:type="continuationSeparator" w:id="0">
    <w:p w:rsidR="002B70A3" w:rsidRDefault="002B70A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93E" w:rsidRDefault="0066093E">
    <w:pPr>
      <w:pStyle w:val="a6"/>
      <w:pBdr>
        <w:bottom w:val="none" w:sz="0" w:space="1" w:color="auto"/>
      </w:pBdr>
      <w:spacing w:line="360" w:lineRule="auto"/>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8BDC51"/>
    <w:multiLevelType w:val="singleLevel"/>
    <w:tmpl w:val="608BDC51"/>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trackedChanges" w:enforcement="0"/>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20F81"/>
    <w:rsid w:val="00063561"/>
    <w:rsid w:val="000713E1"/>
    <w:rsid w:val="000805E4"/>
    <w:rsid w:val="000A3C07"/>
    <w:rsid w:val="000B32CF"/>
    <w:rsid w:val="000D002A"/>
    <w:rsid w:val="000D7DE2"/>
    <w:rsid w:val="000E195A"/>
    <w:rsid w:val="001260F4"/>
    <w:rsid w:val="001318D7"/>
    <w:rsid w:val="00141481"/>
    <w:rsid w:val="001423F3"/>
    <w:rsid w:val="00146323"/>
    <w:rsid w:val="001B29E5"/>
    <w:rsid w:val="001E7DA9"/>
    <w:rsid w:val="00294355"/>
    <w:rsid w:val="002A2967"/>
    <w:rsid w:val="002A2FEF"/>
    <w:rsid w:val="002B70A3"/>
    <w:rsid w:val="002E7F9D"/>
    <w:rsid w:val="00311EF5"/>
    <w:rsid w:val="00351C38"/>
    <w:rsid w:val="00365E5C"/>
    <w:rsid w:val="003923B3"/>
    <w:rsid w:val="003D55AF"/>
    <w:rsid w:val="003D65A8"/>
    <w:rsid w:val="003E4BEB"/>
    <w:rsid w:val="003F6114"/>
    <w:rsid w:val="004021F4"/>
    <w:rsid w:val="004734C8"/>
    <w:rsid w:val="00494748"/>
    <w:rsid w:val="004E7D97"/>
    <w:rsid w:val="004F4E81"/>
    <w:rsid w:val="004F648F"/>
    <w:rsid w:val="005114E6"/>
    <w:rsid w:val="00512B7C"/>
    <w:rsid w:val="00530EF3"/>
    <w:rsid w:val="005604F6"/>
    <w:rsid w:val="00560CC1"/>
    <w:rsid w:val="005727C8"/>
    <w:rsid w:val="005C08EC"/>
    <w:rsid w:val="005F66E4"/>
    <w:rsid w:val="00656FE9"/>
    <w:rsid w:val="0066093E"/>
    <w:rsid w:val="00670595"/>
    <w:rsid w:val="00677437"/>
    <w:rsid w:val="00681E3A"/>
    <w:rsid w:val="0068328B"/>
    <w:rsid w:val="0069073D"/>
    <w:rsid w:val="006915E0"/>
    <w:rsid w:val="006D3A14"/>
    <w:rsid w:val="006E0E9D"/>
    <w:rsid w:val="006E742E"/>
    <w:rsid w:val="006F119A"/>
    <w:rsid w:val="00712CC7"/>
    <w:rsid w:val="00734D46"/>
    <w:rsid w:val="0076606B"/>
    <w:rsid w:val="00777429"/>
    <w:rsid w:val="007815CF"/>
    <w:rsid w:val="00792744"/>
    <w:rsid w:val="007F1EF8"/>
    <w:rsid w:val="007F32C1"/>
    <w:rsid w:val="008277B6"/>
    <w:rsid w:val="00843345"/>
    <w:rsid w:val="00846F1F"/>
    <w:rsid w:val="00852D93"/>
    <w:rsid w:val="00863612"/>
    <w:rsid w:val="00887E73"/>
    <w:rsid w:val="008D19F3"/>
    <w:rsid w:val="008D5F85"/>
    <w:rsid w:val="008E0C40"/>
    <w:rsid w:val="008F6891"/>
    <w:rsid w:val="00902123"/>
    <w:rsid w:val="00916782"/>
    <w:rsid w:val="00971A91"/>
    <w:rsid w:val="00972105"/>
    <w:rsid w:val="00991FA8"/>
    <w:rsid w:val="009A3572"/>
    <w:rsid w:val="009C0A85"/>
    <w:rsid w:val="009C4B76"/>
    <w:rsid w:val="009C5840"/>
    <w:rsid w:val="009E6D89"/>
    <w:rsid w:val="009F0D25"/>
    <w:rsid w:val="009F1CB5"/>
    <w:rsid w:val="00A25440"/>
    <w:rsid w:val="00A33474"/>
    <w:rsid w:val="00A51A90"/>
    <w:rsid w:val="00A547BE"/>
    <w:rsid w:val="00A87692"/>
    <w:rsid w:val="00A93593"/>
    <w:rsid w:val="00A978E7"/>
    <w:rsid w:val="00AA7D8A"/>
    <w:rsid w:val="00AE1B0B"/>
    <w:rsid w:val="00AF3F07"/>
    <w:rsid w:val="00B47C68"/>
    <w:rsid w:val="00B5695A"/>
    <w:rsid w:val="00BA77A8"/>
    <w:rsid w:val="00BB4269"/>
    <w:rsid w:val="00BC4B7F"/>
    <w:rsid w:val="00BE076D"/>
    <w:rsid w:val="00BE4A47"/>
    <w:rsid w:val="00C33E4C"/>
    <w:rsid w:val="00D04582"/>
    <w:rsid w:val="00D06C20"/>
    <w:rsid w:val="00D3392B"/>
    <w:rsid w:val="00D34745"/>
    <w:rsid w:val="00D65353"/>
    <w:rsid w:val="00DE2987"/>
    <w:rsid w:val="00E46D53"/>
    <w:rsid w:val="00E816F5"/>
    <w:rsid w:val="00E879FF"/>
    <w:rsid w:val="00E95A0F"/>
    <w:rsid w:val="00EE7A2F"/>
    <w:rsid w:val="00F37C88"/>
    <w:rsid w:val="00F444A8"/>
    <w:rsid w:val="00F56D69"/>
    <w:rsid w:val="00F9415B"/>
    <w:rsid w:val="00FC1677"/>
    <w:rsid w:val="00FD2903"/>
    <w:rsid w:val="00FF56AD"/>
    <w:rsid w:val="01EB6FEC"/>
    <w:rsid w:val="02377743"/>
    <w:rsid w:val="04B16B62"/>
    <w:rsid w:val="05215177"/>
    <w:rsid w:val="076012A9"/>
    <w:rsid w:val="08A96CC2"/>
    <w:rsid w:val="0A0F44CD"/>
    <w:rsid w:val="0AA97A8C"/>
    <w:rsid w:val="0B047D48"/>
    <w:rsid w:val="0B9C5D9B"/>
    <w:rsid w:val="0BA27F6B"/>
    <w:rsid w:val="0C510FA4"/>
    <w:rsid w:val="0C9E5955"/>
    <w:rsid w:val="0D511F69"/>
    <w:rsid w:val="0DC52C23"/>
    <w:rsid w:val="0DF70178"/>
    <w:rsid w:val="0E3C3C0F"/>
    <w:rsid w:val="0F104CA7"/>
    <w:rsid w:val="0F2862EC"/>
    <w:rsid w:val="11625569"/>
    <w:rsid w:val="117C0D4E"/>
    <w:rsid w:val="11BB3DB9"/>
    <w:rsid w:val="11D21B30"/>
    <w:rsid w:val="123B658C"/>
    <w:rsid w:val="12CD4972"/>
    <w:rsid w:val="12FA2A1E"/>
    <w:rsid w:val="12FB08EA"/>
    <w:rsid w:val="135C1A4B"/>
    <w:rsid w:val="142741A0"/>
    <w:rsid w:val="14FD2EFF"/>
    <w:rsid w:val="152A1DB0"/>
    <w:rsid w:val="155D4436"/>
    <w:rsid w:val="16457F02"/>
    <w:rsid w:val="169510B8"/>
    <w:rsid w:val="16DD4AF1"/>
    <w:rsid w:val="174C5C47"/>
    <w:rsid w:val="178D27B4"/>
    <w:rsid w:val="182014A2"/>
    <w:rsid w:val="18294E04"/>
    <w:rsid w:val="1892050E"/>
    <w:rsid w:val="18D80C51"/>
    <w:rsid w:val="18EE0BF6"/>
    <w:rsid w:val="198557BA"/>
    <w:rsid w:val="19CA2C2C"/>
    <w:rsid w:val="1A707A6D"/>
    <w:rsid w:val="1A7D6D25"/>
    <w:rsid w:val="1A816486"/>
    <w:rsid w:val="1A893942"/>
    <w:rsid w:val="1AD533CC"/>
    <w:rsid w:val="1BA64FD1"/>
    <w:rsid w:val="1BBC5A18"/>
    <w:rsid w:val="1BE97487"/>
    <w:rsid w:val="1C6357AF"/>
    <w:rsid w:val="1CAC5E2B"/>
    <w:rsid w:val="1CDF5587"/>
    <w:rsid w:val="1D023468"/>
    <w:rsid w:val="1D795BF8"/>
    <w:rsid w:val="1E356AFA"/>
    <w:rsid w:val="1E724912"/>
    <w:rsid w:val="204A0870"/>
    <w:rsid w:val="20C822D8"/>
    <w:rsid w:val="220D5EC8"/>
    <w:rsid w:val="223431B1"/>
    <w:rsid w:val="229838C9"/>
    <w:rsid w:val="22C149FC"/>
    <w:rsid w:val="22F1518B"/>
    <w:rsid w:val="238C25BD"/>
    <w:rsid w:val="24A91031"/>
    <w:rsid w:val="25E72FA7"/>
    <w:rsid w:val="28347384"/>
    <w:rsid w:val="287A4275"/>
    <w:rsid w:val="29711978"/>
    <w:rsid w:val="298634AE"/>
    <w:rsid w:val="2A567387"/>
    <w:rsid w:val="2B3649F4"/>
    <w:rsid w:val="2B4675FA"/>
    <w:rsid w:val="2BB602C5"/>
    <w:rsid w:val="2BD85FC4"/>
    <w:rsid w:val="2BF50AB4"/>
    <w:rsid w:val="2CDB7E63"/>
    <w:rsid w:val="2DA05DCE"/>
    <w:rsid w:val="2EC208DF"/>
    <w:rsid w:val="2F223C18"/>
    <w:rsid w:val="2F401A95"/>
    <w:rsid w:val="2F517C68"/>
    <w:rsid w:val="2F854CC7"/>
    <w:rsid w:val="2FDD2BC4"/>
    <w:rsid w:val="2FF679D7"/>
    <w:rsid w:val="30653C55"/>
    <w:rsid w:val="30B93C1E"/>
    <w:rsid w:val="320C78A0"/>
    <w:rsid w:val="329A0B6A"/>
    <w:rsid w:val="32C642E9"/>
    <w:rsid w:val="332573C9"/>
    <w:rsid w:val="33B86835"/>
    <w:rsid w:val="34854AB1"/>
    <w:rsid w:val="34A63F82"/>
    <w:rsid w:val="350A7012"/>
    <w:rsid w:val="360161F0"/>
    <w:rsid w:val="36050641"/>
    <w:rsid w:val="36365F0F"/>
    <w:rsid w:val="372651A6"/>
    <w:rsid w:val="382265A3"/>
    <w:rsid w:val="386B45BC"/>
    <w:rsid w:val="39223F50"/>
    <w:rsid w:val="39915230"/>
    <w:rsid w:val="39B533F4"/>
    <w:rsid w:val="3A166DB1"/>
    <w:rsid w:val="3A6464DA"/>
    <w:rsid w:val="3B35691C"/>
    <w:rsid w:val="3C691FB2"/>
    <w:rsid w:val="3DD23BF8"/>
    <w:rsid w:val="3E433D3D"/>
    <w:rsid w:val="3F996600"/>
    <w:rsid w:val="40897331"/>
    <w:rsid w:val="41A75327"/>
    <w:rsid w:val="42726493"/>
    <w:rsid w:val="44C2436C"/>
    <w:rsid w:val="44D90650"/>
    <w:rsid w:val="45225B34"/>
    <w:rsid w:val="454247FC"/>
    <w:rsid w:val="455F5657"/>
    <w:rsid w:val="45C2437E"/>
    <w:rsid w:val="464740FB"/>
    <w:rsid w:val="46945BA3"/>
    <w:rsid w:val="469C1860"/>
    <w:rsid w:val="48100387"/>
    <w:rsid w:val="489F1960"/>
    <w:rsid w:val="492F3120"/>
    <w:rsid w:val="4A646C71"/>
    <w:rsid w:val="4A974BFD"/>
    <w:rsid w:val="4CC42E4B"/>
    <w:rsid w:val="4E006899"/>
    <w:rsid w:val="4E6B607B"/>
    <w:rsid w:val="4E7E67D5"/>
    <w:rsid w:val="500E49CD"/>
    <w:rsid w:val="500F1CD5"/>
    <w:rsid w:val="511D25A1"/>
    <w:rsid w:val="51A36407"/>
    <w:rsid w:val="51D91B25"/>
    <w:rsid w:val="52C77658"/>
    <w:rsid w:val="58083A83"/>
    <w:rsid w:val="581B10FA"/>
    <w:rsid w:val="582156EE"/>
    <w:rsid w:val="58BB4CDB"/>
    <w:rsid w:val="59AD702D"/>
    <w:rsid w:val="59D14CC4"/>
    <w:rsid w:val="59FF73A2"/>
    <w:rsid w:val="5A945937"/>
    <w:rsid w:val="5AA340C2"/>
    <w:rsid w:val="5AB6501F"/>
    <w:rsid w:val="5B9E1D5B"/>
    <w:rsid w:val="5BCB323C"/>
    <w:rsid w:val="5DC63A4E"/>
    <w:rsid w:val="5DED53D1"/>
    <w:rsid w:val="5E1B7959"/>
    <w:rsid w:val="5EAD142E"/>
    <w:rsid w:val="5F3F3BFD"/>
    <w:rsid w:val="5F7071A8"/>
    <w:rsid w:val="5FF90850"/>
    <w:rsid w:val="600F4804"/>
    <w:rsid w:val="610C5CC5"/>
    <w:rsid w:val="6210426E"/>
    <w:rsid w:val="638119A8"/>
    <w:rsid w:val="642D51FD"/>
    <w:rsid w:val="644E4B1D"/>
    <w:rsid w:val="64651B49"/>
    <w:rsid w:val="652C5EC9"/>
    <w:rsid w:val="65353764"/>
    <w:rsid w:val="65EC5F0A"/>
    <w:rsid w:val="66EC4D96"/>
    <w:rsid w:val="6736101B"/>
    <w:rsid w:val="677D6E4B"/>
    <w:rsid w:val="68370CCC"/>
    <w:rsid w:val="684D7DEF"/>
    <w:rsid w:val="69C37032"/>
    <w:rsid w:val="6BD916EE"/>
    <w:rsid w:val="6C4B3952"/>
    <w:rsid w:val="6CCA1A7F"/>
    <w:rsid w:val="6E035291"/>
    <w:rsid w:val="6E1206A4"/>
    <w:rsid w:val="6E5A3D7E"/>
    <w:rsid w:val="6ED06B7B"/>
    <w:rsid w:val="703933A1"/>
    <w:rsid w:val="70AA0758"/>
    <w:rsid w:val="70B61502"/>
    <w:rsid w:val="70CE17C7"/>
    <w:rsid w:val="70F5166C"/>
    <w:rsid w:val="715507FE"/>
    <w:rsid w:val="71EF5ACB"/>
    <w:rsid w:val="723B233B"/>
    <w:rsid w:val="724F5D5C"/>
    <w:rsid w:val="728E0A16"/>
    <w:rsid w:val="729371FE"/>
    <w:rsid w:val="72E929DE"/>
    <w:rsid w:val="72EF2B1D"/>
    <w:rsid w:val="738D015F"/>
    <w:rsid w:val="745751F5"/>
    <w:rsid w:val="74892FD1"/>
    <w:rsid w:val="74FB18F9"/>
    <w:rsid w:val="75616560"/>
    <w:rsid w:val="75F80517"/>
    <w:rsid w:val="76C57715"/>
    <w:rsid w:val="771479EA"/>
    <w:rsid w:val="771C35A1"/>
    <w:rsid w:val="77A03719"/>
    <w:rsid w:val="78897EAD"/>
    <w:rsid w:val="78A4259B"/>
    <w:rsid w:val="78C31CAF"/>
    <w:rsid w:val="78CE6E70"/>
    <w:rsid w:val="795B3486"/>
    <w:rsid w:val="79E45FD6"/>
    <w:rsid w:val="7AD0105B"/>
    <w:rsid w:val="7AF92581"/>
    <w:rsid w:val="7B170E00"/>
    <w:rsid w:val="7B3057E8"/>
    <w:rsid w:val="7C721F5F"/>
    <w:rsid w:val="7C7D36C4"/>
    <w:rsid w:val="7E431677"/>
    <w:rsid w:val="7E5572E2"/>
    <w:rsid w:val="7ED67996"/>
    <w:rsid w:val="7F116F65"/>
    <w:rsid w:val="7F516160"/>
    <w:rsid w:val="7FD45F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5:chartTrackingRefBased/>
  <w15:docId w15:val="{A34B3A04-4214-4265-A02B-5AD691189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nhideWhenUsed="1"/>
    <w:lsdException w:name="footer" w:unhideWhenUsed="1"/>
    <w:lsdException w:name="caption" w:semiHidden="1" w:unhideWhenUsed="1" w:qFormat="1"/>
    <w:lsdException w:name="Title" w:qFormat="1"/>
    <w:lsdException w:name="Default Paragraph Font" w:semiHidden="1"/>
    <w:lsdException w:name="Body Text Indent" w:unhideWhenUsed="1"/>
    <w:lsdException w:name="Subtitle" w:qFormat="1"/>
    <w:lsdException w:name="Body Text Indent 2"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qFormat/>
    <w:pPr>
      <w:keepNext/>
      <w:keepLines/>
      <w:spacing w:before="260" w:after="260" w:line="415" w:lineRule="auto"/>
      <w:outlineLvl w:val="1"/>
    </w:pPr>
    <w:rPr>
      <w:rFonts w:ascii="Arial" w:eastAsia="黑体" w:hAnsi="Arial"/>
      <w:b/>
      <w:sz w:val="24"/>
    </w:rPr>
  </w:style>
  <w:style w:type="paragraph" w:styleId="3">
    <w:name w:val="heading 3"/>
    <w:basedOn w:val="a"/>
    <w:next w:val="a"/>
    <w:qFormat/>
    <w:pPr>
      <w:keepNext/>
      <w:keepLines/>
      <w:spacing w:before="260" w:after="260" w:line="413" w:lineRule="auto"/>
      <w:outlineLvl w:val="2"/>
    </w:pPr>
    <w:rPr>
      <w:rFonts w:ascii="Calibri" w:hAnsi="Calibri"/>
      <w:b/>
      <w:sz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51">
    <w:name w:val="font51"/>
    <w:rPr>
      <w:rFonts w:ascii="Times New Roman" w:hAnsi="Times New Roman" w:cs="Times New Roman" w:hint="default"/>
      <w:i w:val="0"/>
      <w:color w:val="000000"/>
      <w:sz w:val="24"/>
      <w:szCs w:val="24"/>
      <w:u w:val="none"/>
    </w:rPr>
  </w:style>
  <w:style w:type="character" w:customStyle="1" w:styleId="font01">
    <w:name w:val="font01"/>
    <w:rPr>
      <w:rFonts w:ascii="Times New Roman" w:hAnsi="Times New Roman" w:cs="Times New Roman" w:hint="default"/>
      <w:i w:val="0"/>
      <w:color w:val="000000"/>
      <w:sz w:val="24"/>
      <w:szCs w:val="24"/>
      <w:u w:val="none"/>
    </w:rPr>
  </w:style>
  <w:style w:type="character" w:customStyle="1" w:styleId="font11">
    <w:name w:val="font11"/>
    <w:rPr>
      <w:rFonts w:ascii="微软简仿宋" w:eastAsia="微软简仿宋" w:hAnsi="微软简仿宋" w:cs="微软简仿宋" w:hint="default"/>
      <w:i w:val="0"/>
      <w:color w:val="000000"/>
      <w:sz w:val="24"/>
      <w:szCs w:val="24"/>
      <w:u w:val="none"/>
    </w:rPr>
  </w:style>
  <w:style w:type="character" w:customStyle="1" w:styleId="font81">
    <w:name w:val="font81"/>
    <w:rPr>
      <w:rFonts w:ascii="微软简仿宋" w:eastAsia="微软简仿宋" w:hAnsi="微软简仿宋" w:cs="微软简仿宋" w:hint="default"/>
      <w:i w:val="0"/>
      <w:color w:val="000000"/>
      <w:sz w:val="24"/>
      <w:szCs w:val="24"/>
      <w:u w:val="none"/>
    </w:rPr>
  </w:style>
  <w:style w:type="paragraph" w:customStyle="1" w:styleId="p0">
    <w:name w:val="p0"/>
    <w:basedOn w:val="a"/>
    <w:pPr>
      <w:widowControl/>
    </w:pPr>
    <w:rPr>
      <w:kern w:val="0"/>
      <w:szCs w:val="21"/>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styleId="a3">
    <w:name w:val="footer"/>
    <w:basedOn w:val="a"/>
    <w:unhideWhenUsed/>
    <w:pPr>
      <w:tabs>
        <w:tab w:val="center" w:pos="4153"/>
        <w:tab w:val="right" w:pos="8306"/>
      </w:tabs>
      <w:snapToGrid w:val="0"/>
      <w:jc w:val="left"/>
    </w:pPr>
    <w:rPr>
      <w:sz w:val="18"/>
      <w:szCs w:val="20"/>
    </w:rPr>
  </w:style>
  <w:style w:type="paragraph" w:customStyle="1" w:styleId="A4">
    <w:name w:val="正文 A"/>
    <w:pPr>
      <w:widowControl w:val="0"/>
      <w:spacing w:line="560" w:lineRule="atLeast"/>
      <w:ind w:firstLine="640"/>
      <w:jc w:val="both"/>
    </w:pPr>
    <w:rPr>
      <w:rFonts w:ascii="Arial Unicode MS" w:hAnsi="Arial Unicode MS" w:cs="Arial Unicode MS"/>
      <w:color w:val="000000"/>
      <w:kern w:val="2"/>
      <w:sz w:val="32"/>
      <w:szCs w:val="32"/>
      <w:u w:color="000000"/>
    </w:rPr>
  </w:style>
  <w:style w:type="paragraph" w:styleId="a5">
    <w:name w:val="Balloon Text"/>
    <w:basedOn w:val="a"/>
    <w:semiHidden/>
    <w:rPr>
      <w:sz w:val="18"/>
      <w:szCs w:val="18"/>
    </w:rPr>
  </w:style>
  <w:style w:type="paragraph" w:styleId="20">
    <w:name w:val="Body Text Indent 2"/>
    <w:basedOn w:val="a"/>
    <w:unhideWhenUsed/>
    <w:pPr>
      <w:ind w:firstLine="600"/>
    </w:pPr>
    <w:rPr>
      <w:kern w:val="0"/>
      <w:sz w:val="24"/>
    </w:rPr>
  </w:style>
  <w:style w:type="paragraph" w:styleId="a6">
    <w:name w:val="header"/>
    <w:basedOn w:val="a"/>
    <w:unhideWhenUsed/>
    <w:pPr>
      <w:pBdr>
        <w:bottom w:val="single" w:sz="6" w:space="1" w:color="auto"/>
      </w:pBdr>
      <w:tabs>
        <w:tab w:val="center" w:pos="4153"/>
        <w:tab w:val="right" w:pos="8306"/>
      </w:tabs>
      <w:snapToGrid w:val="0"/>
      <w:jc w:val="center"/>
    </w:pPr>
    <w:rPr>
      <w:sz w:val="18"/>
      <w:szCs w:val="20"/>
    </w:rPr>
  </w:style>
  <w:style w:type="paragraph" w:styleId="a7">
    <w:name w:val="Body Text Indent"/>
    <w:basedOn w:val="a"/>
    <w:unhideWhenUsed/>
    <w:pPr>
      <w:ind w:firstLine="630"/>
    </w:pPr>
    <w:rPr>
      <w:kern w:val="0"/>
      <w:sz w:val="24"/>
    </w:rPr>
  </w:style>
  <w:style w:type="paragraph" w:customStyle="1" w:styleId="YJH-nei">
    <w:name w:val="YJH-nei"/>
    <w:pPr>
      <w:spacing w:line="600" w:lineRule="exact"/>
      <w:ind w:firstLineChars="200" w:firstLine="200"/>
    </w:pPr>
    <w:rPr>
      <w:rFonts w:ascii="仿宋_GB2312" w:eastAsia="仿宋_GB2312" w:hAnsi="宋体"/>
      <w:sz w:val="30"/>
      <w:szCs w:val="30"/>
    </w:rPr>
  </w:style>
  <w:style w:type="paragraph" w:styleId="a8">
    <w:name w:val="annotation text"/>
    <w:basedOn w:val="a"/>
    <w:pPr>
      <w:jc w:val="left"/>
    </w:pPr>
  </w:style>
  <w:style w:type="table" w:styleId="a9">
    <w:name w:val="Table Grid"/>
    <w:basedOn w:val="a1"/>
    <w:unhideWhenUsed/>
    <w:pPr>
      <w:widowControl w:val="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2153</Words>
  <Characters>12276</Characters>
  <Application>Microsoft Office Word</Application>
  <DocSecurity>0</DocSecurity>
  <PresentationFormat/>
  <Lines>102</Lines>
  <Paragraphs>28</Paragraphs>
  <Slides>0</Slides>
  <Notes>0</Notes>
  <HiddenSlides>0</HiddenSlides>
  <MMClips>0</MMClips>
  <ScaleCrop>false</ScaleCrop>
  <Manager/>
  <Company>华夏银行总行</Company>
  <LinksUpToDate>false</LinksUpToDate>
  <CharactersWithSpaces>14401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华夏理财固定收益增强型半年定开理财产品</dc:title>
  <dc:subject/>
  <dc:creator>ylh</dc:creator>
  <cp:keywords>22-01-27</cp:keywords>
  <dc:description/>
  <cp:lastModifiedBy>产品营销部</cp:lastModifiedBy>
  <cp:revision>3</cp:revision>
  <dcterms:created xsi:type="dcterms:W3CDTF">2022-01-27T11:37:00Z</dcterms:created>
  <dcterms:modified xsi:type="dcterms:W3CDTF">2022-01-27T11:38:00Z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