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D74" w:rsidRDefault="008C4D74" w:rsidP="008C4D74">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14:anchorId="39AA4972" wp14:editId="54D0602C">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8C4D74" w:rsidRDefault="008C4D74" w:rsidP="008C4D74">
      <w:pPr>
        <w:widowControl/>
        <w:spacing w:line="360" w:lineRule="auto"/>
        <w:jc w:val="center"/>
        <w:rPr>
          <w:b/>
          <w:szCs w:val="21"/>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净值型理财产品销售文件</w:t>
      </w:r>
    </w:p>
    <w:tbl>
      <w:tblPr>
        <w:tblStyle w:val="a8"/>
        <w:tblW w:w="892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990"/>
        <w:gridCol w:w="6008"/>
        <w:gridCol w:w="1924"/>
      </w:tblGrid>
      <w:tr w:rsidR="008C4D74" w:rsidTr="008D10E8">
        <w:trPr>
          <w:jc w:val="center"/>
        </w:trPr>
        <w:tc>
          <w:tcPr>
            <w:tcW w:w="990" w:type="dxa"/>
          </w:tcPr>
          <w:p w:rsidR="008C4D74" w:rsidRDefault="008C4D74" w:rsidP="008D10E8">
            <w:pPr>
              <w:pStyle w:val="a9"/>
              <w:widowControl/>
              <w:spacing w:line="360" w:lineRule="auto"/>
              <w:ind w:firstLineChars="0" w:firstLine="0"/>
              <w:jc w:val="center"/>
              <w:rPr>
                <w:rFonts w:ascii="宋体" w:hAnsi="宋体"/>
                <w:b/>
                <w:szCs w:val="21"/>
              </w:rPr>
            </w:pPr>
            <w:r>
              <w:rPr>
                <w:rFonts w:ascii="宋体" w:hAnsi="宋体" w:hint="eastAsia"/>
                <w:b/>
                <w:szCs w:val="21"/>
              </w:rPr>
              <w:t>序号</w:t>
            </w:r>
          </w:p>
        </w:tc>
        <w:tc>
          <w:tcPr>
            <w:tcW w:w="6008" w:type="dxa"/>
          </w:tcPr>
          <w:p w:rsidR="008C4D74" w:rsidRDefault="008C4D74" w:rsidP="008D10E8">
            <w:pPr>
              <w:pStyle w:val="a9"/>
              <w:widowControl/>
              <w:spacing w:line="360" w:lineRule="auto"/>
              <w:ind w:firstLineChars="0" w:firstLine="0"/>
              <w:jc w:val="center"/>
              <w:rPr>
                <w:rFonts w:ascii="宋体" w:hAnsi="宋体"/>
                <w:b/>
                <w:szCs w:val="21"/>
              </w:rPr>
            </w:pPr>
            <w:r>
              <w:rPr>
                <w:rFonts w:ascii="宋体" w:hAnsi="宋体" w:hint="eastAsia"/>
                <w:b/>
                <w:szCs w:val="21"/>
              </w:rPr>
              <w:t>理财产品销售文件中的具体文件名称</w:t>
            </w:r>
          </w:p>
        </w:tc>
        <w:tc>
          <w:tcPr>
            <w:tcW w:w="1924" w:type="dxa"/>
          </w:tcPr>
          <w:p w:rsidR="008C4D74" w:rsidRDefault="008C4D74" w:rsidP="008D10E8">
            <w:pPr>
              <w:pStyle w:val="a9"/>
              <w:widowControl/>
              <w:spacing w:line="360" w:lineRule="auto"/>
              <w:ind w:firstLineChars="0" w:firstLine="0"/>
              <w:jc w:val="center"/>
              <w:rPr>
                <w:rFonts w:ascii="宋体" w:hAnsi="宋体"/>
                <w:b/>
                <w:szCs w:val="21"/>
              </w:rPr>
            </w:pPr>
            <w:r>
              <w:rPr>
                <w:rFonts w:ascii="宋体" w:hAnsi="宋体" w:hint="eastAsia"/>
                <w:b/>
                <w:szCs w:val="21"/>
              </w:rPr>
              <w:t>文件简称</w:t>
            </w:r>
          </w:p>
        </w:tc>
      </w:tr>
      <w:tr w:rsidR="008C4D74" w:rsidTr="008D10E8">
        <w:trPr>
          <w:jc w:val="center"/>
        </w:trPr>
        <w:tc>
          <w:tcPr>
            <w:tcW w:w="990" w:type="dxa"/>
          </w:tcPr>
          <w:p w:rsidR="008C4D74" w:rsidRDefault="008C4D74" w:rsidP="008D10E8">
            <w:pPr>
              <w:pStyle w:val="a9"/>
              <w:widowControl/>
              <w:spacing w:line="360" w:lineRule="auto"/>
              <w:ind w:firstLineChars="0" w:firstLine="0"/>
              <w:jc w:val="center"/>
              <w:rPr>
                <w:rFonts w:ascii="宋体" w:hAnsi="宋体"/>
                <w:szCs w:val="21"/>
              </w:rPr>
            </w:pPr>
            <w:r>
              <w:rPr>
                <w:rFonts w:ascii="宋体" w:hAnsi="宋体"/>
                <w:szCs w:val="21"/>
              </w:rPr>
              <w:t>1</w:t>
            </w:r>
          </w:p>
        </w:tc>
        <w:tc>
          <w:tcPr>
            <w:tcW w:w="6008" w:type="dxa"/>
          </w:tcPr>
          <w:p w:rsidR="008C4D74" w:rsidRDefault="008C4D74" w:rsidP="008D10E8">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净值型理财产品投资协议书</w:t>
            </w:r>
            <w:r>
              <w:rPr>
                <w:rFonts w:ascii="宋体" w:hAnsi="宋体"/>
                <w:szCs w:val="21"/>
              </w:rPr>
              <w:t xml:space="preserve"> </w:t>
            </w:r>
          </w:p>
        </w:tc>
        <w:tc>
          <w:tcPr>
            <w:tcW w:w="1924" w:type="dxa"/>
          </w:tcPr>
          <w:p w:rsidR="008C4D74" w:rsidRDefault="008C4D74" w:rsidP="008D10E8">
            <w:pPr>
              <w:widowControl/>
              <w:spacing w:line="360" w:lineRule="auto"/>
              <w:jc w:val="center"/>
              <w:rPr>
                <w:rFonts w:ascii="宋体" w:hAnsi="宋体"/>
                <w:szCs w:val="21"/>
              </w:rPr>
            </w:pPr>
            <w:r>
              <w:rPr>
                <w:rFonts w:ascii="宋体" w:hAnsi="宋体" w:hint="eastAsia"/>
                <w:szCs w:val="21"/>
              </w:rPr>
              <w:t>投资协议书</w:t>
            </w:r>
          </w:p>
        </w:tc>
      </w:tr>
      <w:tr w:rsidR="008C4D74" w:rsidTr="008D10E8">
        <w:trPr>
          <w:trHeight w:val="323"/>
          <w:jc w:val="center"/>
        </w:trPr>
        <w:tc>
          <w:tcPr>
            <w:tcW w:w="990" w:type="dxa"/>
          </w:tcPr>
          <w:p w:rsidR="008C4D74" w:rsidRDefault="008C4D74" w:rsidP="008D10E8">
            <w:pPr>
              <w:pStyle w:val="a9"/>
              <w:widowControl/>
              <w:spacing w:line="360" w:lineRule="auto"/>
              <w:ind w:firstLineChars="0" w:firstLine="0"/>
              <w:jc w:val="center"/>
              <w:rPr>
                <w:rFonts w:ascii="宋体" w:hAnsi="宋体"/>
                <w:szCs w:val="21"/>
              </w:rPr>
            </w:pPr>
            <w:r>
              <w:rPr>
                <w:rFonts w:ascii="宋体" w:hAnsi="宋体"/>
                <w:szCs w:val="21"/>
              </w:rPr>
              <w:t>2</w:t>
            </w:r>
          </w:p>
        </w:tc>
        <w:tc>
          <w:tcPr>
            <w:tcW w:w="6008" w:type="dxa"/>
          </w:tcPr>
          <w:p w:rsidR="008C4D74" w:rsidRDefault="008C4D74" w:rsidP="008D10E8">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w:t>
            </w:r>
            <w:proofErr w:type="gramStart"/>
            <w:r>
              <w:rPr>
                <w:rFonts w:ascii="宋体" w:hAnsi="宋体" w:hint="eastAsia"/>
                <w:szCs w:val="21"/>
              </w:rPr>
              <w:t>产品产品</w:t>
            </w:r>
            <w:proofErr w:type="gramEnd"/>
            <w:r>
              <w:rPr>
                <w:rFonts w:ascii="宋体" w:hAnsi="宋体" w:hint="eastAsia"/>
                <w:szCs w:val="21"/>
              </w:rPr>
              <w:t>说明书</w:t>
            </w:r>
          </w:p>
        </w:tc>
        <w:tc>
          <w:tcPr>
            <w:tcW w:w="1924" w:type="dxa"/>
          </w:tcPr>
          <w:p w:rsidR="008C4D74" w:rsidRDefault="008C4D74" w:rsidP="008D10E8">
            <w:pPr>
              <w:pStyle w:val="a9"/>
              <w:widowControl/>
              <w:spacing w:line="360" w:lineRule="auto"/>
              <w:ind w:firstLineChars="0" w:firstLine="0"/>
              <w:jc w:val="center"/>
              <w:rPr>
                <w:rFonts w:ascii="宋体" w:hAnsi="宋体"/>
                <w:szCs w:val="21"/>
              </w:rPr>
            </w:pPr>
            <w:r>
              <w:rPr>
                <w:rFonts w:ascii="宋体" w:hAnsi="宋体" w:hint="eastAsia"/>
                <w:szCs w:val="21"/>
              </w:rPr>
              <w:t>产品说明书</w:t>
            </w:r>
          </w:p>
        </w:tc>
      </w:tr>
      <w:tr w:rsidR="008C4D74" w:rsidTr="008D10E8">
        <w:trPr>
          <w:jc w:val="center"/>
        </w:trPr>
        <w:tc>
          <w:tcPr>
            <w:tcW w:w="990" w:type="dxa"/>
          </w:tcPr>
          <w:p w:rsidR="008C4D74" w:rsidRDefault="008C4D74" w:rsidP="008D10E8">
            <w:pPr>
              <w:pStyle w:val="a9"/>
              <w:widowControl/>
              <w:spacing w:line="360" w:lineRule="auto"/>
              <w:ind w:firstLineChars="0" w:firstLine="0"/>
              <w:jc w:val="center"/>
              <w:rPr>
                <w:rFonts w:ascii="宋体" w:hAnsi="宋体"/>
                <w:szCs w:val="21"/>
              </w:rPr>
            </w:pPr>
            <w:r>
              <w:rPr>
                <w:rFonts w:ascii="宋体" w:hAnsi="宋体" w:hint="eastAsia"/>
                <w:szCs w:val="21"/>
              </w:rPr>
              <w:t>3</w:t>
            </w:r>
          </w:p>
        </w:tc>
        <w:tc>
          <w:tcPr>
            <w:tcW w:w="6008" w:type="dxa"/>
          </w:tcPr>
          <w:p w:rsidR="008C4D74" w:rsidRDefault="008C4D74" w:rsidP="008D10E8">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净值型理财产品（代理）销售协议书</w:t>
            </w:r>
          </w:p>
        </w:tc>
        <w:tc>
          <w:tcPr>
            <w:tcW w:w="1924" w:type="dxa"/>
          </w:tcPr>
          <w:p w:rsidR="008C4D74" w:rsidRDefault="008C4D74" w:rsidP="008D10E8">
            <w:pPr>
              <w:pStyle w:val="a9"/>
              <w:widowControl/>
              <w:spacing w:line="360" w:lineRule="auto"/>
              <w:ind w:firstLineChars="0" w:firstLine="0"/>
              <w:jc w:val="center"/>
              <w:rPr>
                <w:rFonts w:ascii="宋体" w:hAnsi="宋体"/>
                <w:szCs w:val="21"/>
              </w:rPr>
            </w:pPr>
            <w:r>
              <w:rPr>
                <w:rFonts w:ascii="宋体" w:hAnsi="宋体" w:hint="eastAsia"/>
                <w:szCs w:val="21"/>
              </w:rPr>
              <w:t>（代理）销售</w:t>
            </w:r>
            <w:r>
              <w:rPr>
                <w:rFonts w:ascii="宋体" w:hAnsi="宋体"/>
                <w:szCs w:val="21"/>
              </w:rPr>
              <w:t>协议书</w:t>
            </w:r>
          </w:p>
        </w:tc>
      </w:tr>
      <w:tr w:rsidR="008C4D74" w:rsidTr="008D10E8">
        <w:trPr>
          <w:jc w:val="center"/>
        </w:trPr>
        <w:tc>
          <w:tcPr>
            <w:tcW w:w="990" w:type="dxa"/>
          </w:tcPr>
          <w:p w:rsidR="008C4D74" w:rsidRDefault="008C4D74" w:rsidP="008D10E8">
            <w:pPr>
              <w:pStyle w:val="a9"/>
              <w:widowControl/>
              <w:spacing w:line="360" w:lineRule="auto"/>
              <w:ind w:firstLineChars="0" w:firstLine="0"/>
              <w:jc w:val="center"/>
              <w:rPr>
                <w:rFonts w:ascii="宋体" w:hAnsi="宋体"/>
                <w:szCs w:val="21"/>
              </w:rPr>
            </w:pPr>
            <w:r>
              <w:rPr>
                <w:rFonts w:ascii="宋体" w:hAnsi="宋体"/>
                <w:szCs w:val="21"/>
              </w:rPr>
              <w:t>4</w:t>
            </w:r>
          </w:p>
        </w:tc>
        <w:tc>
          <w:tcPr>
            <w:tcW w:w="6008" w:type="dxa"/>
          </w:tcPr>
          <w:p w:rsidR="008C4D74" w:rsidRDefault="008C4D74" w:rsidP="008D10E8">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净值型理财产品风险揭示书</w:t>
            </w:r>
          </w:p>
        </w:tc>
        <w:tc>
          <w:tcPr>
            <w:tcW w:w="1924" w:type="dxa"/>
          </w:tcPr>
          <w:p w:rsidR="008C4D74" w:rsidRDefault="008C4D74" w:rsidP="008D10E8">
            <w:pPr>
              <w:widowControl/>
              <w:spacing w:line="360" w:lineRule="auto"/>
              <w:jc w:val="center"/>
              <w:rPr>
                <w:rFonts w:ascii="宋体" w:hAnsi="宋体"/>
                <w:szCs w:val="21"/>
              </w:rPr>
            </w:pPr>
            <w:r>
              <w:rPr>
                <w:rFonts w:ascii="宋体" w:hAnsi="宋体" w:hint="eastAsia"/>
                <w:szCs w:val="21"/>
              </w:rPr>
              <w:t>风险揭示书</w:t>
            </w:r>
          </w:p>
        </w:tc>
      </w:tr>
      <w:tr w:rsidR="008C4D74" w:rsidTr="008D10E8">
        <w:trPr>
          <w:trHeight w:val="431"/>
          <w:jc w:val="center"/>
        </w:trPr>
        <w:tc>
          <w:tcPr>
            <w:tcW w:w="990" w:type="dxa"/>
          </w:tcPr>
          <w:p w:rsidR="008C4D74" w:rsidRDefault="008C4D74" w:rsidP="008D10E8">
            <w:pPr>
              <w:pStyle w:val="a9"/>
              <w:widowControl/>
              <w:spacing w:line="360" w:lineRule="auto"/>
              <w:ind w:firstLineChars="0" w:firstLine="0"/>
              <w:jc w:val="center"/>
              <w:rPr>
                <w:rFonts w:ascii="宋体" w:hAnsi="宋体"/>
                <w:szCs w:val="21"/>
              </w:rPr>
            </w:pPr>
            <w:r>
              <w:rPr>
                <w:rFonts w:ascii="宋体" w:hAnsi="宋体"/>
                <w:szCs w:val="21"/>
              </w:rPr>
              <w:t>5</w:t>
            </w:r>
          </w:p>
        </w:tc>
        <w:tc>
          <w:tcPr>
            <w:tcW w:w="6008" w:type="dxa"/>
          </w:tcPr>
          <w:p w:rsidR="008C4D74" w:rsidRDefault="008C4D74" w:rsidP="008D10E8">
            <w:pPr>
              <w:widowControl/>
              <w:spacing w:line="360" w:lineRule="auto"/>
              <w:rPr>
                <w:rFonts w:ascii="宋体" w:hAnsi="宋体"/>
                <w:szCs w:val="21"/>
              </w:rPr>
            </w:pPr>
            <w:r>
              <w:rPr>
                <w:rFonts w:ascii="宋体" w:hAnsi="宋体" w:hint="eastAsia"/>
                <w:szCs w:val="21"/>
              </w:rPr>
              <w:t>兴银理财天天万利</w:t>
            </w:r>
            <w:proofErr w:type="gramStart"/>
            <w:r>
              <w:rPr>
                <w:rFonts w:ascii="宋体" w:hAnsi="宋体" w:hint="eastAsia"/>
                <w:szCs w:val="21"/>
              </w:rPr>
              <w:t>宝稳利</w:t>
            </w:r>
            <w:proofErr w:type="gramEnd"/>
            <w:r>
              <w:rPr>
                <w:rFonts w:ascii="宋体" w:hAnsi="宋体" w:hint="eastAsia"/>
                <w:szCs w:val="21"/>
              </w:rPr>
              <w:t>净值型理财产品投资者权益须知</w:t>
            </w:r>
          </w:p>
        </w:tc>
        <w:tc>
          <w:tcPr>
            <w:tcW w:w="1924" w:type="dxa"/>
          </w:tcPr>
          <w:p w:rsidR="008C4D74" w:rsidRDefault="008C4D74" w:rsidP="008D10E8">
            <w:pPr>
              <w:widowControl/>
              <w:spacing w:line="360" w:lineRule="auto"/>
              <w:jc w:val="center"/>
              <w:rPr>
                <w:rFonts w:ascii="宋体" w:hAnsi="宋体"/>
                <w:szCs w:val="21"/>
              </w:rPr>
            </w:pPr>
            <w:r>
              <w:rPr>
                <w:rFonts w:ascii="宋体" w:hAnsi="宋体" w:hint="eastAsia"/>
                <w:szCs w:val="21"/>
              </w:rPr>
              <w:t>投资者权益须知</w:t>
            </w:r>
          </w:p>
        </w:tc>
      </w:tr>
    </w:tbl>
    <w:p w:rsidR="008C4D74" w:rsidRDefault="008C4D74" w:rsidP="008C4D74">
      <w:pPr>
        <w:widowControl/>
        <w:spacing w:line="360" w:lineRule="auto"/>
        <w:jc w:val="left"/>
        <w:rPr>
          <w:rFonts w:ascii="黑体" w:eastAsia="黑体" w:hAnsi="黑体"/>
          <w:b/>
          <w:szCs w:val="21"/>
        </w:rPr>
      </w:pPr>
      <w:r>
        <w:rPr>
          <w:rFonts w:ascii="黑体" w:eastAsia="黑体" w:hAnsi="黑体" w:hint="eastAsia"/>
          <w:b/>
          <w:szCs w:val="21"/>
        </w:rPr>
        <w:t>郑重提示：</w:t>
      </w:r>
    </w:p>
    <w:p w:rsidR="008C4D74" w:rsidRDefault="008C4D74" w:rsidP="008C4D74">
      <w:pPr>
        <w:pStyle w:val="a9"/>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8C4D74" w:rsidRDefault="008C4D74" w:rsidP="008C4D74">
      <w:pPr>
        <w:pStyle w:val="a9"/>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8C4D74" w:rsidRDefault="008C4D74" w:rsidP="008C4D74">
      <w:pPr>
        <w:pStyle w:val="a9"/>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w:t>
      </w:r>
      <w:proofErr w:type="gramStart"/>
      <w:r>
        <w:rPr>
          <w:rFonts w:ascii="黑体" w:eastAsia="黑体" w:hAnsi="黑体" w:hint="eastAsia"/>
          <w:kern w:val="0"/>
          <w:szCs w:val="21"/>
        </w:rPr>
        <w:t>规</w:t>
      </w:r>
      <w:proofErr w:type="gramEnd"/>
      <w:r>
        <w:rPr>
          <w:rFonts w:ascii="黑体" w:eastAsia="黑体" w:hAnsi="黑体" w:hint="eastAsia"/>
          <w:kern w:val="0"/>
          <w:szCs w:val="21"/>
        </w:rPr>
        <w:t>性审核，使用前向理财公司备案。</w:t>
      </w:r>
    </w:p>
    <w:p w:rsidR="008C4D74" w:rsidRDefault="008C4D74" w:rsidP="008C4D74">
      <w:pPr>
        <w:pStyle w:val="a9"/>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8C4D74" w:rsidRDefault="008C4D74" w:rsidP="008C4D74">
      <w:pPr>
        <w:pStyle w:val="a9"/>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kern w:val="0"/>
          <w:szCs w:val="21"/>
        </w:rPr>
        <w:t>您风险</w:t>
      </w:r>
      <w:proofErr w:type="gramEnd"/>
      <w:r>
        <w:rPr>
          <w:rFonts w:ascii="黑体" w:eastAsia="黑体" w:hAnsi="黑体" w:hint="eastAsia"/>
          <w:kern w:val="0"/>
          <w:szCs w:val="21"/>
        </w:rPr>
        <w:t>承受能力的因素发生变化，请及时重新完成风险承受能力评估。</w:t>
      </w:r>
    </w:p>
    <w:p w:rsidR="008C4D74" w:rsidRDefault="008C4D74" w:rsidP="008C4D74">
      <w:pPr>
        <w:pStyle w:val="a9"/>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8C4D74" w:rsidRDefault="008C4D74" w:rsidP="008C4D74">
      <w:pPr>
        <w:pStyle w:val="a9"/>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w:t>
      </w:r>
      <w:r>
        <w:rPr>
          <w:rFonts w:ascii="黑体" w:eastAsia="黑体" w:hAnsi="黑体" w:hint="eastAsia"/>
          <w:kern w:val="0"/>
          <w:szCs w:val="21"/>
        </w:rPr>
        <w:lastRenderedPageBreak/>
        <w:t>“★”标识表示强调，“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8C4D74" w:rsidRPr="00C72E7B" w:rsidRDefault="008C4D74" w:rsidP="008C4D74">
      <w:pPr>
        <w:tabs>
          <w:tab w:val="left" w:pos="6660"/>
        </w:tabs>
        <w:spacing w:line="360" w:lineRule="auto"/>
        <w:jc w:val="center"/>
        <w:rPr>
          <w:bCs/>
          <w:sz w:val="44"/>
        </w:rPr>
      </w:pPr>
    </w:p>
    <w:p w:rsidR="008C4D74" w:rsidRDefault="008C4D74" w:rsidP="008C4D74">
      <w:pPr>
        <w:widowControl/>
        <w:spacing w:line="360" w:lineRule="auto"/>
        <w:jc w:val="center"/>
        <w:rPr>
          <w:rStyle w:val="a6"/>
          <w:rFonts w:ascii="宋体" w:hAnsi="宋体"/>
          <w:sz w:val="30"/>
          <w:szCs w:val="30"/>
        </w:rPr>
      </w:pPr>
      <w:r>
        <w:rPr>
          <w:rFonts w:ascii="宋体" w:hAnsi="宋体" w:hint="eastAsia"/>
          <w:b/>
          <w:sz w:val="30"/>
          <w:szCs w:val="30"/>
        </w:rPr>
        <w:t>理财非存款、产品有风险、投资须谨慎！</w:t>
      </w:r>
    </w:p>
    <w:p w:rsidR="008C4D74" w:rsidRDefault="008C4D74" w:rsidP="008C4D74">
      <w:pPr>
        <w:tabs>
          <w:tab w:val="left" w:pos="6660"/>
        </w:tabs>
        <w:spacing w:line="360" w:lineRule="auto"/>
        <w:jc w:val="center"/>
        <w:rPr>
          <w:bCs/>
          <w:sz w:val="44"/>
        </w:rPr>
      </w:pPr>
    </w:p>
    <w:p w:rsidR="008C4D74" w:rsidRDefault="008C4D74" w:rsidP="008C4D74">
      <w:pPr>
        <w:spacing w:line="360" w:lineRule="auto"/>
        <w:jc w:val="center"/>
        <w:rPr>
          <w:b/>
          <w:sz w:val="52"/>
        </w:rPr>
      </w:pPr>
    </w:p>
    <w:p w:rsidR="008C4D74" w:rsidRDefault="008C4D74" w:rsidP="008C4D74">
      <w:pPr>
        <w:spacing w:line="360" w:lineRule="auto"/>
        <w:jc w:val="center"/>
        <w:rPr>
          <w:b/>
        </w:rPr>
      </w:pPr>
      <w:r>
        <w:rPr>
          <w:rFonts w:ascii="黑体" w:eastAsia="黑体" w:hAnsi="黑体"/>
          <w:b/>
          <w:noProof/>
          <w:sz w:val="28"/>
          <w:szCs w:val="28"/>
        </w:rPr>
        <w:drawing>
          <wp:inline distT="0" distB="0" distL="0" distR="0" wp14:anchorId="590655F1" wp14:editId="631BF636">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8C4D74" w:rsidRDefault="008C4D74" w:rsidP="008C4D74">
      <w:pPr>
        <w:spacing w:line="360" w:lineRule="auto"/>
        <w:jc w:val="center"/>
        <w:rPr>
          <w:b/>
          <w:sz w:val="52"/>
        </w:rPr>
      </w:pPr>
    </w:p>
    <w:p w:rsidR="008C4D74" w:rsidRDefault="008C4D74" w:rsidP="008C4D74">
      <w:pPr>
        <w:adjustRightInd w:val="0"/>
        <w:spacing w:line="360" w:lineRule="auto"/>
        <w:jc w:val="center"/>
        <w:rPr>
          <w:rStyle w:val="a6"/>
          <w:rFonts w:ascii="黑体" w:eastAsia="黑体" w:hAnsi="黑体" w:cs="宋体"/>
          <w:sz w:val="44"/>
          <w:szCs w:val="44"/>
        </w:rPr>
      </w:pPr>
      <w:r>
        <w:rPr>
          <w:rStyle w:val="a6"/>
          <w:rFonts w:ascii="黑体" w:eastAsia="黑体" w:hAnsi="黑体" w:cs="宋体" w:hint="eastAsia"/>
          <w:sz w:val="44"/>
          <w:szCs w:val="44"/>
        </w:rPr>
        <w:t>兴银理财天天万利</w:t>
      </w:r>
      <w:proofErr w:type="gramStart"/>
      <w:r>
        <w:rPr>
          <w:rStyle w:val="a6"/>
          <w:rFonts w:ascii="黑体" w:eastAsia="黑体" w:hAnsi="黑体" w:cs="宋体" w:hint="eastAsia"/>
          <w:sz w:val="44"/>
          <w:szCs w:val="44"/>
        </w:rPr>
        <w:t>宝稳利</w:t>
      </w:r>
      <w:proofErr w:type="gramEnd"/>
      <w:r>
        <w:rPr>
          <w:rStyle w:val="a6"/>
          <w:rFonts w:ascii="黑体" w:eastAsia="黑体" w:hAnsi="黑体" w:cs="宋体" w:hint="eastAsia"/>
          <w:sz w:val="44"/>
          <w:szCs w:val="44"/>
        </w:rPr>
        <w:t>净值型理财产品投资协议书</w:t>
      </w:r>
    </w:p>
    <w:p w:rsidR="008C4D74" w:rsidRDefault="008C4D74" w:rsidP="008C4D74">
      <w:pPr>
        <w:spacing w:line="360" w:lineRule="auto"/>
        <w:jc w:val="center"/>
        <w:rPr>
          <w:b/>
          <w:sz w:val="28"/>
          <w:szCs w:val="28"/>
        </w:rPr>
      </w:pPr>
    </w:p>
    <w:p w:rsidR="008C4D74" w:rsidRDefault="008C4D74" w:rsidP="008C4D74">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r>
        <w:rPr>
          <w:rFonts w:ascii="黑体" w:eastAsia="黑体" w:hAnsi="黑体"/>
          <w:b/>
          <w:sz w:val="28"/>
          <w:szCs w:val="28"/>
        </w:rPr>
        <w:t xml:space="preserve">                 </w:t>
      </w:r>
      <w:r>
        <w:rPr>
          <w:rFonts w:ascii="黑体" w:eastAsia="黑体" w:hAnsi="黑体" w:hint="eastAsia"/>
          <w:b/>
          <w:sz w:val="28"/>
          <w:szCs w:val="28"/>
        </w:rPr>
        <w:t>】</w:t>
      </w:r>
    </w:p>
    <w:p w:rsidR="008C4D74" w:rsidRDefault="008C4D74" w:rsidP="008C4D74">
      <w:pPr>
        <w:spacing w:line="360" w:lineRule="auto"/>
        <w:jc w:val="center"/>
        <w:rPr>
          <w:b/>
          <w:sz w:val="28"/>
          <w:szCs w:val="28"/>
        </w:rPr>
      </w:pPr>
    </w:p>
    <w:p w:rsidR="008C4D74" w:rsidRDefault="008C4D74" w:rsidP="008C4D74">
      <w:pPr>
        <w:spacing w:line="360" w:lineRule="auto"/>
        <w:jc w:val="center"/>
        <w:rPr>
          <w:b/>
          <w:sz w:val="28"/>
          <w:szCs w:val="28"/>
        </w:rPr>
      </w:pPr>
    </w:p>
    <w:p w:rsidR="008C4D74" w:rsidRDefault="008C4D74" w:rsidP="008C4D74">
      <w:pPr>
        <w:spacing w:line="360" w:lineRule="auto"/>
        <w:jc w:val="center"/>
        <w:rPr>
          <w:b/>
          <w:sz w:val="28"/>
          <w:szCs w:val="28"/>
        </w:rPr>
      </w:pPr>
    </w:p>
    <w:p w:rsidR="008C4D74" w:rsidRDefault="008C4D74" w:rsidP="008C4D74">
      <w:pPr>
        <w:spacing w:line="360" w:lineRule="auto"/>
        <w:jc w:val="center"/>
        <w:rPr>
          <w:b/>
          <w:sz w:val="28"/>
          <w:szCs w:val="28"/>
        </w:rPr>
      </w:pPr>
    </w:p>
    <w:p w:rsidR="008C4D74" w:rsidRDefault="008C4D74" w:rsidP="008C4D74">
      <w:pPr>
        <w:adjustRightInd w:val="0"/>
        <w:spacing w:line="360" w:lineRule="auto"/>
        <w:jc w:val="center"/>
        <w:rPr>
          <w:rStyle w:val="a6"/>
          <w:rFonts w:ascii="宋体" w:hAnsi="宋体"/>
          <w:sz w:val="28"/>
          <w:szCs w:val="28"/>
        </w:rPr>
      </w:pPr>
      <w:bookmarkStart w:id="0" w:name="_Toc139991726"/>
      <w:bookmarkStart w:id="1" w:name="_Toc123112263"/>
      <w:bookmarkStart w:id="2" w:name="_Toc139992301"/>
      <w:bookmarkStart w:id="3" w:name="_Toc123701383"/>
      <w:bookmarkStart w:id="4" w:name="_Toc123112224"/>
      <w:r>
        <w:rPr>
          <w:rStyle w:val="a6"/>
          <w:rFonts w:ascii="宋体" w:hAnsi="宋体" w:hint="eastAsia"/>
          <w:sz w:val="28"/>
          <w:szCs w:val="28"/>
        </w:rPr>
        <w:t>理财产品管理人：</w:t>
      </w:r>
      <w:bookmarkEnd w:id="0"/>
      <w:bookmarkEnd w:id="1"/>
      <w:bookmarkEnd w:id="2"/>
      <w:bookmarkEnd w:id="3"/>
      <w:bookmarkEnd w:id="4"/>
      <w:r>
        <w:rPr>
          <w:rStyle w:val="a6"/>
          <w:rFonts w:ascii="宋体" w:hAnsi="宋体" w:hint="eastAsia"/>
          <w:sz w:val="28"/>
          <w:szCs w:val="28"/>
        </w:rPr>
        <w:t>兴银理财有限责任公司</w:t>
      </w:r>
    </w:p>
    <w:p w:rsidR="008C4D74" w:rsidRDefault="008C4D74" w:rsidP="008C4D74">
      <w:pPr>
        <w:adjustRightInd w:val="0"/>
        <w:spacing w:line="360" w:lineRule="auto"/>
        <w:jc w:val="center"/>
        <w:rPr>
          <w:rStyle w:val="a6"/>
          <w:rFonts w:ascii="黑体" w:eastAsia="黑体" w:hAnsi="黑体" w:cs="宋体"/>
          <w:sz w:val="28"/>
          <w:szCs w:val="28"/>
        </w:rPr>
      </w:pPr>
      <w:bookmarkStart w:id="5" w:name="_Toc139992302"/>
      <w:bookmarkStart w:id="6" w:name="_Toc123701384"/>
      <w:bookmarkStart w:id="7" w:name="_Toc123112225"/>
      <w:bookmarkStart w:id="8" w:name="_Toc139991727"/>
      <w:bookmarkStart w:id="9" w:name="_Toc123112264"/>
    </w:p>
    <w:bookmarkEnd w:id="5"/>
    <w:bookmarkEnd w:id="6"/>
    <w:bookmarkEnd w:id="7"/>
    <w:bookmarkEnd w:id="8"/>
    <w:bookmarkEnd w:id="9"/>
    <w:p w:rsidR="008C4D74" w:rsidRDefault="008C4D74" w:rsidP="008C4D74">
      <w:pPr>
        <w:adjustRightInd w:val="0"/>
        <w:spacing w:line="360" w:lineRule="auto"/>
        <w:jc w:val="center"/>
        <w:rPr>
          <w:rStyle w:val="a6"/>
          <w:rFonts w:ascii="黑体" w:eastAsia="黑体" w:hAnsi="黑体" w:cs="宋体"/>
          <w:sz w:val="28"/>
          <w:szCs w:val="28"/>
        </w:rPr>
      </w:pPr>
    </w:p>
    <w:p w:rsidR="008C4D74" w:rsidRDefault="008C4D74" w:rsidP="008C4D74">
      <w:pPr>
        <w:adjustRightInd w:val="0"/>
        <w:spacing w:line="360" w:lineRule="auto"/>
        <w:jc w:val="center"/>
        <w:rPr>
          <w:rStyle w:val="a6"/>
          <w:rFonts w:ascii="宋体" w:hAnsi="宋体"/>
          <w:sz w:val="28"/>
          <w:szCs w:val="28"/>
        </w:rPr>
      </w:pPr>
      <w:r>
        <w:rPr>
          <w:rStyle w:val="a6"/>
          <w:rFonts w:ascii="宋体" w:hAnsi="宋体" w:hint="eastAsia"/>
          <w:sz w:val="28"/>
          <w:szCs w:val="28"/>
        </w:rPr>
        <w:t>日期</w:t>
      </w:r>
      <w:r>
        <w:rPr>
          <w:rStyle w:val="a6"/>
          <w:rFonts w:ascii="宋体" w:hAnsi="宋体"/>
          <w:sz w:val="28"/>
          <w:szCs w:val="28"/>
        </w:rPr>
        <w:t>：</w:t>
      </w:r>
      <w:r>
        <w:rPr>
          <w:rStyle w:val="a6"/>
          <w:rFonts w:ascii="宋体" w:hAnsi="宋体" w:hint="eastAsia"/>
          <w:sz w:val="28"/>
          <w:szCs w:val="28"/>
        </w:rPr>
        <w:t>【2022】年【</w:t>
      </w:r>
      <w:r>
        <w:rPr>
          <w:rStyle w:val="a6"/>
          <w:rFonts w:ascii="宋体" w:hAnsi="宋体"/>
          <w:sz w:val="28"/>
          <w:szCs w:val="28"/>
        </w:rPr>
        <w:t>9</w:t>
      </w:r>
      <w:r>
        <w:rPr>
          <w:rStyle w:val="a6"/>
          <w:rFonts w:ascii="宋体" w:hAnsi="宋体" w:hint="eastAsia"/>
          <w:sz w:val="28"/>
          <w:szCs w:val="28"/>
        </w:rPr>
        <w:t>】月</w:t>
      </w:r>
    </w:p>
    <w:p w:rsidR="008C4D74" w:rsidRDefault="008C4D74" w:rsidP="008C4D74">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8C4D74" w:rsidRDefault="008C4D74" w:rsidP="008C4D74">
      <w:pPr>
        <w:tabs>
          <w:tab w:val="left" w:pos="8070"/>
          <w:tab w:val="right" w:pos="8306"/>
        </w:tabs>
        <w:autoSpaceDE w:val="0"/>
        <w:autoSpaceDN w:val="0"/>
        <w:adjustRightInd w:val="0"/>
        <w:snapToGrid w:val="0"/>
        <w:spacing w:beforeLines="50" w:before="156" w:line="360" w:lineRule="auto"/>
        <w:rPr>
          <w:bCs/>
          <w:sz w:val="32"/>
        </w:rPr>
      </w:pPr>
    </w:p>
    <w:tbl>
      <w:tblPr>
        <w:tblStyle w:val="a8"/>
        <w:tblW w:w="85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22"/>
      </w:tblGrid>
      <w:tr w:rsidR="008C4D74" w:rsidTr="008D10E8">
        <w:tc>
          <w:tcPr>
            <w:tcW w:w="8522" w:type="dxa"/>
          </w:tcPr>
          <w:p w:rsidR="008C4D74" w:rsidRDefault="008C4D74" w:rsidP="008D10E8">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sz w:val="32"/>
                <w:szCs w:val="32"/>
              </w:rPr>
              <w:t>特别提示页</w:t>
            </w:r>
          </w:p>
        </w:tc>
      </w:tr>
      <w:tr w:rsidR="008C4D74" w:rsidTr="008D10E8">
        <w:tc>
          <w:tcPr>
            <w:tcW w:w="8522" w:type="dxa"/>
          </w:tcPr>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w:t>
            </w:r>
            <w:r>
              <w:rPr>
                <w:rFonts w:ascii="黑体" w:eastAsia="黑体" w:hAnsi="黑体"/>
                <w:bCs/>
                <w:sz w:val="18"/>
                <w:szCs w:val="18"/>
              </w:rPr>
              <w:t>须</w:t>
            </w:r>
            <w:r>
              <w:rPr>
                <w:rFonts w:ascii="黑体" w:eastAsia="黑体" w:hAnsi="黑体" w:hint="eastAsia"/>
                <w:bCs/>
                <w:sz w:val="18"/>
                <w:szCs w:val="18"/>
              </w:rPr>
              <w:t>谨慎。</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p>
          <w:p w:rsidR="008C4D74" w:rsidRDefault="008C4D74" w:rsidP="008D10E8">
            <w:pPr>
              <w:pStyle w:val="a5"/>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w:t>
            </w:r>
            <w:proofErr w:type="gramStart"/>
            <w:r>
              <w:rPr>
                <w:rFonts w:ascii="黑体" w:eastAsia="黑体" w:hAnsi="黑体" w:hint="eastAsia"/>
                <w:bCs/>
                <w:sz w:val="18"/>
                <w:szCs w:val="18"/>
              </w:rPr>
              <w:t>您风险</w:t>
            </w:r>
            <w:proofErr w:type="gramEnd"/>
            <w:r>
              <w:rPr>
                <w:rFonts w:ascii="黑体" w:eastAsia="黑体" w:hAnsi="黑体" w:hint="eastAsia"/>
                <w:bCs/>
                <w:sz w:val="18"/>
                <w:szCs w:val="18"/>
              </w:rPr>
              <w:t>承受能力的因素发生变化，请及时重新完成风险承受能力评估。</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w:t>
            </w:r>
            <w:proofErr w:type="gramStart"/>
            <w:r>
              <w:rPr>
                <w:rFonts w:ascii="黑体" w:eastAsia="黑体" w:hAnsi="黑体" w:hint="eastAsia"/>
                <w:bCs/>
                <w:sz w:val="18"/>
                <w:szCs w:val="18"/>
              </w:rPr>
              <w:t>钱</w:t>
            </w:r>
            <w:r>
              <w:rPr>
                <w:rFonts w:ascii="黑体" w:eastAsia="黑体" w:hAnsi="黑体"/>
                <w:bCs/>
                <w:sz w:val="18"/>
                <w:szCs w:val="18"/>
              </w:rPr>
              <w:t>工作</w:t>
            </w:r>
            <w:proofErr w:type="gramEnd"/>
            <w:r>
              <w:rPr>
                <w:rFonts w:ascii="黑体" w:eastAsia="黑体" w:hAnsi="黑体" w:hint="eastAsia"/>
                <w:bCs/>
                <w:sz w:val="18"/>
                <w:szCs w:val="18"/>
              </w:rPr>
              <w:t>等需要，向登记部门或监管机构及相关方提供投资者相关信息。</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p>
          <w:p w:rsidR="008C4D74" w:rsidRDefault="008C4D74" w:rsidP="008D10E8">
            <w:pPr>
              <w:spacing w:line="360" w:lineRule="auto"/>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关于理财产品信息披露的提示</w:t>
            </w:r>
          </w:p>
          <w:p w:rsidR="008C4D74" w:rsidRDefault="008C4D74" w:rsidP="008D10E8">
            <w:pPr>
              <w:spacing w:line="360" w:lineRule="auto"/>
              <w:rPr>
                <w:rFonts w:ascii="黑体" w:eastAsia="黑体" w:hAnsi="黑体"/>
                <w:bCs/>
                <w:sz w:val="18"/>
                <w:szCs w:val="18"/>
              </w:rPr>
            </w:pPr>
            <w:r>
              <w:rPr>
                <w:rFonts w:ascii="黑体" w:eastAsia="黑体" w:hAnsi="黑体" w:hint="eastAsia"/>
                <w:bCs/>
                <w:sz w:val="18"/>
                <w:szCs w:val="18"/>
              </w:rPr>
              <w:t>在购买本产品后，投资者应随时关注该理财产品的信息披露情况，及时获取相关信息。</w:t>
            </w: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p>
          <w:p w:rsidR="008C4D74" w:rsidRDefault="008C4D74" w:rsidP="008D10E8">
            <w:pPr>
              <w:pStyle w:val="a5"/>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关于理财产品咨询的提示</w:t>
            </w:r>
          </w:p>
          <w:p w:rsidR="008C4D74" w:rsidRDefault="008C4D74" w:rsidP="008D10E8">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sz w:val="18"/>
                <w:szCs w:val="18"/>
              </w:rPr>
              <w:t>投资者对本理财产品及销售文件的内容有任何疑问，</w:t>
            </w:r>
            <w:r>
              <w:rPr>
                <w:rFonts w:ascii="黑体" w:eastAsia="黑体" w:hAnsi="黑体" w:hint="eastAsia"/>
                <w:color w:val="000000"/>
                <w:sz w:val="18"/>
                <w:szCs w:val="18"/>
              </w:rPr>
              <w:t>请向产品管理人或销售机构咨询。</w:t>
            </w:r>
          </w:p>
        </w:tc>
      </w:tr>
    </w:tbl>
    <w:p w:rsidR="008C4D74" w:rsidRDefault="008C4D74" w:rsidP="008C4D7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39991729"/>
      <w:bookmarkStart w:id="11" w:name="_Toc123112266"/>
      <w:bookmarkStart w:id="12" w:name="_Toc123112227"/>
      <w:bookmarkStart w:id="13" w:name="_Toc123701386"/>
    </w:p>
    <w:p w:rsidR="008C4D74" w:rsidRDefault="008C4D74" w:rsidP="008C4D7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8C4D74" w:rsidRDefault="008C4D74" w:rsidP="008C4D7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8C4D74" w:rsidRDefault="008C4D74" w:rsidP="008C4D74">
      <w:pPr>
        <w:widowControl/>
        <w:jc w:val="left"/>
        <w:rPr>
          <w:rFonts w:ascii="宋体" w:hAnsi="宋体" w:cs="仿宋_GB2312"/>
          <w:b/>
          <w:kern w:val="0"/>
          <w:sz w:val="18"/>
          <w:szCs w:val="18"/>
        </w:rPr>
      </w:pPr>
      <w:r>
        <w:rPr>
          <w:rFonts w:ascii="宋体" w:hAnsi="宋体" w:cs="仿宋_GB2312"/>
          <w:b/>
          <w:kern w:val="0"/>
          <w:sz w:val="18"/>
          <w:szCs w:val="18"/>
        </w:rPr>
        <w:br w:type="page"/>
      </w:r>
    </w:p>
    <w:p w:rsidR="008C4D74" w:rsidRDefault="008C4D74" w:rsidP="008C4D7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8C4D74" w:rsidTr="008D10E8">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8C4D74" w:rsidRDefault="008C4D74" w:rsidP="008D10E8">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8C4D74" w:rsidRDefault="008C4D74" w:rsidP="008D10E8">
            <w:pPr>
              <w:pStyle w:val="a4"/>
              <w:spacing w:line="360" w:lineRule="auto"/>
              <w:rPr>
                <w:rFonts w:ascii="宋体" w:hAnsi="宋体"/>
                <w:b/>
                <w:bCs/>
                <w:sz w:val="28"/>
                <w:szCs w:val="28"/>
              </w:rPr>
            </w:pPr>
          </w:p>
        </w:tc>
      </w:tr>
      <w:tr w:rsidR="008C4D74" w:rsidTr="008D10E8">
        <w:trPr>
          <w:cantSplit/>
          <w:trHeight w:hRule="exact" w:val="170"/>
          <w:jc w:val="center"/>
        </w:trPr>
        <w:tc>
          <w:tcPr>
            <w:tcW w:w="9221" w:type="dxa"/>
            <w:gridSpan w:val="6"/>
            <w:shd w:val="pct10" w:color="A6A6A6" w:themeColor="background1" w:themeShade="A6" w:fill="A6A6A6" w:themeFill="background1" w:themeFillShade="A6"/>
            <w:vAlign w:val="center"/>
          </w:tcPr>
          <w:p w:rsidR="008C4D74" w:rsidRDefault="008C4D74" w:rsidP="008D10E8">
            <w:pPr>
              <w:pStyle w:val="a4"/>
              <w:spacing w:line="360" w:lineRule="auto"/>
              <w:rPr>
                <w:rFonts w:ascii="宋体" w:hAnsi="宋体"/>
                <w:b/>
                <w:bCs/>
                <w:sz w:val="28"/>
                <w:szCs w:val="28"/>
              </w:rPr>
            </w:pPr>
          </w:p>
        </w:tc>
      </w:tr>
      <w:tr w:rsidR="008C4D74" w:rsidTr="008D10E8">
        <w:trPr>
          <w:trHeight w:hRule="exact" w:val="340"/>
          <w:jc w:val="center"/>
        </w:trPr>
        <w:tc>
          <w:tcPr>
            <w:tcW w:w="1142" w:type="dxa"/>
            <w:vMerge w:val="restart"/>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投资者信息</w:t>
            </w:r>
          </w:p>
        </w:tc>
        <w:tc>
          <w:tcPr>
            <w:tcW w:w="708" w:type="dxa"/>
            <w:vMerge w:val="restart"/>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8C4D74" w:rsidRDefault="008C4D74" w:rsidP="008D10E8">
            <w:pPr>
              <w:spacing w:line="360" w:lineRule="auto"/>
              <w:jc w:val="left"/>
              <w:rPr>
                <w:rFonts w:ascii="宋体" w:hAnsi="宋体"/>
                <w:b/>
                <w:bCs/>
                <w:sz w:val="18"/>
                <w:szCs w:val="18"/>
              </w:rPr>
            </w:pPr>
          </w:p>
        </w:tc>
        <w:tc>
          <w:tcPr>
            <w:tcW w:w="1417"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8C4D74" w:rsidRDefault="008C4D74" w:rsidP="008D10E8">
            <w:pPr>
              <w:spacing w:line="360" w:lineRule="auto"/>
              <w:jc w:val="left"/>
              <w:rPr>
                <w:rFonts w:ascii="宋体" w:hAnsi="宋体"/>
                <w:b/>
                <w:bCs/>
                <w:sz w:val="18"/>
                <w:szCs w:val="18"/>
              </w:rPr>
            </w:pPr>
          </w:p>
        </w:tc>
        <w:tc>
          <w:tcPr>
            <w:tcW w:w="1417"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val="restart"/>
            <w:tcBorders>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tcBorders>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340"/>
          <w:jc w:val="center"/>
        </w:trPr>
        <w:tc>
          <w:tcPr>
            <w:tcW w:w="1142" w:type="dxa"/>
            <w:vMerge/>
            <w:tcBorders>
              <w:bottom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708" w:type="dxa"/>
            <w:vMerge/>
            <w:tcBorders>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r>
      <w:tr w:rsidR="008C4D74" w:rsidTr="008D10E8">
        <w:trPr>
          <w:trHeight w:hRule="exact" w:val="170"/>
          <w:jc w:val="center"/>
        </w:trPr>
        <w:tc>
          <w:tcPr>
            <w:tcW w:w="9221" w:type="dxa"/>
            <w:gridSpan w:val="6"/>
            <w:shd w:val="pct10" w:color="FFFFFF" w:fill="A6A6A6" w:themeFill="background1" w:themeFillShade="A6"/>
            <w:vAlign w:val="center"/>
          </w:tcPr>
          <w:p w:rsidR="008C4D74" w:rsidRDefault="008C4D74" w:rsidP="008D10E8">
            <w:pPr>
              <w:pStyle w:val="a4"/>
              <w:pBdr>
                <w:bottom w:val="none" w:sz="0" w:space="0" w:color="auto"/>
              </w:pBdr>
              <w:spacing w:line="360" w:lineRule="auto"/>
              <w:rPr>
                <w:rFonts w:ascii="宋体" w:hAnsi="宋体"/>
                <w:b/>
                <w:bCs/>
                <w:szCs w:val="18"/>
              </w:rPr>
            </w:pPr>
          </w:p>
        </w:tc>
      </w:tr>
      <w:tr w:rsidR="008C4D74" w:rsidTr="008D10E8">
        <w:trPr>
          <w:trHeight w:val="402"/>
          <w:jc w:val="center"/>
        </w:trPr>
        <w:tc>
          <w:tcPr>
            <w:tcW w:w="1142" w:type="dxa"/>
            <w:vMerge w:val="restart"/>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8C4D74" w:rsidRDefault="008C4D74" w:rsidP="008D10E8">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8C4D74" w:rsidTr="008D10E8">
        <w:trPr>
          <w:trHeight w:val="375"/>
          <w:jc w:val="center"/>
        </w:trPr>
        <w:tc>
          <w:tcPr>
            <w:tcW w:w="1142" w:type="dxa"/>
            <w:vMerge/>
            <w:tcBorders>
              <w:bottom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8C4D74" w:rsidRDefault="008C4D74" w:rsidP="008D10E8">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w:t>
            </w:r>
            <w:proofErr w:type="gramStart"/>
            <w:r>
              <w:rPr>
                <w:rFonts w:ascii="宋体" w:hAnsi="宋体" w:hint="eastAsia"/>
                <w:bCs/>
                <w:sz w:val="18"/>
                <w:szCs w:val="18"/>
              </w:rPr>
              <w:t>经银保</w:t>
            </w:r>
            <w:proofErr w:type="gramEnd"/>
            <w:r>
              <w:rPr>
                <w:rFonts w:ascii="宋体" w:hAnsi="宋体" w:hint="eastAsia"/>
                <w:bCs/>
                <w:sz w:val="18"/>
                <w:szCs w:val="18"/>
              </w:rPr>
              <w:t>监会批准的其他业务等。</w:t>
            </w:r>
          </w:p>
        </w:tc>
      </w:tr>
      <w:tr w:rsidR="008C4D74" w:rsidTr="008D10E8">
        <w:trPr>
          <w:trHeight w:hRule="exact" w:val="170"/>
          <w:jc w:val="center"/>
        </w:trPr>
        <w:tc>
          <w:tcPr>
            <w:tcW w:w="9221" w:type="dxa"/>
            <w:gridSpan w:val="6"/>
            <w:shd w:val="pct10" w:color="FFFFFF" w:fill="A6A6A6" w:themeFill="background1" w:themeFillShade="A6"/>
            <w:vAlign w:val="center"/>
          </w:tcPr>
          <w:p w:rsidR="008C4D74" w:rsidRDefault="008C4D74" w:rsidP="008D10E8">
            <w:pPr>
              <w:spacing w:line="360" w:lineRule="auto"/>
              <w:jc w:val="left"/>
              <w:rPr>
                <w:rFonts w:ascii="宋体" w:hAnsi="宋体"/>
                <w:bCs/>
                <w:sz w:val="18"/>
                <w:szCs w:val="18"/>
              </w:rPr>
            </w:pPr>
          </w:p>
        </w:tc>
      </w:tr>
      <w:tr w:rsidR="008C4D74" w:rsidTr="008D10E8">
        <w:trPr>
          <w:trHeight w:val="291"/>
          <w:jc w:val="center"/>
        </w:trPr>
        <w:tc>
          <w:tcPr>
            <w:tcW w:w="1142" w:type="dxa"/>
            <w:vMerge w:val="restart"/>
            <w:shd w:val="solid" w:color="FFFFFF" w:fill="FFFFFF"/>
            <w:vAlign w:val="center"/>
          </w:tcPr>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8C4D74" w:rsidRDefault="008C4D74" w:rsidP="008D10E8">
            <w:pPr>
              <w:spacing w:line="360" w:lineRule="auto"/>
              <w:jc w:val="left"/>
              <w:rPr>
                <w:rFonts w:ascii="宋体" w:hAnsi="宋体"/>
                <w:bCs/>
                <w:sz w:val="18"/>
                <w:szCs w:val="18"/>
              </w:rPr>
            </w:pPr>
            <w:r w:rsidRPr="00B41BD4">
              <w:rPr>
                <w:rFonts w:ascii="宋体" w:hAnsi="宋体" w:hint="eastAsia"/>
                <w:bCs/>
                <w:sz w:val="18"/>
                <w:szCs w:val="18"/>
              </w:rPr>
              <w:t>兴业银行天天万利</w:t>
            </w:r>
            <w:proofErr w:type="gramStart"/>
            <w:r w:rsidRPr="00B41BD4">
              <w:rPr>
                <w:rFonts w:ascii="宋体" w:hAnsi="宋体" w:hint="eastAsia"/>
                <w:bCs/>
                <w:sz w:val="18"/>
                <w:szCs w:val="18"/>
              </w:rPr>
              <w:t>宝稳利</w:t>
            </w:r>
            <w:proofErr w:type="gramEnd"/>
            <w:r w:rsidRPr="00B41BD4">
              <w:rPr>
                <w:rFonts w:ascii="宋体" w:hAnsi="宋体" w:hint="eastAsia"/>
                <w:bCs/>
                <w:sz w:val="18"/>
                <w:szCs w:val="18"/>
              </w:rPr>
              <w:t>2号净值型理财产品D款</w:t>
            </w:r>
          </w:p>
        </w:tc>
      </w:tr>
      <w:tr w:rsidR="008C4D74" w:rsidTr="008D10E8">
        <w:trPr>
          <w:trHeight w:val="291"/>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1690" w:type="dxa"/>
            <w:gridSpan w:val="2"/>
            <w:shd w:val="solid" w:color="FFFFFF" w:fill="FFFFFF"/>
            <w:vAlign w:val="center"/>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8C4D74" w:rsidRDefault="008C4D74" w:rsidP="008D10E8">
            <w:pPr>
              <w:spacing w:line="360" w:lineRule="auto"/>
              <w:jc w:val="left"/>
              <w:rPr>
                <w:rFonts w:ascii="宋体" w:hAnsi="宋体"/>
                <w:bCs/>
                <w:sz w:val="18"/>
                <w:szCs w:val="18"/>
              </w:rPr>
            </w:pPr>
            <w:r>
              <w:rPr>
                <w:rFonts w:ascii="宋体" w:hAnsi="宋体" w:hint="eastAsia"/>
                <w:bCs/>
                <w:sz w:val="18"/>
                <w:szCs w:val="18"/>
              </w:rPr>
              <w:t>【</w:t>
            </w:r>
            <w:r w:rsidRPr="00C72E7B">
              <w:rPr>
                <w:rFonts w:ascii="宋体" w:hAnsi="宋体" w:hint="eastAsia"/>
                <w:bCs/>
                <w:sz w:val="18"/>
                <w:szCs w:val="18"/>
              </w:rPr>
              <w:t>稳利恒盈</w:t>
            </w:r>
            <w:r>
              <w:rPr>
                <w:rFonts w:ascii="宋体" w:hAnsi="宋体"/>
                <w:bCs/>
                <w:sz w:val="18"/>
                <w:szCs w:val="18"/>
              </w:rPr>
              <w:t>D</w:t>
            </w:r>
            <w:r w:rsidRPr="00C72E7B">
              <w:rPr>
                <w:rFonts w:ascii="宋体" w:hAnsi="宋体" w:hint="eastAsia"/>
                <w:bCs/>
                <w:sz w:val="18"/>
                <w:szCs w:val="18"/>
              </w:rPr>
              <w:t xml:space="preserve"> 6个月</w:t>
            </w:r>
            <w:r>
              <w:rPr>
                <w:rFonts w:ascii="宋体" w:hAnsi="宋体" w:hint="eastAsia"/>
                <w:bCs/>
                <w:sz w:val="18"/>
                <w:szCs w:val="18"/>
              </w:rPr>
              <w:t>】</w:t>
            </w:r>
          </w:p>
        </w:tc>
      </w:tr>
      <w:tr w:rsidR="008C4D74" w:rsidTr="008D10E8">
        <w:trPr>
          <w:trHeight w:val="291"/>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1690" w:type="dxa"/>
            <w:gridSpan w:val="2"/>
            <w:shd w:val="solid" w:color="FFFFFF" w:fill="FFFFFF"/>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8C4D74" w:rsidRDefault="008C4D74" w:rsidP="008D10E8">
            <w:pPr>
              <w:spacing w:line="360" w:lineRule="auto"/>
              <w:jc w:val="left"/>
              <w:rPr>
                <w:rFonts w:ascii="宋体" w:hAnsi="宋体"/>
                <w:bCs/>
                <w:sz w:val="18"/>
                <w:szCs w:val="18"/>
              </w:rPr>
            </w:pPr>
            <w:r>
              <w:rPr>
                <w:rFonts w:ascii="宋体" w:hAnsi="宋体" w:hint="eastAsia"/>
                <w:bCs/>
                <w:sz w:val="18"/>
                <w:szCs w:val="18"/>
              </w:rPr>
              <w:t>【</w:t>
            </w:r>
            <w:r w:rsidRPr="008D5E1E">
              <w:rPr>
                <w:rFonts w:ascii="宋体" w:hAnsi="宋体"/>
                <w:bCs/>
                <w:sz w:val="18"/>
                <w:szCs w:val="18"/>
              </w:rPr>
              <w:t>Z7002020000021</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8" w:history="1">
              <w:r>
                <w:rPr>
                  <w:rFonts w:ascii="宋体" w:hAnsi="宋体"/>
                  <w:bCs/>
                  <w:sz w:val="18"/>
                  <w:szCs w:val="18"/>
                </w:rPr>
                <w:t>www.chinawealth.com.cn</w:t>
              </w:r>
            </w:hyperlink>
          </w:p>
        </w:tc>
      </w:tr>
      <w:tr w:rsidR="008C4D74" w:rsidTr="008D10E8">
        <w:trPr>
          <w:trHeight w:val="9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1690" w:type="dxa"/>
            <w:gridSpan w:val="2"/>
            <w:shd w:val="solid" w:color="FFFFFF" w:fill="FFFFFF"/>
            <w:vAlign w:val="center"/>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8C4D74" w:rsidRDefault="008C4D74" w:rsidP="008D10E8">
            <w:pPr>
              <w:spacing w:line="360" w:lineRule="auto"/>
              <w:jc w:val="left"/>
              <w:rPr>
                <w:rFonts w:ascii="宋体" w:hAnsi="宋体"/>
                <w:bCs/>
                <w:sz w:val="18"/>
                <w:szCs w:val="18"/>
              </w:rPr>
            </w:pPr>
            <w:r>
              <w:rPr>
                <w:rFonts w:ascii="宋体" w:hAnsi="宋体"/>
                <w:bCs/>
                <w:color w:val="000000" w:themeColor="text1"/>
                <w:sz w:val="18"/>
                <w:szCs w:val="18"/>
              </w:rPr>
              <w:t>【</w:t>
            </w:r>
            <w:r w:rsidRPr="008D5E1E">
              <w:rPr>
                <w:rFonts w:ascii="宋体" w:hAnsi="宋体"/>
                <w:bCs/>
                <w:color w:val="000000" w:themeColor="text1"/>
                <w:sz w:val="18"/>
                <w:szCs w:val="18"/>
              </w:rPr>
              <w:t>9K218031</w:t>
            </w:r>
            <w:r>
              <w:rPr>
                <w:rFonts w:ascii="宋体" w:hAnsi="宋体"/>
                <w:bCs/>
                <w:color w:val="000000" w:themeColor="text1"/>
                <w:sz w:val="18"/>
                <w:szCs w:val="18"/>
              </w:rPr>
              <w:t>】</w:t>
            </w:r>
          </w:p>
        </w:tc>
      </w:tr>
      <w:tr w:rsidR="008C4D74" w:rsidTr="008D10E8">
        <w:trPr>
          <w:trHeight w:val="90"/>
          <w:jc w:val="center"/>
        </w:trPr>
        <w:tc>
          <w:tcPr>
            <w:tcW w:w="1142" w:type="dxa"/>
            <w:vMerge/>
            <w:shd w:val="solid" w:color="FFFFFF" w:fill="FFFFFF"/>
            <w:vAlign w:val="center"/>
          </w:tcPr>
          <w:p w:rsidR="008C4D74" w:rsidRDefault="008C4D74" w:rsidP="008D10E8">
            <w:pPr>
              <w:spacing w:line="360" w:lineRule="auto"/>
              <w:jc w:val="left"/>
              <w:rPr>
                <w:rFonts w:ascii="宋体" w:hAnsi="宋体"/>
                <w:b/>
                <w:bCs/>
                <w:sz w:val="18"/>
                <w:szCs w:val="18"/>
              </w:rPr>
            </w:pPr>
          </w:p>
        </w:tc>
        <w:tc>
          <w:tcPr>
            <w:tcW w:w="1690" w:type="dxa"/>
            <w:gridSpan w:val="2"/>
            <w:shd w:val="solid" w:color="FFFFFF" w:fill="FFFFFF"/>
            <w:vAlign w:val="center"/>
          </w:tcPr>
          <w:p w:rsidR="008C4D74" w:rsidRDefault="008C4D74" w:rsidP="008D10E8">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8C4D74" w:rsidRDefault="008C4D74" w:rsidP="008D10E8">
            <w:pPr>
              <w:spacing w:line="320" w:lineRule="exact"/>
              <w:jc w:val="left"/>
              <w:rPr>
                <w:rFonts w:ascii="宋体" w:hAnsi="宋体"/>
                <w:bCs/>
                <w:color w:val="000000" w:themeColor="text1"/>
                <w:sz w:val="18"/>
                <w:szCs w:val="18"/>
              </w:rPr>
            </w:pPr>
            <w:r>
              <w:rPr>
                <w:rFonts w:ascii="宋体" w:hAnsi="宋体" w:hint="eastAsia"/>
                <w:bCs/>
                <w:color w:val="000000" w:themeColor="text1"/>
                <w:sz w:val="18"/>
                <w:szCs w:val="18"/>
              </w:rPr>
              <w:t>【</w:t>
            </w:r>
            <w:r w:rsidRPr="008D5E1E">
              <w:rPr>
                <w:rFonts w:ascii="宋体" w:hAnsi="宋体"/>
                <w:bCs/>
                <w:color w:val="000000" w:themeColor="text1"/>
                <w:sz w:val="18"/>
                <w:szCs w:val="18"/>
              </w:rPr>
              <w:t>9K218031</w:t>
            </w:r>
            <w:r>
              <w:rPr>
                <w:rFonts w:ascii="宋体" w:hAnsi="宋体" w:hint="eastAsia"/>
                <w:bCs/>
                <w:color w:val="000000" w:themeColor="text1"/>
                <w:sz w:val="18"/>
                <w:szCs w:val="18"/>
              </w:rPr>
              <w:t>】</w:t>
            </w:r>
          </w:p>
        </w:tc>
      </w:tr>
      <w:tr w:rsidR="008C4D74" w:rsidTr="008D10E8">
        <w:trPr>
          <w:trHeight w:hRule="exact" w:val="170"/>
          <w:jc w:val="center"/>
        </w:trPr>
        <w:tc>
          <w:tcPr>
            <w:tcW w:w="9221" w:type="dxa"/>
            <w:gridSpan w:val="6"/>
            <w:shd w:val="pct10" w:color="FFFFFF" w:fill="A6A6A6" w:themeFill="background1" w:themeFillShade="A6"/>
            <w:vAlign w:val="center"/>
          </w:tcPr>
          <w:p w:rsidR="008C4D74" w:rsidRDefault="008C4D74" w:rsidP="008D10E8">
            <w:pPr>
              <w:spacing w:line="360" w:lineRule="auto"/>
              <w:jc w:val="left"/>
              <w:rPr>
                <w:rFonts w:ascii="宋体" w:hAnsi="宋体"/>
                <w:b/>
                <w:bCs/>
                <w:sz w:val="18"/>
                <w:szCs w:val="18"/>
              </w:rPr>
            </w:pPr>
          </w:p>
        </w:tc>
      </w:tr>
      <w:tr w:rsidR="008C4D74" w:rsidTr="008D10E8">
        <w:trPr>
          <w:trHeight w:val="826"/>
          <w:jc w:val="center"/>
        </w:trPr>
        <w:tc>
          <w:tcPr>
            <w:tcW w:w="1142" w:type="dxa"/>
            <w:shd w:val="solid" w:color="FFFFFF" w:fill="FFFFFF"/>
            <w:vAlign w:val="center"/>
          </w:tcPr>
          <w:p w:rsidR="008C4D74" w:rsidRDefault="008C4D74" w:rsidP="008D10E8">
            <w:pPr>
              <w:pStyle w:val="a4"/>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8C4D74" w:rsidRDefault="008C4D74" w:rsidP="008D10E8">
            <w:pPr>
              <w:pStyle w:val="a4"/>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r>
              <w:rPr>
                <w:rFonts w:ascii="宋体" w:hAnsi="宋体"/>
                <w:szCs w:val="18"/>
                <w:u w:val="single"/>
              </w:rPr>
              <w:t xml:space="preserve">　                     </w:t>
            </w:r>
            <w:r>
              <w:rPr>
                <w:rFonts w:ascii="宋体" w:hAnsi="宋体" w:hint="eastAsia"/>
                <w:szCs w:val="18"/>
              </w:rPr>
              <w:t>。</w:t>
            </w:r>
          </w:p>
        </w:tc>
      </w:tr>
    </w:tbl>
    <w:p w:rsidR="008C4D74" w:rsidRDefault="008C4D74" w:rsidP="008C4D74">
      <w:pPr>
        <w:widowControl/>
        <w:spacing w:line="360" w:lineRule="auto"/>
        <w:jc w:val="left"/>
        <w:rPr>
          <w:bCs/>
          <w:sz w:val="32"/>
        </w:rPr>
      </w:pPr>
      <w:r>
        <w:rPr>
          <w:rFonts w:hint="eastAsia"/>
          <w:bCs/>
          <w:sz w:val="32"/>
        </w:rPr>
        <w:t xml:space="preserve"> </w:t>
      </w:r>
    </w:p>
    <w:p w:rsidR="008C4D74" w:rsidRDefault="008C4D74" w:rsidP="008C4D74">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8C4D74">
          <w:headerReference w:type="default" r:id="rId9"/>
          <w:footerReference w:type="default" r:id="rId10"/>
          <w:pgSz w:w="11906" w:h="16838"/>
          <w:pgMar w:top="1440" w:right="1800" w:bottom="1440" w:left="1800" w:header="567" w:footer="992"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8C4D74" w:rsidRDefault="008C4D74" w:rsidP="008C4D74">
          <w:pPr>
            <w:pStyle w:val="TOC1"/>
            <w:spacing w:line="360" w:lineRule="auto"/>
            <w:jc w:val="center"/>
          </w:pPr>
          <w:r>
            <w:rPr>
              <w:lang w:val="zh-CN"/>
            </w:rPr>
            <w:t>目录</w:t>
          </w:r>
        </w:p>
        <w:p w:rsidR="008C4D74" w:rsidRDefault="008C4D74" w:rsidP="008C4D74">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95897036" w:history="1">
            <w:r>
              <w:rPr>
                <w:rStyle w:val="a7"/>
                <w:rFonts w:hint="eastAsia"/>
              </w:rPr>
              <w:t>第一条</w:t>
            </w:r>
            <w:r>
              <w:rPr>
                <w:rStyle w:val="a7"/>
              </w:rPr>
              <w:t xml:space="preserve">  </w:t>
            </w:r>
            <w:r>
              <w:rPr>
                <w:rStyle w:val="a7"/>
                <w:rFonts w:hint="eastAsia"/>
              </w:rPr>
              <w:t>前言</w:t>
            </w:r>
            <w:r>
              <w:tab/>
            </w:r>
            <w:r>
              <w:fldChar w:fldCharType="begin"/>
            </w:r>
            <w:r>
              <w:instrText xml:space="preserve"> PAGEREF _Toc95897036 \h </w:instrText>
            </w:r>
            <w:r>
              <w:fldChar w:fldCharType="separate"/>
            </w:r>
            <w:r>
              <w:t>1</w:t>
            </w:r>
            <w:r>
              <w:fldChar w:fldCharType="end"/>
            </w:r>
          </w:hyperlink>
        </w:p>
        <w:p w:rsidR="008C4D74" w:rsidRDefault="008C4D74" w:rsidP="008C4D74">
          <w:pPr>
            <w:pStyle w:val="10"/>
            <w:rPr>
              <w:rFonts w:asciiTheme="minorHAnsi" w:eastAsiaTheme="minorEastAsia" w:hAnsiTheme="minorHAnsi" w:cstheme="minorBidi"/>
              <w:szCs w:val="22"/>
            </w:rPr>
          </w:pPr>
          <w:hyperlink w:anchor="_Toc95897037" w:history="1">
            <w:r>
              <w:rPr>
                <w:rStyle w:val="a7"/>
                <w:rFonts w:hint="eastAsia"/>
              </w:rPr>
              <w:t>第二条</w:t>
            </w:r>
            <w:r>
              <w:rPr>
                <w:rStyle w:val="a7"/>
              </w:rPr>
              <w:t xml:space="preserve">  </w:t>
            </w:r>
            <w:r>
              <w:rPr>
                <w:rStyle w:val="a7"/>
                <w:rFonts w:hint="eastAsia"/>
              </w:rPr>
              <w:t>双方权利义务</w:t>
            </w:r>
            <w:r>
              <w:tab/>
            </w:r>
            <w:r>
              <w:fldChar w:fldCharType="begin"/>
            </w:r>
            <w:r>
              <w:instrText xml:space="preserve"> PAGEREF _Toc95897037 \h </w:instrText>
            </w:r>
            <w:r>
              <w:fldChar w:fldCharType="separate"/>
            </w:r>
            <w:r>
              <w:t>2</w:t>
            </w:r>
            <w:r>
              <w:fldChar w:fldCharType="end"/>
            </w:r>
          </w:hyperlink>
        </w:p>
        <w:p w:rsidR="008C4D74" w:rsidRDefault="008C4D74" w:rsidP="008C4D74">
          <w:pPr>
            <w:pStyle w:val="10"/>
            <w:rPr>
              <w:rFonts w:asciiTheme="minorHAnsi" w:eastAsiaTheme="minorEastAsia" w:hAnsiTheme="minorHAnsi" w:cstheme="minorBidi"/>
              <w:szCs w:val="22"/>
            </w:rPr>
          </w:pPr>
          <w:hyperlink w:anchor="_Toc95897038" w:history="1">
            <w:r>
              <w:rPr>
                <w:rStyle w:val="a7"/>
                <w:rFonts w:hint="eastAsia"/>
              </w:rPr>
              <w:t>第三条</w:t>
            </w:r>
            <w:r>
              <w:rPr>
                <w:rStyle w:val="a7"/>
              </w:rPr>
              <w:t xml:space="preserve">  </w:t>
            </w:r>
            <w:r>
              <w:rPr>
                <w:rStyle w:val="a7"/>
                <w:rFonts w:hint="eastAsia"/>
              </w:rPr>
              <w:t>不可抗力</w:t>
            </w:r>
            <w:r>
              <w:tab/>
            </w:r>
            <w:r>
              <w:fldChar w:fldCharType="begin"/>
            </w:r>
            <w:r>
              <w:instrText xml:space="preserve"> PAGEREF _Toc95897038 \h </w:instrText>
            </w:r>
            <w:r>
              <w:fldChar w:fldCharType="separate"/>
            </w:r>
            <w:r>
              <w:t>5</w:t>
            </w:r>
            <w:r>
              <w:fldChar w:fldCharType="end"/>
            </w:r>
          </w:hyperlink>
        </w:p>
        <w:p w:rsidR="008C4D74" w:rsidRDefault="008C4D74" w:rsidP="008C4D74">
          <w:pPr>
            <w:pStyle w:val="10"/>
            <w:rPr>
              <w:rFonts w:asciiTheme="minorHAnsi" w:eastAsiaTheme="minorEastAsia" w:hAnsiTheme="minorHAnsi" w:cstheme="minorBidi"/>
              <w:szCs w:val="22"/>
            </w:rPr>
          </w:pPr>
          <w:hyperlink w:anchor="_Toc95897039" w:history="1">
            <w:r>
              <w:rPr>
                <w:rStyle w:val="a7"/>
                <w:rFonts w:hint="eastAsia"/>
              </w:rPr>
              <w:t>第四条</w:t>
            </w:r>
            <w:r>
              <w:rPr>
                <w:rStyle w:val="a7"/>
              </w:rPr>
              <w:t xml:space="preserve">  </w:t>
            </w:r>
            <w:r>
              <w:rPr>
                <w:rStyle w:val="a7"/>
                <w:rFonts w:hint="eastAsia"/>
              </w:rPr>
              <w:t>违约责任</w:t>
            </w:r>
            <w:r>
              <w:tab/>
            </w:r>
            <w:r>
              <w:fldChar w:fldCharType="begin"/>
            </w:r>
            <w:r>
              <w:instrText xml:space="preserve"> PAGEREF _Toc95897039 \h </w:instrText>
            </w:r>
            <w:r>
              <w:fldChar w:fldCharType="separate"/>
            </w:r>
            <w:r>
              <w:t>6</w:t>
            </w:r>
            <w:r>
              <w:fldChar w:fldCharType="end"/>
            </w:r>
          </w:hyperlink>
        </w:p>
        <w:p w:rsidR="008C4D74" w:rsidRDefault="008C4D74" w:rsidP="008C4D74">
          <w:pPr>
            <w:pStyle w:val="10"/>
            <w:rPr>
              <w:rFonts w:asciiTheme="minorHAnsi" w:eastAsiaTheme="minorEastAsia" w:hAnsiTheme="minorHAnsi" w:cstheme="minorBidi"/>
              <w:szCs w:val="22"/>
            </w:rPr>
          </w:pPr>
          <w:hyperlink w:anchor="_Toc95897040" w:history="1">
            <w:r>
              <w:rPr>
                <w:rStyle w:val="a7"/>
                <w:rFonts w:hint="eastAsia"/>
              </w:rPr>
              <w:t>第五条</w:t>
            </w:r>
            <w:r>
              <w:rPr>
                <w:rStyle w:val="a7"/>
              </w:rPr>
              <w:t xml:space="preserve">  </w:t>
            </w:r>
            <w:r>
              <w:rPr>
                <w:rStyle w:val="a7"/>
                <w:rFonts w:hint="eastAsia"/>
              </w:rPr>
              <w:t>法律适用和争议解决</w:t>
            </w:r>
            <w:r>
              <w:tab/>
            </w:r>
            <w:r>
              <w:fldChar w:fldCharType="begin"/>
            </w:r>
            <w:r>
              <w:instrText xml:space="preserve"> PAGEREF _Toc95897040 \h </w:instrText>
            </w:r>
            <w:r>
              <w:fldChar w:fldCharType="separate"/>
            </w:r>
            <w:r>
              <w:t>7</w:t>
            </w:r>
            <w:r>
              <w:fldChar w:fldCharType="end"/>
            </w:r>
          </w:hyperlink>
        </w:p>
        <w:p w:rsidR="008C4D74" w:rsidRDefault="008C4D74" w:rsidP="008C4D74">
          <w:pPr>
            <w:pStyle w:val="10"/>
            <w:rPr>
              <w:rFonts w:asciiTheme="minorHAnsi" w:eastAsiaTheme="minorEastAsia" w:hAnsiTheme="minorHAnsi" w:cstheme="minorBidi"/>
              <w:szCs w:val="22"/>
            </w:rPr>
          </w:pPr>
          <w:hyperlink w:anchor="_Toc95897041" w:history="1">
            <w:r>
              <w:rPr>
                <w:rStyle w:val="a7"/>
                <w:rFonts w:hint="eastAsia"/>
              </w:rPr>
              <w:t>第六条</w:t>
            </w:r>
            <w:r>
              <w:rPr>
                <w:rStyle w:val="a7"/>
              </w:rPr>
              <w:t xml:space="preserve">  </w:t>
            </w:r>
            <w:r>
              <w:rPr>
                <w:rStyle w:val="a7"/>
                <w:rFonts w:hint="eastAsia"/>
              </w:rPr>
              <w:t>协议的签署和效力</w:t>
            </w:r>
            <w:r>
              <w:tab/>
            </w:r>
            <w:r>
              <w:fldChar w:fldCharType="begin"/>
            </w:r>
            <w:r>
              <w:instrText xml:space="preserve"> PAGEREF _Toc95897041 \h </w:instrText>
            </w:r>
            <w:r>
              <w:fldChar w:fldCharType="separate"/>
            </w:r>
            <w:r>
              <w:t>8</w:t>
            </w:r>
            <w:r>
              <w:fldChar w:fldCharType="end"/>
            </w:r>
          </w:hyperlink>
        </w:p>
        <w:p w:rsidR="008C4D74" w:rsidRDefault="008C4D74" w:rsidP="008C4D74">
          <w:pPr>
            <w:pStyle w:val="10"/>
            <w:rPr>
              <w:rFonts w:asciiTheme="minorHAnsi" w:eastAsiaTheme="minorEastAsia" w:hAnsiTheme="minorHAnsi" w:cstheme="minorBidi"/>
              <w:szCs w:val="22"/>
            </w:rPr>
          </w:pPr>
          <w:hyperlink w:anchor="_Toc95897042" w:history="1">
            <w:r>
              <w:rPr>
                <w:rStyle w:val="a7"/>
                <w:rFonts w:hint="eastAsia"/>
              </w:rPr>
              <w:t>第七条</w:t>
            </w:r>
            <w:r>
              <w:rPr>
                <w:rStyle w:val="a7"/>
              </w:rPr>
              <w:t xml:space="preserve">  </w:t>
            </w:r>
            <w:r>
              <w:rPr>
                <w:rStyle w:val="a7"/>
                <w:rFonts w:hint="eastAsia"/>
              </w:rPr>
              <w:t>消费者权益保护</w:t>
            </w:r>
            <w:r>
              <w:tab/>
            </w:r>
            <w:r>
              <w:fldChar w:fldCharType="begin"/>
            </w:r>
            <w:r>
              <w:instrText xml:space="preserve"> PAGEREF _Toc95897042 \h </w:instrText>
            </w:r>
            <w:r>
              <w:fldChar w:fldCharType="separate"/>
            </w:r>
            <w:r>
              <w:t>9</w:t>
            </w:r>
            <w:r>
              <w:fldChar w:fldCharType="end"/>
            </w:r>
          </w:hyperlink>
        </w:p>
        <w:p w:rsidR="008C4D74" w:rsidRDefault="008C4D74" w:rsidP="008C4D74">
          <w:pPr>
            <w:spacing w:line="360" w:lineRule="auto"/>
          </w:pPr>
          <w:r>
            <w:rPr>
              <w:b/>
              <w:bCs/>
              <w:lang w:val="zh-CN"/>
            </w:rPr>
            <w:fldChar w:fldCharType="end"/>
          </w:r>
        </w:p>
      </w:sdtContent>
    </w:sdt>
    <w:p w:rsidR="008C4D74" w:rsidRDefault="008C4D74" w:rsidP="008C4D74">
      <w:pPr>
        <w:widowControl/>
        <w:spacing w:line="360" w:lineRule="auto"/>
        <w:jc w:val="left"/>
        <w:rPr>
          <w:rFonts w:ascii="宋体" w:hAnsi="宋体" w:cs="仿宋_GB2312"/>
          <w:b/>
          <w:kern w:val="0"/>
          <w:sz w:val="18"/>
          <w:szCs w:val="18"/>
        </w:rPr>
      </w:pPr>
    </w:p>
    <w:p w:rsidR="008C4D74" w:rsidRDefault="008C4D74" w:rsidP="008C4D74">
      <w:pPr>
        <w:widowControl/>
        <w:spacing w:line="360" w:lineRule="auto"/>
        <w:jc w:val="left"/>
        <w:rPr>
          <w:rFonts w:ascii="宋体" w:hAnsi="宋体" w:cs="仿宋_GB2312"/>
          <w:b/>
          <w:kern w:val="0"/>
          <w:sz w:val="18"/>
          <w:szCs w:val="18"/>
        </w:rPr>
      </w:pPr>
    </w:p>
    <w:p w:rsidR="008C4D74" w:rsidRDefault="008C4D74" w:rsidP="008C4D74">
      <w:pPr>
        <w:widowControl/>
        <w:spacing w:line="360" w:lineRule="auto"/>
        <w:jc w:val="left"/>
        <w:rPr>
          <w:rFonts w:ascii="宋体" w:hAnsi="宋体" w:cs="仿宋_GB2312"/>
          <w:b/>
          <w:kern w:val="0"/>
          <w:sz w:val="18"/>
          <w:szCs w:val="18"/>
        </w:rPr>
        <w:sectPr w:rsidR="008C4D74">
          <w:pgSz w:w="11906" w:h="16838"/>
          <w:pgMar w:top="1440" w:right="1800" w:bottom="1440" w:left="1800" w:header="851" w:footer="992" w:gutter="0"/>
          <w:pgNumType w:start="0"/>
          <w:cols w:space="720"/>
          <w:docGrid w:type="lines" w:linePitch="312"/>
        </w:sectPr>
      </w:pPr>
    </w:p>
    <w:p w:rsidR="008C4D74" w:rsidRDefault="008C4D74" w:rsidP="008C4D7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8C4D74" w:rsidRDefault="008C4D74" w:rsidP="008C4D74">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8C4D74" w:rsidRDefault="008C4D74" w:rsidP="008C4D74">
      <w:pPr>
        <w:spacing w:line="360" w:lineRule="auto"/>
      </w:pPr>
    </w:p>
    <w:p w:rsidR="008C4D74" w:rsidRDefault="008C4D74" w:rsidP="008C4D74">
      <w:pPr>
        <w:pStyle w:val="1"/>
        <w:spacing w:before="0" w:after="0"/>
        <w:jc w:val="center"/>
        <w:rPr>
          <w:rFonts w:ascii="Times New Roman"/>
          <w:color w:val="auto"/>
          <w:sz w:val="30"/>
        </w:rPr>
      </w:pPr>
      <w:bookmarkStart w:id="14" w:name="_Toc26897"/>
      <w:bookmarkStart w:id="15" w:name="_Toc30935"/>
      <w:bookmarkStart w:id="16" w:name="_Toc123701389"/>
      <w:bookmarkStart w:id="17" w:name="_Toc4966"/>
      <w:bookmarkStart w:id="18" w:name="_Toc123112268"/>
      <w:bookmarkStart w:id="19" w:name="_Toc6306"/>
      <w:bookmarkStart w:id="20" w:name="_Toc29629"/>
      <w:bookmarkStart w:id="21" w:name="_Toc123112229"/>
      <w:bookmarkStart w:id="22" w:name="_Toc139991730"/>
      <w:bookmarkStart w:id="23" w:name="_Toc8727"/>
      <w:bookmarkStart w:id="24" w:name="_Toc32639"/>
      <w:bookmarkStart w:id="25" w:name="_Toc4867"/>
      <w:bookmarkStart w:id="26" w:name="_Toc141703880"/>
      <w:bookmarkStart w:id="27" w:name="_Toc23386"/>
      <w:bookmarkStart w:id="28" w:name="_Toc15517"/>
      <w:bookmarkStart w:id="29" w:name="_Toc88482730"/>
      <w:bookmarkStart w:id="30" w:name="_Toc95897036"/>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258829399"/>
      <w:bookmarkStart w:id="34" w:name="_Toc24860"/>
      <w:bookmarkStart w:id="35" w:name="_Toc3224"/>
      <w:bookmarkStart w:id="36" w:name="_Toc2465"/>
      <w:bookmarkStart w:id="37" w:name="_Toc22864"/>
      <w:bookmarkStart w:id="38" w:name="_Toc6617"/>
      <w:bookmarkStart w:id="39" w:name="_Toc819"/>
      <w:bookmarkStart w:id="40" w:name="_Toc15067"/>
      <w:bookmarkStart w:id="41" w:name="_Toc19592"/>
      <w:bookmarkStart w:id="42" w:name="_Toc21301"/>
      <w:bookmarkStart w:id="43" w:name="_Toc1302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Pr>
          <w:rFonts w:ascii="Times New Roman" w:hint="eastAsia"/>
          <w:color w:val="auto"/>
          <w:sz w:val="30"/>
        </w:rPr>
        <w:t>前言</w:t>
      </w:r>
      <w:bookmarkEnd w:id="29"/>
      <w:bookmarkEnd w:id="30"/>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8C4D74" w:rsidRDefault="008C4D74" w:rsidP="008C4D74">
      <w:pPr>
        <w:pStyle w:val="Default"/>
        <w:spacing w:line="360" w:lineRule="auto"/>
        <w:rPr>
          <w:rFonts w:asciiTheme="majorEastAsia" w:eastAsiaTheme="majorEastAsia" w:hAnsiTheme="majorEastAsia"/>
          <w:bCs/>
          <w:color w:val="auto"/>
          <w:sz w:val="18"/>
          <w:szCs w:val="18"/>
        </w:rPr>
      </w:pPr>
    </w:p>
    <w:bookmarkEnd w:id="31"/>
    <w:p w:rsidR="008C4D74" w:rsidRDefault="008C4D74" w:rsidP="008C4D74">
      <w:pPr>
        <w:widowControl/>
        <w:spacing w:line="360" w:lineRule="auto"/>
        <w:jc w:val="left"/>
      </w:pPr>
      <w:r>
        <w:br w:type="page"/>
      </w:r>
    </w:p>
    <w:p w:rsidR="008C4D74" w:rsidRDefault="008C4D74" w:rsidP="008C4D74">
      <w:pPr>
        <w:pStyle w:val="1"/>
        <w:spacing w:before="0" w:after="0"/>
        <w:jc w:val="center"/>
        <w:rPr>
          <w:rFonts w:ascii="Times New Roman"/>
          <w:color w:val="auto"/>
          <w:sz w:val="30"/>
        </w:rPr>
      </w:pPr>
      <w:bookmarkStart w:id="45" w:name="_Toc95897037"/>
      <w:bookmarkStart w:id="46" w:name="_Toc88482731"/>
      <w:bookmarkStart w:id="47"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bookmarkEnd w:id="46"/>
    </w:p>
    <w:p w:rsidR="008C4D74" w:rsidRDefault="008C4D74" w:rsidP="008C4D74">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w:t>
      </w:r>
      <w:proofErr w:type="gramStart"/>
      <w:r>
        <w:rPr>
          <w:rFonts w:ascii="黑体" w:eastAsia="黑体" w:hAnsi="黑体" w:hint="eastAsia"/>
          <w:sz w:val="18"/>
          <w:szCs w:val="18"/>
        </w:rPr>
        <w:t>所勾选的</w:t>
      </w:r>
      <w:proofErr w:type="gramEnd"/>
      <w:r>
        <w:rPr>
          <w:rFonts w:ascii="黑体" w:eastAsia="黑体" w:hAnsi="黑体" w:hint="eastAsia"/>
          <w:sz w:val="18"/>
          <w:szCs w:val="18"/>
        </w:rPr>
        <w:t>业务申请类型，并根据业务办理需要、反洗</w:t>
      </w:r>
      <w:proofErr w:type="gramStart"/>
      <w:r>
        <w:rPr>
          <w:rFonts w:ascii="黑体" w:eastAsia="黑体" w:hAnsi="黑体" w:hint="eastAsia"/>
          <w:sz w:val="18"/>
          <w:szCs w:val="18"/>
        </w:rPr>
        <w:t>钱工作</w:t>
      </w:r>
      <w:proofErr w:type="gramEnd"/>
      <w:r>
        <w:rPr>
          <w:rFonts w:ascii="黑体" w:eastAsia="黑体" w:hAnsi="黑体" w:hint="eastAsia"/>
          <w:sz w:val="18"/>
          <w:szCs w:val="18"/>
        </w:rPr>
        <w:t>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金融交易对手方、理财快速赎回服务提供方提供、留存前述信息。</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w:t>
      </w:r>
      <w:proofErr w:type="gramStart"/>
      <w:r>
        <w:rPr>
          <w:rFonts w:ascii="宋体" w:hAnsi="宋体" w:hint="eastAsia"/>
          <w:sz w:val="18"/>
          <w:szCs w:val="18"/>
        </w:rPr>
        <w:t>涉恐及反洗</w:t>
      </w:r>
      <w:proofErr w:type="gramEnd"/>
      <w:r>
        <w:rPr>
          <w:rFonts w:ascii="宋体" w:hAnsi="宋体" w:hint="eastAsia"/>
          <w:sz w:val="18"/>
          <w:szCs w:val="18"/>
        </w:rPr>
        <w:t>钱相关风险名单内的企业；</w:t>
      </w:r>
      <w:proofErr w:type="gramStart"/>
      <w:r>
        <w:rPr>
          <w:rFonts w:ascii="宋体" w:hAnsi="宋体" w:hint="eastAsia"/>
          <w:sz w:val="18"/>
          <w:szCs w:val="18"/>
        </w:rPr>
        <w:t>不</w:t>
      </w:r>
      <w:proofErr w:type="gramEnd"/>
      <w:r>
        <w:rPr>
          <w:rFonts w:ascii="宋体" w:hAnsi="宋体" w:hint="eastAsia"/>
          <w:sz w:val="18"/>
          <w:szCs w:val="18"/>
        </w:rPr>
        <w:t>位于被联合国、欧盟或美国等制裁的国家和地区。</w:t>
      </w:r>
      <w:r>
        <w:rPr>
          <w:rFonts w:ascii="宋体" w:hAnsi="宋体"/>
          <w:sz w:val="18"/>
          <w:szCs w:val="18"/>
        </w:rPr>
        <w:t xml:space="preserve"> </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w:t>
      </w:r>
      <w:proofErr w:type="gramStart"/>
      <w:r>
        <w:rPr>
          <w:rFonts w:ascii="黑体" w:eastAsia="黑体" w:hAnsi="黑体" w:hint="eastAsia"/>
          <w:sz w:val="18"/>
          <w:szCs w:val="18"/>
        </w:rPr>
        <w:t>归集日</w:t>
      </w:r>
      <w:proofErr w:type="gramEnd"/>
      <w:r>
        <w:rPr>
          <w:rFonts w:ascii="黑体" w:eastAsia="黑体" w:hAnsi="黑体" w:hint="eastAsia"/>
          <w:sz w:val="18"/>
          <w:szCs w:val="18"/>
        </w:rPr>
        <w:t>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w:t>
      </w:r>
      <w:proofErr w:type="gramStart"/>
      <w:r>
        <w:rPr>
          <w:rFonts w:ascii="黑体" w:eastAsia="黑体" w:hAnsi="黑体"/>
          <w:sz w:val="18"/>
          <w:szCs w:val="18"/>
        </w:rPr>
        <w:t>归集日</w:t>
      </w:r>
      <w:proofErr w:type="gramEnd"/>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w:t>
      </w:r>
      <w:r>
        <w:rPr>
          <w:rFonts w:ascii="黑体" w:eastAsia="黑体" w:hAnsi="黑体" w:hint="eastAsia"/>
          <w:sz w:val="18"/>
          <w:szCs w:val="18"/>
        </w:rPr>
        <w:lastRenderedPageBreak/>
        <w:t>金或理财资金不足或未在约定的时间前购买本产品而导致交易失败的，产品管理人不承担相应责任。</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8C4D74" w:rsidRDefault="008C4D74" w:rsidP="008C4D74">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3.</w:t>
      </w:r>
      <w:r>
        <w:rPr>
          <w:rFonts w:ascii="宋体" w:hAnsi="宋体"/>
          <w:sz w:val="18"/>
          <w:szCs w:val="18"/>
        </w:rPr>
        <w:t>产品管理人应按照约定披露产品相关信息</w:t>
      </w:r>
      <w:r>
        <w:rPr>
          <w:rFonts w:ascii="宋体" w:hAnsi="宋体" w:hint="eastAsia"/>
          <w:sz w:val="18"/>
          <w:szCs w:val="18"/>
        </w:rPr>
        <w:t>。</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w:t>
      </w:r>
      <w:proofErr w:type="gramStart"/>
      <w:r>
        <w:rPr>
          <w:rFonts w:ascii="黑体" w:eastAsia="黑体" w:hAnsi="黑体" w:hint="eastAsia"/>
          <w:sz w:val="18"/>
          <w:szCs w:val="18"/>
        </w:rPr>
        <w:t>资管计划</w:t>
      </w:r>
      <w:proofErr w:type="gramEnd"/>
      <w:r>
        <w:rPr>
          <w:rFonts w:ascii="黑体" w:eastAsia="黑体" w:hAnsi="黑体" w:hint="eastAsia"/>
          <w:sz w:val="18"/>
          <w:szCs w:val="18"/>
        </w:rPr>
        <w:t>、基金的受托人或管理人、相关投资顾问等，下同）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w:t>
      </w:r>
      <w:proofErr w:type="gramStart"/>
      <w:r>
        <w:rPr>
          <w:rFonts w:ascii="黑体" w:eastAsia="黑体" w:hAnsi="黑体" w:hint="eastAsia"/>
          <w:sz w:val="18"/>
          <w:szCs w:val="18"/>
        </w:rPr>
        <w:t>戳服务</w:t>
      </w:r>
      <w:proofErr w:type="gramEnd"/>
      <w:r>
        <w:rPr>
          <w:rFonts w:ascii="黑体" w:eastAsia="黑体" w:hAnsi="黑体" w:hint="eastAsia"/>
          <w:sz w:val="18"/>
          <w:szCs w:val="18"/>
        </w:rPr>
        <w:t>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包括但不限于转让、重组、债转股、资产证券化、委外催收、抵债资产收取与处置、破产重整等。</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lastRenderedPageBreak/>
        <w:t>产品管理人有权提前终止本协议，造成投资者损失的，产品管理人不承担责任。</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w:t>
      </w:r>
      <w:proofErr w:type="gramStart"/>
      <w:r>
        <w:rPr>
          <w:rFonts w:ascii="宋体" w:hAnsi="宋体" w:hint="eastAsia"/>
          <w:sz w:val="18"/>
          <w:szCs w:val="18"/>
        </w:rPr>
        <w:t>非交易</w:t>
      </w:r>
      <w:proofErr w:type="gramEnd"/>
      <w:r>
        <w:rPr>
          <w:rFonts w:ascii="宋体" w:hAnsi="宋体" w:hint="eastAsia"/>
          <w:sz w:val="18"/>
          <w:szCs w:val="18"/>
        </w:rPr>
        <w:t>过户。</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13.其他在本产品所对应理财产品销售文件中约定的产品管理人的权利与义务。</w:t>
      </w:r>
    </w:p>
    <w:p w:rsidR="008C4D74" w:rsidRDefault="008C4D74" w:rsidP="008C4D74">
      <w:pPr>
        <w:widowControl/>
        <w:spacing w:line="360" w:lineRule="auto"/>
        <w:jc w:val="left"/>
        <w:rPr>
          <w:b/>
          <w:kern w:val="0"/>
          <w:sz w:val="30"/>
        </w:rPr>
      </w:pPr>
      <w:r>
        <w:rPr>
          <w:sz w:val="30"/>
        </w:rPr>
        <w:br w:type="page"/>
      </w:r>
    </w:p>
    <w:p w:rsidR="008C4D74" w:rsidRDefault="008C4D74" w:rsidP="008C4D74">
      <w:pPr>
        <w:pStyle w:val="1"/>
        <w:spacing w:before="0" w:after="0"/>
        <w:jc w:val="center"/>
        <w:rPr>
          <w:rFonts w:ascii="Times New Roman"/>
          <w:sz w:val="30"/>
        </w:rPr>
      </w:pPr>
      <w:bookmarkStart w:id="48" w:name="_Toc88482732"/>
      <w:bookmarkStart w:id="49" w:name="_Toc95897038"/>
      <w:bookmarkStart w:id="50" w:name="_Toc545"/>
      <w:bookmarkStart w:id="51" w:name="_Toc22708"/>
      <w:bookmarkStart w:id="52" w:name="_Toc13288"/>
      <w:bookmarkStart w:id="53" w:name="_Toc24571"/>
      <w:bookmarkStart w:id="54" w:name="_Toc6149"/>
      <w:bookmarkStart w:id="55" w:name="_Toc733"/>
      <w:bookmarkStart w:id="56" w:name="_Toc74065740"/>
      <w:bookmarkStart w:id="57" w:name="_Toc20627"/>
      <w:bookmarkStart w:id="58" w:name="_Toc6683"/>
      <w:bookmarkStart w:id="59" w:name="_Toc20318"/>
      <w:bookmarkStart w:id="60" w:name="_Toc18631"/>
      <w:bookmarkStart w:id="61" w:name="_Toc258829400"/>
      <w:bookmarkStart w:id="62" w:name="_Toc233456272"/>
      <w:bookmarkEnd w:id="32"/>
      <w:bookmarkEnd w:id="33"/>
      <w:bookmarkEnd w:id="34"/>
      <w:bookmarkEnd w:id="35"/>
      <w:bookmarkEnd w:id="36"/>
      <w:bookmarkEnd w:id="37"/>
      <w:bookmarkEnd w:id="38"/>
      <w:bookmarkEnd w:id="39"/>
      <w:bookmarkEnd w:id="40"/>
      <w:bookmarkEnd w:id="41"/>
      <w:bookmarkEnd w:id="42"/>
      <w:bookmarkEnd w:id="43"/>
      <w:bookmarkEnd w:id="47"/>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8"/>
      <w:bookmarkEnd w:id="49"/>
    </w:p>
    <w:bookmarkEnd w:id="50"/>
    <w:bookmarkEnd w:id="51"/>
    <w:bookmarkEnd w:id="52"/>
    <w:bookmarkEnd w:id="53"/>
    <w:bookmarkEnd w:id="54"/>
    <w:bookmarkEnd w:id="55"/>
    <w:bookmarkEnd w:id="56"/>
    <w:bookmarkEnd w:id="57"/>
    <w:bookmarkEnd w:id="58"/>
    <w:bookmarkEnd w:id="59"/>
    <w:bookmarkEnd w:id="60"/>
    <w:p w:rsidR="008C4D74" w:rsidRDefault="008C4D74" w:rsidP="008C4D74">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8C4D74" w:rsidRDefault="008C4D74" w:rsidP="008C4D74">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8C4D74" w:rsidRDefault="008C4D74" w:rsidP="008C4D74">
      <w:pPr>
        <w:pStyle w:val="1"/>
        <w:spacing w:before="0" w:after="0"/>
        <w:jc w:val="center"/>
        <w:rPr>
          <w:rFonts w:ascii="Times New Roman"/>
          <w:b w:val="0"/>
          <w:sz w:val="30"/>
        </w:rPr>
      </w:pPr>
      <w:bookmarkStart w:id="63" w:name="_Toc88482733"/>
      <w:bookmarkStart w:id="64" w:name="_Toc95897039"/>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3"/>
      <w:bookmarkEnd w:id="64"/>
    </w:p>
    <w:p w:rsidR="008C4D74" w:rsidRDefault="008C4D74" w:rsidP="008C4D74">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8C4D74" w:rsidRDefault="008C4D74" w:rsidP="008C4D74">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8C4D74" w:rsidRDefault="008C4D74" w:rsidP="008C4D74">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8C4D74" w:rsidRDefault="008C4D74" w:rsidP="008C4D74">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w:t>
      </w:r>
      <w:proofErr w:type="gramStart"/>
      <w:r>
        <w:rPr>
          <w:rFonts w:ascii="宋体" w:hAnsi="宋体" w:cs="仿宋_GB2312" w:hint="eastAsia"/>
          <w:kern w:val="0"/>
          <w:sz w:val="18"/>
          <w:szCs w:val="18"/>
        </w:rPr>
        <w:t>分配日</w:t>
      </w:r>
      <w:proofErr w:type="gramEnd"/>
      <w:r>
        <w:rPr>
          <w:rFonts w:ascii="宋体" w:hAnsi="宋体" w:cs="仿宋_GB2312" w:hint="eastAsia"/>
          <w:kern w:val="0"/>
          <w:sz w:val="18"/>
          <w:szCs w:val="18"/>
        </w:rPr>
        <w:t>如遇节假日，将顺延至下一个工作日，由此产生的风险及损失双方当事人互不承担责任；</w:t>
      </w:r>
    </w:p>
    <w:p w:rsidR="008C4D74" w:rsidRDefault="008C4D74" w:rsidP="008C4D74">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8C4D74" w:rsidRDefault="008C4D74" w:rsidP="008C4D7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8C4D74" w:rsidRDefault="008C4D74" w:rsidP="008C4D74">
      <w:pPr>
        <w:pStyle w:val="1"/>
        <w:spacing w:before="0" w:after="0"/>
        <w:jc w:val="center"/>
        <w:rPr>
          <w:rFonts w:ascii="Times New Roman"/>
          <w:b w:val="0"/>
          <w:sz w:val="30"/>
        </w:rPr>
      </w:pPr>
      <w:bookmarkStart w:id="65" w:name="_Toc88482734"/>
      <w:bookmarkStart w:id="66" w:name="_Toc95897040"/>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5"/>
      <w:bookmarkEnd w:id="66"/>
    </w:p>
    <w:p w:rsidR="008C4D74" w:rsidRDefault="008C4D74" w:rsidP="008C4D74">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8C4D74" w:rsidRDefault="008C4D74" w:rsidP="008C4D74">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8C4D74" w:rsidRDefault="008C4D74" w:rsidP="008C4D74">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8C4D74" w:rsidRDefault="008C4D74" w:rsidP="008C4D74">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w:t>
      </w:r>
      <w:proofErr w:type="gramStart"/>
      <w:r>
        <w:rPr>
          <w:rFonts w:ascii="黑体" w:eastAsia="黑体" w:hAnsi="黑体" w:hint="eastAsia"/>
          <w:color w:val="000000" w:themeColor="text1"/>
          <w:sz w:val="18"/>
          <w:szCs w:val="18"/>
        </w:rPr>
        <w:t>如下第</w:t>
      </w:r>
      <w:proofErr w:type="gramEnd"/>
      <w:r>
        <w:rPr>
          <w:rFonts w:ascii="黑体" w:eastAsia="黑体" w:hAnsi="黑体" w:hint="eastAsia"/>
          <w:color w:val="000000" w:themeColor="text1"/>
          <w:sz w:val="18"/>
          <w:szCs w:val="18"/>
        </w:rPr>
        <w:t>【壹】种方式解决：</w:t>
      </w:r>
    </w:p>
    <w:p w:rsidR="008C4D74" w:rsidRDefault="008C4D74" w:rsidP="008C4D74">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8C4D74" w:rsidRDefault="008C4D74" w:rsidP="008C4D74">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8C4D74" w:rsidRDefault="008C4D74" w:rsidP="008C4D74">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8C4D74" w:rsidRDefault="008C4D74" w:rsidP="008C4D74">
      <w:pPr>
        <w:pStyle w:val="1"/>
        <w:spacing w:before="0" w:after="0"/>
        <w:jc w:val="center"/>
        <w:rPr>
          <w:rFonts w:ascii="Times New Roman"/>
          <w:b w:val="0"/>
          <w:sz w:val="30"/>
        </w:rPr>
      </w:pPr>
      <w:bookmarkStart w:id="67" w:name="_Toc88482735"/>
      <w:bookmarkStart w:id="68" w:name="_Toc95897041"/>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7"/>
      <w:bookmarkEnd w:id="68"/>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w:t>
      </w:r>
      <w:proofErr w:type="gramStart"/>
      <w:r>
        <w:rPr>
          <w:rFonts w:ascii="宋体" w:hAnsi="宋体" w:hint="eastAsia"/>
          <w:sz w:val="18"/>
          <w:szCs w:val="18"/>
        </w:rPr>
        <w:t>上渠道</w:t>
      </w:r>
      <w:proofErr w:type="gramEnd"/>
      <w:r>
        <w:rPr>
          <w:rFonts w:ascii="宋体" w:hAnsi="宋体" w:hint="eastAsia"/>
          <w:sz w:val="18"/>
          <w:szCs w:val="18"/>
        </w:rPr>
        <w:t>购买本产品的，</w:t>
      </w:r>
      <w:r>
        <w:rPr>
          <w:rFonts w:ascii="黑体" w:eastAsia="黑体" w:hAnsi="黑体" w:hint="eastAsia"/>
          <w:sz w:val="18"/>
          <w:szCs w:val="18"/>
        </w:rPr>
        <w:t>本协议自投资者在系统中点击确认则视为签署。</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8C4D74" w:rsidRDefault="008C4D74" w:rsidP="008C4D74">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8C4D74" w:rsidRDefault="008C4D74" w:rsidP="008C4D74">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w:t>
      </w:r>
      <w:proofErr w:type="gramStart"/>
      <w:r>
        <w:rPr>
          <w:rFonts w:ascii="宋体" w:hAnsi="宋体" w:hint="eastAsia"/>
          <w:sz w:val="18"/>
          <w:szCs w:val="18"/>
        </w:rPr>
        <w:t>可</w:t>
      </w:r>
      <w:proofErr w:type="gramEnd"/>
      <w:r>
        <w:rPr>
          <w:rFonts w:ascii="宋体" w:hAnsi="宋体" w:hint="eastAsia"/>
          <w:sz w:val="18"/>
          <w:szCs w:val="18"/>
        </w:rPr>
        <w:t>执行性不受影响。</w:t>
      </w:r>
    </w:p>
    <w:p w:rsidR="008C4D74" w:rsidRDefault="008C4D74" w:rsidP="008C4D74">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8C4D74" w:rsidRDefault="008C4D74" w:rsidP="008C4D7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8C4D74" w:rsidRDefault="008C4D74" w:rsidP="008C4D74">
      <w:pPr>
        <w:pStyle w:val="1"/>
        <w:spacing w:before="0" w:after="0"/>
        <w:jc w:val="center"/>
        <w:rPr>
          <w:rFonts w:ascii="Times New Roman"/>
          <w:b w:val="0"/>
          <w:sz w:val="30"/>
        </w:rPr>
      </w:pPr>
      <w:bookmarkStart w:id="69" w:name="_Toc95897042"/>
      <w:bookmarkStart w:id="70" w:name="_Toc77953869"/>
      <w:bookmarkStart w:id="71" w:name="_Toc88482736"/>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9"/>
      <w:bookmarkEnd w:id="70"/>
      <w:bookmarkEnd w:id="71"/>
      <w:r>
        <w:rPr>
          <w:rFonts w:ascii="Times New Roman" w:hint="eastAsia"/>
          <w:color w:val="auto"/>
          <w:sz w:val="30"/>
        </w:rPr>
        <w:t xml:space="preserve"> </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72" w:name="_Hlk64707831"/>
      <w:r>
        <w:rPr>
          <w:rFonts w:ascii="黑体" w:eastAsia="黑体" w:hAnsi="黑体" w:hint="eastAsia"/>
          <w:sz w:val="18"/>
          <w:szCs w:val="18"/>
        </w:rPr>
        <w:t>1、产品管理人：兴银理财有限责任公司</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72"/>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8C4D74" w:rsidRDefault="008C4D74" w:rsidP="008C4D74">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8C4D74" w:rsidRDefault="008C4D74" w:rsidP="008C4D74">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8C4D74" w:rsidRDefault="008C4D74" w:rsidP="008C4D74">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8C4D74" w:rsidTr="008D10E8">
        <w:tc>
          <w:tcPr>
            <w:tcW w:w="8524" w:type="dxa"/>
            <w:gridSpan w:val="5"/>
          </w:tcPr>
          <w:bookmarkEnd w:id="61"/>
          <w:bookmarkEnd w:id="62"/>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8C4D74" w:rsidTr="008D10E8">
        <w:trPr>
          <w:trHeight w:val="527"/>
        </w:trPr>
        <w:tc>
          <w:tcPr>
            <w:tcW w:w="1403" w:type="dxa"/>
            <w:gridSpan w:val="2"/>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8C4D74" w:rsidRDefault="008C4D74" w:rsidP="008D10E8">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w:t>
            </w:r>
          </w:p>
        </w:tc>
      </w:tr>
      <w:tr w:rsidR="008C4D74" w:rsidTr="008D10E8">
        <w:trPr>
          <w:trHeight w:val="527"/>
        </w:trPr>
        <w:tc>
          <w:tcPr>
            <w:tcW w:w="1403" w:type="dxa"/>
            <w:gridSpan w:val="2"/>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8C4D74" w:rsidRDefault="008C4D74" w:rsidP="008D10E8">
            <w:pPr>
              <w:autoSpaceDE w:val="0"/>
              <w:autoSpaceDN w:val="0"/>
              <w:adjustRightInd w:val="0"/>
              <w:snapToGrid w:val="0"/>
              <w:spacing w:line="360" w:lineRule="auto"/>
              <w:jc w:val="left"/>
              <w:rPr>
                <w:rFonts w:ascii="宋体" w:hAnsi="宋体" w:cs="宋体"/>
                <w:b/>
                <w:sz w:val="18"/>
                <w:szCs w:val="18"/>
              </w:rPr>
            </w:pPr>
            <w:r>
              <w:rPr>
                <w:rFonts w:ascii="宋体" w:hAnsi="宋体" w:cs="宋体" w:hint="eastAsia"/>
                <w:b/>
                <w:sz w:val="18"/>
                <w:szCs w:val="18"/>
              </w:rPr>
              <w:t>本产品不设置差异化子份额类别。</w:t>
            </w:r>
          </w:p>
        </w:tc>
      </w:tr>
      <w:tr w:rsidR="008C4D74" w:rsidTr="008D10E8">
        <w:trPr>
          <w:trHeight w:val="527"/>
        </w:trPr>
        <w:tc>
          <w:tcPr>
            <w:tcW w:w="1403" w:type="dxa"/>
            <w:gridSpan w:val="2"/>
            <w:vMerge w:val="restart"/>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8C4D74" w:rsidRDefault="008C4D74" w:rsidP="008D10E8">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8C4D74" w:rsidTr="008D10E8">
        <w:trPr>
          <w:trHeight w:val="490"/>
        </w:trPr>
        <w:tc>
          <w:tcPr>
            <w:tcW w:w="1403" w:type="dxa"/>
            <w:gridSpan w:val="2"/>
            <w:vMerge/>
          </w:tcPr>
          <w:p w:rsidR="008C4D74" w:rsidRDefault="008C4D74" w:rsidP="008D10E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申购</w:t>
            </w:r>
          </w:p>
        </w:tc>
        <w:tc>
          <w:tcPr>
            <w:tcW w:w="5987" w:type="dxa"/>
            <w:vAlign w:val="center"/>
          </w:tcPr>
          <w:p w:rsidR="008C4D74" w:rsidRDefault="008C4D74" w:rsidP="008D10E8">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8C4D74" w:rsidTr="008D10E8">
        <w:trPr>
          <w:trHeight w:val="452"/>
        </w:trPr>
        <w:tc>
          <w:tcPr>
            <w:tcW w:w="1403" w:type="dxa"/>
            <w:gridSpan w:val="2"/>
            <w:vMerge/>
          </w:tcPr>
          <w:p w:rsidR="008C4D74" w:rsidRDefault="008C4D74" w:rsidP="008D10E8">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赎回</w:t>
            </w:r>
          </w:p>
        </w:tc>
        <w:tc>
          <w:tcPr>
            <w:tcW w:w="5987" w:type="dxa"/>
            <w:vAlign w:val="center"/>
          </w:tcPr>
          <w:p w:rsidR="008C4D74" w:rsidRDefault="008C4D74" w:rsidP="008D10E8">
            <w:pPr>
              <w:autoSpaceDE w:val="0"/>
              <w:autoSpaceDN w:val="0"/>
              <w:adjustRightInd w:val="0"/>
              <w:snapToGrid w:val="0"/>
              <w:spacing w:line="360" w:lineRule="auto"/>
              <w:rPr>
                <w:rFonts w:ascii="宋体" w:hAnsi="宋体" w:cs="宋体"/>
                <w:b/>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tr w:rsidR="008C4D74" w:rsidTr="008D10E8">
        <w:trPr>
          <w:trHeight w:val="441"/>
        </w:trPr>
        <w:tc>
          <w:tcPr>
            <w:tcW w:w="1403" w:type="dxa"/>
            <w:gridSpan w:val="2"/>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
        </w:tc>
      </w:tr>
      <w:tr w:rsidR="008C4D74" w:rsidTr="008D10E8">
        <w:trPr>
          <w:trHeight w:val="329"/>
        </w:trPr>
        <w:tc>
          <w:tcPr>
            <w:tcW w:w="8524" w:type="dxa"/>
            <w:gridSpan w:val="5"/>
            <w:vAlign w:val="center"/>
          </w:tcPr>
          <w:p w:rsidR="008C4D74" w:rsidRDefault="008C4D74" w:rsidP="008D10E8">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8C4D74" w:rsidTr="008D10E8">
        <w:tc>
          <w:tcPr>
            <w:tcW w:w="675" w:type="dxa"/>
            <w:vAlign w:val="center"/>
          </w:tcPr>
          <w:p w:rsidR="008C4D74" w:rsidRDefault="008C4D74" w:rsidP="008D10E8">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8C4D74" w:rsidRDefault="008C4D74" w:rsidP="008D10E8">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8C4D74" w:rsidRDefault="008C4D74" w:rsidP="008D10E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8C4D74" w:rsidRDefault="008C4D74" w:rsidP="008D10E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8C4D74" w:rsidRDefault="008C4D74" w:rsidP="008D10E8">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8C4D74" w:rsidTr="008D10E8">
        <w:trPr>
          <w:trHeight w:hRule="exact" w:val="1014"/>
        </w:trPr>
        <w:tc>
          <w:tcPr>
            <w:tcW w:w="675" w:type="dxa"/>
            <w:vMerge w:val="restart"/>
            <w:vAlign w:val="center"/>
          </w:tcPr>
          <w:p w:rsidR="008C4D74" w:rsidRDefault="008C4D74" w:rsidP="008D10E8">
            <w:pPr>
              <w:spacing w:line="360" w:lineRule="auto"/>
              <w:jc w:val="center"/>
              <w:rPr>
                <w:b/>
                <w:sz w:val="18"/>
                <w:szCs w:val="18"/>
              </w:rPr>
            </w:pPr>
            <w:r>
              <w:rPr>
                <w:rFonts w:hint="eastAsia"/>
                <w:b/>
                <w:sz w:val="18"/>
                <w:szCs w:val="18"/>
              </w:rPr>
              <w:t>投资者签署栏</w:t>
            </w:r>
          </w:p>
        </w:tc>
        <w:tc>
          <w:tcPr>
            <w:tcW w:w="851" w:type="dxa"/>
            <w:gridSpan w:val="2"/>
          </w:tcPr>
          <w:p w:rsidR="008C4D74" w:rsidRDefault="008C4D74" w:rsidP="008D10E8">
            <w:pPr>
              <w:spacing w:line="360" w:lineRule="auto"/>
              <w:rPr>
                <w:b/>
                <w:sz w:val="18"/>
                <w:szCs w:val="18"/>
              </w:rPr>
            </w:pPr>
            <w:r>
              <w:rPr>
                <w:rFonts w:hint="eastAsia"/>
                <w:b/>
                <w:sz w:val="18"/>
                <w:szCs w:val="18"/>
              </w:rPr>
              <w:t>个人投资者适用</w:t>
            </w:r>
          </w:p>
        </w:tc>
        <w:tc>
          <w:tcPr>
            <w:tcW w:w="6998" w:type="dxa"/>
            <w:gridSpan w:val="2"/>
          </w:tcPr>
          <w:p w:rsidR="008C4D74" w:rsidRDefault="008C4D74" w:rsidP="008D10E8">
            <w:pPr>
              <w:spacing w:line="360" w:lineRule="auto"/>
              <w:rPr>
                <w:sz w:val="18"/>
                <w:szCs w:val="18"/>
              </w:rPr>
            </w:pPr>
            <w:r>
              <w:rPr>
                <w:rFonts w:hint="eastAsia"/>
                <w:sz w:val="18"/>
                <w:szCs w:val="18"/>
              </w:rPr>
              <w:t>投资者（签字）：</w:t>
            </w:r>
          </w:p>
          <w:p w:rsidR="008C4D74" w:rsidRDefault="008C4D74" w:rsidP="008D10E8">
            <w:pPr>
              <w:spacing w:line="360" w:lineRule="auto"/>
              <w:rPr>
                <w:b/>
                <w:sz w:val="18"/>
                <w:szCs w:val="18"/>
              </w:rPr>
            </w:pPr>
          </w:p>
          <w:p w:rsidR="008C4D74" w:rsidRDefault="008C4D74" w:rsidP="008D10E8">
            <w:pPr>
              <w:spacing w:line="360" w:lineRule="auto"/>
              <w:rPr>
                <w:b/>
                <w:sz w:val="18"/>
                <w:szCs w:val="18"/>
              </w:rPr>
            </w:pPr>
            <w:r>
              <w:rPr>
                <w:rFonts w:hint="eastAsia"/>
                <w:sz w:val="18"/>
                <w:szCs w:val="18"/>
              </w:rPr>
              <w:t>日期：</w:t>
            </w:r>
          </w:p>
        </w:tc>
      </w:tr>
      <w:tr w:rsidR="008C4D74" w:rsidTr="008D10E8">
        <w:tc>
          <w:tcPr>
            <w:tcW w:w="675" w:type="dxa"/>
            <w:vMerge/>
          </w:tcPr>
          <w:p w:rsidR="008C4D74" w:rsidRDefault="008C4D74" w:rsidP="008D10E8">
            <w:pPr>
              <w:spacing w:line="360" w:lineRule="auto"/>
              <w:rPr>
                <w:b/>
                <w:sz w:val="18"/>
                <w:szCs w:val="18"/>
              </w:rPr>
            </w:pPr>
          </w:p>
        </w:tc>
        <w:tc>
          <w:tcPr>
            <w:tcW w:w="851" w:type="dxa"/>
            <w:gridSpan w:val="2"/>
          </w:tcPr>
          <w:p w:rsidR="008C4D74" w:rsidRDefault="008C4D74" w:rsidP="008D10E8">
            <w:pPr>
              <w:spacing w:line="360" w:lineRule="auto"/>
              <w:rPr>
                <w:b/>
                <w:sz w:val="18"/>
                <w:szCs w:val="18"/>
              </w:rPr>
            </w:pPr>
            <w:r>
              <w:rPr>
                <w:rFonts w:hint="eastAsia"/>
                <w:b/>
                <w:sz w:val="18"/>
                <w:szCs w:val="18"/>
              </w:rPr>
              <w:t>机构投资者适用</w:t>
            </w:r>
          </w:p>
        </w:tc>
        <w:tc>
          <w:tcPr>
            <w:tcW w:w="6998" w:type="dxa"/>
            <w:gridSpan w:val="2"/>
          </w:tcPr>
          <w:p w:rsidR="008C4D74" w:rsidRDefault="008C4D74" w:rsidP="008D10E8">
            <w:pPr>
              <w:spacing w:line="360" w:lineRule="auto"/>
              <w:rPr>
                <w:rFonts w:cs="Arial"/>
                <w:sz w:val="18"/>
                <w:szCs w:val="18"/>
              </w:rPr>
            </w:pPr>
            <w:r>
              <w:rPr>
                <w:rFonts w:hint="eastAsia"/>
                <w:sz w:val="18"/>
                <w:szCs w:val="18"/>
              </w:rPr>
              <w:t>投资者</w:t>
            </w:r>
            <w:r>
              <w:rPr>
                <w:rFonts w:cs="Arial" w:hint="eastAsia"/>
                <w:sz w:val="18"/>
                <w:szCs w:val="18"/>
              </w:rPr>
              <w:t>（盖章）：</w:t>
            </w:r>
          </w:p>
          <w:p w:rsidR="008C4D74" w:rsidRDefault="008C4D74" w:rsidP="008D10E8">
            <w:pPr>
              <w:spacing w:line="360" w:lineRule="auto"/>
              <w:rPr>
                <w:rFonts w:cs="Arial"/>
                <w:sz w:val="18"/>
                <w:szCs w:val="18"/>
              </w:rPr>
            </w:pPr>
          </w:p>
          <w:p w:rsidR="008C4D74" w:rsidRDefault="008C4D74" w:rsidP="008D10E8">
            <w:pPr>
              <w:spacing w:line="360" w:lineRule="auto"/>
              <w:rPr>
                <w:rFonts w:cs="Arial"/>
                <w:sz w:val="18"/>
                <w:szCs w:val="18"/>
              </w:rPr>
            </w:pPr>
            <w:r>
              <w:rPr>
                <w:rFonts w:cs="Arial" w:hint="eastAsia"/>
                <w:sz w:val="18"/>
                <w:szCs w:val="18"/>
              </w:rPr>
              <w:t>投资者法定代表人或授权代理人（签字或盖章）：</w:t>
            </w:r>
          </w:p>
          <w:p w:rsidR="008C4D74" w:rsidRDefault="008C4D74" w:rsidP="008D10E8">
            <w:pPr>
              <w:spacing w:line="360" w:lineRule="auto"/>
              <w:rPr>
                <w:b/>
                <w:sz w:val="18"/>
                <w:szCs w:val="18"/>
              </w:rPr>
            </w:pPr>
          </w:p>
          <w:p w:rsidR="008C4D74" w:rsidRDefault="008C4D74" w:rsidP="008D10E8">
            <w:pPr>
              <w:spacing w:line="360" w:lineRule="auto"/>
              <w:rPr>
                <w:sz w:val="18"/>
                <w:szCs w:val="18"/>
              </w:rPr>
            </w:pPr>
            <w:r>
              <w:rPr>
                <w:rFonts w:hint="eastAsia"/>
                <w:sz w:val="18"/>
                <w:szCs w:val="18"/>
              </w:rPr>
              <w:t>日期：</w:t>
            </w:r>
          </w:p>
        </w:tc>
      </w:tr>
    </w:tbl>
    <w:p w:rsidR="008C4D74" w:rsidRDefault="008C4D74" w:rsidP="008C4D74">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p w:rsidR="008C4D74" w:rsidRDefault="008C4D74">
      <w:pPr>
        <w:sectPr w:rsidR="008C4D74">
          <w:headerReference w:type="default" r:id="rId11"/>
          <w:pgSz w:w="11906" w:h="16838"/>
          <w:pgMar w:top="1440" w:right="1800" w:bottom="1440" w:left="1800" w:header="567" w:footer="992" w:gutter="0"/>
          <w:pgNumType w:start="1"/>
          <w:cols w:space="720"/>
          <w:docGrid w:type="lines" w:linePitch="312"/>
        </w:sectPr>
      </w:pPr>
    </w:p>
    <w:p w:rsidR="008C4D74" w:rsidRDefault="008C4D74" w:rsidP="008C4D74">
      <w:pPr>
        <w:widowControl/>
        <w:spacing w:line="360" w:lineRule="auto"/>
        <w:jc w:val="center"/>
        <w:rPr>
          <w:rStyle w:val="a6"/>
          <w:rFonts w:ascii="宋体" w:hAnsi="宋体"/>
          <w:sz w:val="30"/>
          <w:szCs w:val="30"/>
        </w:rPr>
      </w:pPr>
      <w:r>
        <w:rPr>
          <w:rFonts w:ascii="宋体" w:hAnsi="宋体" w:hint="eastAsia"/>
          <w:b/>
          <w:sz w:val="30"/>
          <w:szCs w:val="30"/>
        </w:rPr>
        <w:lastRenderedPageBreak/>
        <w:t>理财非存款、产品有风险、投资须谨慎！</w:t>
      </w:r>
    </w:p>
    <w:p w:rsidR="008C4D74" w:rsidRDefault="008C4D74" w:rsidP="008C4D74">
      <w:pPr>
        <w:adjustRightInd w:val="0"/>
        <w:spacing w:line="360" w:lineRule="auto"/>
        <w:jc w:val="center"/>
        <w:rPr>
          <w:rStyle w:val="a6"/>
          <w:rFonts w:ascii="宋体" w:hAnsi="宋体"/>
          <w:sz w:val="32"/>
          <w:szCs w:val="32"/>
        </w:rPr>
      </w:pPr>
    </w:p>
    <w:p w:rsidR="008C4D74" w:rsidRDefault="008C4D74" w:rsidP="008C4D74">
      <w:pPr>
        <w:adjustRightInd w:val="0"/>
        <w:spacing w:line="360" w:lineRule="auto"/>
        <w:jc w:val="center"/>
        <w:rPr>
          <w:rStyle w:val="a6"/>
          <w:rFonts w:ascii="宋体" w:hAnsi="宋体"/>
          <w:sz w:val="32"/>
          <w:szCs w:val="32"/>
        </w:rPr>
      </w:pPr>
    </w:p>
    <w:p w:rsidR="008C4D74" w:rsidRDefault="008C4D74" w:rsidP="008C4D74">
      <w:pPr>
        <w:adjustRightInd w:val="0"/>
        <w:spacing w:line="360" w:lineRule="auto"/>
        <w:jc w:val="center"/>
        <w:rPr>
          <w:rStyle w:val="a6"/>
          <w:rFonts w:ascii="宋体" w:hAnsi="宋体"/>
          <w:sz w:val="32"/>
          <w:szCs w:val="32"/>
        </w:rPr>
      </w:pPr>
      <w:r>
        <w:rPr>
          <w:rFonts w:ascii="黑体" w:eastAsia="黑体" w:hAnsi="黑体"/>
          <w:b/>
          <w:noProof/>
          <w:sz w:val="28"/>
          <w:szCs w:val="28"/>
        </w:rPr>
        <w:drawing>
          <wp:inline distT="0" distB="0" distL="0" distR="0" wp14:anchorId="1324A908" wp14:editId="007555CD">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8C4D74" w:rsidRDefault="008C4D74" w:rsidP="008C4D74">
      <w:pPr>
        <w:adjustRightInd w:val="0"/>
        <w:spacing w:line="360" w:lineRule="auto"/>
        <w:jc w:val="center"/>
        <w:rPr>
          <w:rStyle w:val="a6"/>
          <w:rFonts w:ascii="宋体" w:hAnsi="宋体"/>
          <w:sz w:val="32"/>
          <w:szCs w:val="32"/>
        </w:rPr>
      </w:pPr>
    </w:p>
    <w:p w:rsidR="008C4D74" w:rsidRDefault="008C4D74" w:rsidP="008C4D74">
      <w:pPr>
        <w:adjustRightInd w:val="0"/>
        <w:spacing w:line="360" w:lineRule="auto"/>
        <w:jc w:val="center"/>
        <w:rPr>
          <w:rStyle w:val="a6"/>
          <w:rFonts w:ascii="黑体" w:eastAsia="黑体" w:hAnsi="黑体"/>
          <w:sz w:val="44"/>
          <w:szCs w:val="44"/>
        </w:rPr>
      </w:pPr>
      <w:r>
        <w:rPr>
          <w:rFonts w:ascii="黑体" w:eastAsia="黑体" w:hAnsi="黑体" w:hint="eastAsia"/>
          <w:b/>
          <w:sz w:val="44"/>
          <w:szCs w:val="44"/>
        </w:rPr>
        <w:t>兴银理财天天万利</w:t>
      </w:r>
      <w:proofErr w:type="gramStart"/>
      <w:r>
        <w:rPr>
          <w:rFonts w:ascii="黑体" w:eastAsia="黑体" w:hAnsi="黑体" w:hint="eastAsia"/>
          <w:b/>
          <w:sz w:val="44"/>
          <w:szCs w:val="44"/>
        </w:rPr>
        <w:t>宝稳利</w:t>
      </w:r>
      <w:proofErr w:type="gramEnd"/>
      <w:r>
        <w:rPr>
          <w:rFonts w:ascii="黑体" w:eastAsia="黑体" w:hAnsi="黑体" w:hint="eastAsia"/>
          <w:b/>
          <w:sz w:val="44"/>
          <w:szCs w:val="44"/>
        </w:rPr>
        <w:t>净值型理财</w:t>
      </w:r>
      <w:proofErr w:type="gramStart"/>
      <w:r>
        <w:rPr>
          <w:rFonts w:ascii="黑体" w:eastAsia="黑体" w:hAnsi="黑体" w:hint="eastAsia"/>
          <w:b/>
          <w:sz w:val="44"/>
          <w:szCs w:val="44"/>
        </w:rPr>
        <w:t>产品</w:t>
      </w:r>
      <w:r>
        <w:rPr>
          <w:rStyle w:val="a6"/>
          <w:rFonts w:ascii="黑体" w:eastAsia="黑体" w:hAnsi="黑体" w:hint="eastAsia"/>
          <w:sz w:val="44"/>
          <w:szCs w:val="44"/>
        </w:rPr>
        <w:t>产品</w:t>
      </w:r>
      <w:proofErr w:type="gramEnd"/>
      <w:r>
        <w:rPr>
          <w:rStyle w:val="a6"/>
          <w:rFonts w:ascii="黑体" w:eastAsia="黑体" w:hAnsi="黑体" w:hint="eastAsia"/>
          <w:sz w:val="44"/>
          <w:szCs w:val="44"/>
        </w:rPr>
        <w:t>说明书</w:t>
      </w:r>
    </w:p>
    <w:p w:rsidR="008C4D74" w:rsidRDefault="008C4D74" w:rsidP="008C4D74">
      <w:pPr>
        <w:adjustRightInd w:val="0"/>
        <w:spacing w:line="360" w:lineRule="auto"/>
        <w:jc w:val="center"/>
        <w:rPr>
          <w:rStyle w:val="a6"/>
          <w:rFonts w:ascii="宋体" w:hAnsi="宋体"/>
          <w:sz w:val="32"/>
          <w:szCs w:val="32"/>
        </w:rPr>
      </w:pPr>
    </w:p>
    <w:p w:rsidR="008C4D74" w:rsidRDefault="008C4D74" w:rsidP="008C4D74">
      <w:pPr>
        <w:adjustRightInd w:val="0"/>
        <w:spacing w:line="360" w:lineRule="auto"/>
        <w:rPr>
          <w:rStyle w:val="a6"/>
          <w:rFonts w:ascii="黑体" w:eastAsia="黑体" w:hAnsi="黑体"/>
          <w:bCs w:val="0"/>
          <w:sz w:val="28"/>
          <w:szCs w:val="28"/>
        </w:rPr>
      </w:pPr>
    </w:p>
    <w:p w:rsidR="008C4D74" w:rsidRDefault="008C4D74" w:rsidP="008C4D74">
      <w:pPr>
        <w:adjustRightInd w:val="0"/>
        <w:spacing w:line="360" w:lineRule="auto"/>
        <w:jc w:val="center"/>
        <w:rPr>
          <w:rStyle w:val="a6"/>
          <w:rFonts w:ascii="黑体" w:eastAsia="黑体" w:hAnsi="黑体"/>
          <w:bCs w:val="0"/>
          <w:sz w:val="28"/>
          <w:szCs w:val="28"/>
        </w:rPr>
      </w:pPr>
    </w:p>
    <w:p w:rsidR="008C4D74" w:rsidRDefault="008C4D74" w:rsidP="008C4D74">
      <w:pPr>
        <w:adjustRightInd w:val="0"/>
        <w:spacing w:line="360" w:lineRule="auto"/>
        <w:jc w:val="center"/>
        <w:rPr>
          <w:rStyle w:val="a6"/>
          <w:rFonts w:ascii="黑体" w:eastAsia="黑体" w:hAnsi="黑体"/>
          <w:bCs w:val="0"/>
          <w:sz w:val="28"/>
          <w:szCs w:val="28"/>
        </w:rPr>
      </w:pPr>
    </w:p>
    <w:p w:rsidR="008C4D74" w:rsidRDefault="008C4D74" w:rsidP="008C4D74">
      <w:pPr>
        <w:adjustRightInd w:val="0"/>
        <w:spacing w:line="360" w:lineRule="auto"/>
        <w:jc w:val="center"/>
        <w:rPr>
          <w:rStyle w:val="a6"/>
          <w:rFonts w:ascii="宋体" w:hAnsi="宋体"/>
          <w:sz w:val="32"/>
          <w:szCs w:val="32"/>
        </w:rPr>
      </w:pPr>
      <w:r>
        <w:rPr>
          <w:rStyle w:val="a6"/>
          <w:rFonts w:ascii="宋体" w:hAnsi="宋体" w:hint="eastAsia"/>
          <w:sz w:val="32"/>
          <w:szCs w:val="32"/>
        </w:rPr>
        <w:t>理财产品管理人：兴银理财有限责任公司</w:t>
      </w:r>
    </w:p>
    <w:p w:rsidR="008C4D74" w:rsidRDefault="008C4D74" w:rsidP="008C4D74">
      <w:pPr>
        <w:adjustRightInd w:val="0"/>
        <w:spacing w:line="360" w:lineRule="auto"/>
        <w:jc w:val="center"/>
        <w:rPr>
          <w:rStyle w:val="a6"/>
          <w:rFonts w:ascii="宋体" w:hAnsi="宋体"/>
          <w:sz w:val="32"/>
          <w:szCs w:val="32"/>
        </w:rPr>
      </w:pPr>
    </w:p>
    <w:p w:rsidR="008C4D74" w:rsidRDefault="008C4D74" w:rsidP="008C4D74">
      <w:pPr>
        <w:adjustRightInd w:val="0"/>
        <w:spacing w:line="360" w:lineRule="auto"/>
        <w:jc w:val="center"/>
        <w:rPr>
          <w:rStyle w:val="a6"/>
          <w:rFonts w:ascii="宋体" w:hAnsi="宋体"/>
          <w:sz w:val="32"/>
          <w:szCs w:val="32"/>
        </w:rPr>
      </w:pPr>
    </w:p>
    <w:p w:rsidR="008C4D74" w:rsidRDefault="008C4D74" w:rsidP="008C4D74">
      <w:pPr>
        <w:adjustRightInd w:val="0"/>
        <w:spacing w:line="360" w:lineRule="auto"/>
        <w:jc w:val="center"/>
        <w:rPr>
          <w:rStyle w:val="a6"/>
          <w:rFonts w:ascii="宋体" w:hAnsi="宋体"/>
          <w:sz w:val="32"/>
          <w:szCs w:val="32"/>
        </w:rPr>
      </w:pPr>
      <w:r>
        <w:rPr>
          <w:rStyle w:val="a6"/>
          <w:rFonts w:ascii="宋体" w:hAnsi="宋体" w:hint="eastAsia"/>
          <w:sz w:val="32"/>
          <w:szCs w:val="32"/>
        </w:rPr>
        <w:t>日期</w:t>
      </w:r>
      <w:r>
        <w:rPr>
          <w:rStyle w:val="a6"/>
          <w:rFonts w:ascii="宋体" w:hAnsi="宋体"/>
          <w:sz w:val="32"/>
          <w:szCs w:val="32"/>
        </w:rPr>
        <w:t>：</w:t>
      </w:r>
      <w:r>
        <w:rPr>
          <w:rStyle w:val="a6"/>
          <w:rFonts w:ascii="宋体" w:hAnsi="宋体" w:hint="eastAsia"/>
          <w:sz w:val="32"/>
          <w:szCs w:val="32"/>
        </w:rPr>
        <w:t>【2022】年【</w:t>
      </w:r>
      <w:r>
        <w:rPr>
          <w:rStyle w:val="a6"/>
          <w:rFonts w:ascii="宋体" w:hAnsi="宋体"/>
          <w:sz w:val="32"/>
          <w:szCs w:val="32"/>
        </w:rPr>
        <w:t>9</w:t>
      </w:r>
      <w:r>
        <w:rPr>
          <w:rStyle w:val="a6"/>
          <w:rFonts w:ascii="宋体" w:hAnsi="宋体" w:hint="eastAsia"/>
          <w:sz w:val="32"/>
          <w:szCs w:val="32"/>
        </w:rPr>
        <w:t>】月</w:t>
      </w:r>
    </w:p>
    <w:p w:rsidR="008C4D74" w:rsidRDefault="008C4D74" w:rsidP="008C4D74">
      <w:pPr>
        <w:adjustRightInd w:val="0"/>
        <w:spacing w:line="360" w:lineRule="auto"/>
        <w:jc w:val="center"/>
        <w:rPr>
          <w:rStyle w:val="a6"/>
          <w:rFonts w:ascii="宋体" w:hAnsi="宋体"/>
          <w:sz w:val="32"/>
          <w:szCs w:val="32"/>
        </w:rPr>
      </w:pPr>
    </w:p>
    <w:p w:rsidR="008C4D74" w:rsidRDefault="008C4D74" w:rsidP="008C4D74">
      <w:pPr>
        <w:pStyle w:val="Default"/>
        <w:spacing w:line="360" w:lineRule="auto"/>
        <w:rPr>
          <w:rFonts w:hAnsi="宋体"/>
          <w:sz w:val="28"/>
          <w:szCs w:val="28"/>
        </w:rPr>
        <w:sectPr w:rsidR="008C4D74">
          <w:headerReference w:type="default" r:id="rId13"/>
          <w:footerReference w:type="default" r:id="rId14"/>
          <w:footerReference w:type="first" r:id="rId15"/>
          <w:pgSz w:w="11906" w:h="16838"/>
          <w:pgMar w:top="1276" w:right="1800" w:bottom="1418" w:left="1800" w:header="567" w:footer="850" w:gutter="0"/>
          <w:cols w:space="425"/>
          <w:titlePg/>
          <w:docGrid w:type="lines" w:linePitch="312"/>
        </w:sectPr>
      </w:pPr>
    </w:p>
    <w:bookmarkStart w:id="73"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rFonts w:ascii="Times New Roman" w:hAnsi="Times New Roman" w:cs="Times New Roman"/>
          <w:szCs w:val="20"/>
          <w:lang w:val="en-US"/>
        </w:rPr>
      </w:sdtEndPr>
      <w:sdtContent>
        <w:p w:rsidR="008C4D74" w:rsidRDefault="008C4D74" w:rsidP="008C4D74">
          <w:pPr>
            <w:pStyle w:val="TOC2"/>
            <w:spacing w:line="360" w:lineRule="auto"/>
            <w:jc w:val="center"/>
          </w:pPr>
          <w:r>
            <w:rPr>
              <w:lang w:val="zh-CN"/>
            </w:rPr>
            <w:t>目录</w:t>
          </w:r>
        </w:p>
        <w:p w:rsidR="008C4D74" w:rsidRDefault="008C4D74" w:rsidP="008C4D74">
          <w:pPr>
            <w:pStyle w:val="10"/>
            <w:tabs>
              <w:tab w:val="clear" w:pos="8296"/>
              <w:tab w:val="right" w:leader="dot" w:pos="8306"/>
            </w:tabs>
            <w:ind w:firstLine="440"/>
          </w:pPr>
          <w:r>
            <w:rPr>
              <w:kern w:val="0"/>
              <w:sz w:val="22"/>
            </w:rPr>
            <w:fldChar w:fldCharType="begin"/>
          </w:r>
          <w:r>
            <w:instrText xml:space="preserve"> TOC \o "1-3" \h \z \u </w:instrText>
          </w:r>
          <w:r>
            <w:rPr>
              <w:kern w:val="0"/>
              <w:sz w:val="22"/>
            </w:rPr>
            <w:fldChar w:fldCharType="separate"/>
          </w:r>
          <w:hyperlink w:anchor="_Toc9482" w:history="1">
            <w:r>
              <w:t>第</w:t>
            </w:r>
            <w:r>
              <w:rPr>
                <w:rFonts w:hint="eastAsia"/>
              </w:rPr>
              <w:t>一条</w:t>
            </w:r>
            <w:r>
              <w:rPr>
                <w:rFonts w:hint="eastAsia"/>
              </w:rPr>
              <w:t xml:space="preserve"> </w:t>
            </w:r>
            <w:r>
              <w:t xml:space="preserve"> </w:t>
            </w:r>
            <w:r>
              <w:t>释义</w:t>
            </w:r>
            <w:r>
              <w:tab/>
            </w:r>
            <w:r>
              <w:fldChar w:fldCharType="begin"/>
            </w:r>
            <w:r>
              <w:instrText xml:space="preserve"> PAGEREF _Toc9482 \h </w:instrText>
            </w:r>
            <w:r>
              <w:fldChar w:fldCharType="separate"/>
            </w:r>
            <w:r>
              <w:t>1</w:t>
            </w:r>
            <w:r>
              <w:fldChar w:fldCharType="end"/>
            </w:r>
          </w:hyperlink>
        </w:p>
        <w:p w:rsidR="008C4D74" w:rsidRDefault="008C4D74" w:rsidP="008C4D74">
          <w:pPr>
            <w:pStyle w:val="10"/>
            <w:tabs>
              <w:tab w:val="clear" w:pos="8296"/>
              <w:tab w:val="right" w:leader="dot" w:pos="8306"/>
            </w:tabs>
          </w:pPr>
          <w:hyperlink w:anchor="_Toc23998" w:history="1">
            <w:r>
              <w:rPr>
                <w:rFonts w:hAnsi="宋体" w:hint="eastAsia"/>
                <w:szCs w:val="28"/>
              </w:rPr>
              <w:t>第二条</w:t>
            </w:r>
            <w:r>
              <w:rPr>
                <w:rFonts w:hAnsi="宋体" w:hint="eastAsia"/>
                <w:szCs w:val="28"/>
              </w:rPr>
              <w:t xml:space="preserve">  </w:t>
            </w:r>
            <w:r>
              <w:rPr>
                <w:rFonts w:hAnsi="宋体" w:hint="eastAsia"/>
                <w:szCs w:val="28"/>
              </w:rPr>
              <w:t>理财产品基本情况</w:t>
            </w:r>
            <w:r>
              <w:tab/>
            </w:r>
            <w:r>
              <w:fldChar w:fldCharType="begin"/>
            </w:r>
            <w:r>
              <w:instrText xml:space="preserve"> PAGEREF _Toc23998 \h </w:instrText>
            </w:r>
            <w:r>
              <w:fldChar w:fldCharType="separate"/>
            </w:r>
            <w:r>
              <w:t>6</w:t>
            </w:r>
            <w:r>
              <w:fldChar w:fldCharType="end"/>
            </w:r>
          </w:hyperlink>
        </w:p>
        <w:p w:rsidR="008C4D74" w:rsidRDefault="008C4D74" w:rsidP="008C4D74">
          <w:pPr>
            <w:pStyle w:val="10"/>
            <w:tabs>
              <w:tab w:val="clear" w:pos="8296"/>
              <w:tab w:val="right" w:leader="dot" w:pos="8306"/>
            </w:tabs>
          </w:pPr>
          <w:hyperlink w:anchor="_Toc15862" w:history="1">
            <w:r>
              <w:t>第</w:t>
            </w:r>
            <w:r>
              <w:rPr>
                <w:rFonts w:hint="eastAsia"/>
              </w:rPr>
              <w:t>三条</w:t>
            </w:r>
            <w:r>
              <w:t xml:space="preserve">  </w:t>
            </w:r>
            <w:r>
              <w:rPr>
                <w:rFonts w:hint="eastAsia"/>
              </w:rPr>
              <w:t>理财产品的认购</w:t>
            </w:r>
            <w:r>
              <w:tab/>
            </w:r>
            <w:r>
              <w:fldChar w:fldCharType="begin"/>
            </w:r>
            <w:r>
              <w:instrText xml:space="preserve"> PAGEREF _Toc15862 \h </w:instrText>
            </w:r>
            <w:r>
              <w:fldChar w:fldCharType="separate"/>
            </w:r>
            <w:r>
              <w:t>13</w:t>
            </w:r>
            <w:r>
              <w:fldChar w:fldCharType="end"/>
            </w:r>
          </w:hyperlink>
        </w:p>
        <w:p w:rsidR="008C4D74" w:rsidRDefault="008C4D74" w:rsidP="008C4D74">
          <w:pPr>
            <w:pStyle w:val="10"/>
            <w:tabs>
              <w:tab w:val="clear" w:pos="8296"/>
              <w:tab w:val="right" w:leader="dot" w:pos="8306"/>
            </w:tabs>
          </w:pPr>
          <w:hyperlink w:anchor="_Toc28040" w:history="1">
            <w:r>
              <w:rPr>
                <w:rFonts w:hint="eastAsia"/>
              </w:rPr>
              <w:t>第四条</w:t>
            </w:r>
            <w:r>
              <w:rPr>
                <w:rFonts w:hint="eastAsia"/>
              </w:rPr>
              <w:t xml:space="preserve"> </w:t>
            </w:r>
            <w:r>
              <w:t xml:space="preserve"> </w:t>
            </w:r>
            <w:r>
              <w:rPr>
                <w:rFonts w:hint="eastAsia"/>
              </w:rPr>
              <w:t>理财产品的申购与赎回</w:t>
            </w:r>
            <w:r>
              <w:tab/>
            </w:r>
            <w:r>
              <w:fldChar w:fldCharType="begin"/>
            </w:r>
            <w:r>
              <w:instrText xml:space="preserve"> PAGEREF _Toc28040 \h </w:instrText>
            </w:r>
            <w:r>
              <w:fldChar w:fldCharType="separate"/>
            </w:r>
            <w:r>
              <w:t>15</w:t>
            </w:r>
            <w:r>
              <w:fldChar w:fldCharType="end"/>
            </w:r>
          </w:hyperlink>
        </w:p>
        <w:p w:rsidR="008C4D74" w:rsidRDefault="008C4D74" w:rsidP="008C4D74">
          <w:pPr>
            <w:pStyle w:val="10"/>
            <w:tabs>
              <w:tab w:val="clear" w:pos="8296"/>
              <w:tab w:val="right" w:leader="dot" w:pos="8306"/>
            </w:tabs>
          </w:pPr>
          <w:hyperlink w:anchor="_Toc24722" w:history="1">
            <w:r>
              <w:t>第</w:t>
            </w:r>
            <w:r>
              <w:rPr>
                <w:rFonts w:hint="eastAsia"/>
              </w:rPr>
              <w:t>五条</w:t>
            </w:r>
            <w:r>
              <w:t xml:space="preserve">  </w:t>
            </w:r>
            <w:r>
              <w:rPr>
                <w:rFonts w:hint="eastAsia"/>
              </w:rPr>
              <w:t>理财产品的投资</w:t>
            </w:r>
            <w:r>
              <w:tab/>
            </w:r>
            <w:r>
              <w:fldChar w:fldCharType="begin"/>
            </w:r>
            <w:r>
              <w:instrText xml:space="preserve"> PAGEREF _Toc24722 \h </w:instrText>
            </w:r>
            <w:r>
              <w:fldChar w:fldCharType="separate"/>
            </w:r>
            <w:r>
              <w:t>19</w:t>
            </w:r>
            <w:r>
              <w:fldChar w:fldCharType="end"/>
            </w:r>
          </w:hyperlink>
        </w:p>
        <w:p w:rsidR="008C4D74" w:rsidRDefault="008C4D74" w:rsidP="008C4D74">
          <w:pPr>
            <w:pStyle w:val="10"/>
            <w:tabs>
              <w:tab w:val="clear" w:pos="8296"/>
              <w:tab w:val="right" w:leader="dot" w:pos="8306"/>
            </w:tabs>
          </w:pPr>
          <w:hyperlink w:anchor="_Toc27357" w:history="1">
            <w:r>
              <w:t>第</w:t>
            </w:r>
            <w:r>
              <w:rPr>
                <w:rFonts w:hint="eastAsia"/>
              </w:rPr>
              <w:t>六条</w:t>
            </w:r>
            <w:r>
              <w:t xml:space="preserve">  </w:t>
            </w:r>
            <w:r>
              <w:rPr>
                <w:rFonts w:hint="eastAsia"/>
              </w:rPr>
              <w:t>理财产品的资产</w:t>
            </w:r>
            <w:r>
              <w:tab/>
            </w:r>
            <w:r>
              <w:fldChar w:fldCharType="begin"/>
            </w:r>
            <w:r>
              <w:instrText xml:space="preserve"> PAGEREF _Toc27357 \h </w:instrText>
            </w:r>
            <w:r>
              <w:fldChar w:fldCharType="separate"/>
            </w:r>
            <w:r>
              <w:t>23</w:t>
            </w:r>
            <w:r>
              <w:fldChar w:fldCharType="end"/>
            </w:r>
          </w:hyperlink>
        </w:p>
        <w:p w:rsidR="008C4D74" w:rsidRDefault="008C4D74" w:rsidP="008C4D74">
          <w:pPr>
            <w:pStyle w:val="10"/>
            <w:tabs>
              <w:tab w:val="clear" w:pos="8296"/>
              <w:tab w:val="right" w:leader="dot" w:pos="8306"/>
            </w:tabs>
          </w:pPr>
          <w:hyperlink w:anchor="_Toc10162" w:history="1">
            <w:r>
              <w:rPr>
                <w:rFonts w:hint="eastAsia"/>
                <w:szCs w:val="28"/>
              </w:rPr>
              <w:t>第七条</w:t>
            </w:r>
            <w:r>
              <w:rPr>
                <w:szCs w:val="28"/>
              </w:rPr>
              <w:t xml:space="preserve">  </w:t>
            </w:r>
            <w:r>
              <w:rPr>
                <w:rFonts w:hint="eastAsia"/>
                <w:szCs w:val="28"/>
              </w:rPr>
              <w:t>理财产品项下资产的估值</w:t>
            </w:r>
            <w:r>
              <w:tab/>
            </w:r>
            <w:r>
              <w:fldChar w:fldCharType="begin"/>
            </w:r>
            <w:r>
              <w:instrText xml:space="preserve"> PAGEREF _Toc10162 \h </w:instrText>
            </w:r>
            <w:r>
              <w:fldChar w:fldCharType="separate"/>
            </w:r>
            <w:r>
              <w:t>24</w:t>
            </w:r>
            <w:r>
              <w:fldChar w:fldCharType="end"/>
            </w:r>
          </w:hyperlink>
        </w:p>
        <w:p w:rsidR="008C4D74" w:rsidRDefault="008C4D74" w:rsidP="008C4D74">
          <w:pPr>
            <w:pStyle w:val="10"/>
            <w:tabs>
              <w:tab w:val="clear" w:pos="8296"/>
              <w:tab w:val="right" w:leader="dot" w:pos="8306"/>
            </w:tabs>
          </w:pPr>
          <w:hyperlink w:anchor="_Toc3138" w:history="1">
            <w:r>
              <w:t>第</w:t>
            </w:r>
            <w:r>
              <w:rPr>
                <w:rFonts w:hint="eastAsia"/>
              </w:rPr>
              <w:t>八条</w:t>
            </w:r>
            <w:r>
              <w:t xml:space="preserve">  </w:t>
            </w:r>
            <w:r>
              <w:rPr>
                <w:rFonts w:hint="eastAsia"/>
              </w:rPr>
              <w:t>理财产品的利益分配</w:t>
            </w:r>
            <w:r>
              <w:tab/>
            </w:r>
            <w:r>
              <w:fldChar w:fldCharType="begin"/>
            </w:r>
            <w:r>
              <w:instrText xml:space="preserve"> PAGEREF _Toc3138 \h </w:instrText>
            </w:r>
            <w:r>
              <w:fldChar w:fldCharType="separate"/>
            </w:r>
            <w:r>
              <w:t>28</w:t>
            </w:r>
            <w:r>
              <w:fldChar w:fldCharType="end"/>
            </w:r>
          </w:hyperlink>
        </w:p>
        <w:p w:rsidR="008C4D74" w:rsidRDefault="008C4D74" w:rsidP="008C4D74">
          <w:pPr>
            <w:pStyle w:val="10"/>
            <w:tabs>
              <w:tab w:val="clear" w:pos="8296"/>
              <w:tab w:val="right" w:leader="dot" w:pos="8306"/>
            </w:tabs>
          </w:pPr>
          <w:hyperlink w:anchor="_Toc17110" w:history="1">
            <w:r>
              <w:t>第</w:t>
            </w:r>
            <w:r>
              <w:rPr>
                <w:rFonts w:hint="eastAsia"/>
              </w:rPr>
              <w:t>九条</w:t>
            </w:r>
            <w:r>
              <w:t xml:space="preserve">  </w:t>
            </w:r>
            <w:r>
              <w:rPr>
                <w:rFonts w:hint="eastAsia"/>
              </w:rPr>
              <w:t>理财产品的费用与税收</w:t>
            </w:r>
            <w:r>
              <w:tab/>
            </w:r>
            <w:r>
              <w:fldChar w:fldCharType="begin"/>
            </w:r>
            <w:r>
              <w:instrText xml:space="preserve"> PAGEREF _Toc17110 \h </w:instrText>
            </w:r>
            <w:r>
              <w:fldChar w:fldCharType="separate"/>
            </w:r>
            <w:r>
              <w:t>29</w:t>
            </w:r>
            <w:r>
              <w:fldChar w:fldCharType="end"/>
            </w:r>
          </w:hyperlink>
        </w:p>
        <w:p w:rsidR="008C4D74" w:rsidRDefault="008C4D74" w:rsidP="008C4D74">
          <w:pPr>
            <w:pStyle w:val="10"/>
            <w:tabs>
              <w:tab w:val="clear" w:pos="8296"/>
              <w:tab w:val="right" w:leader="dot" w:pos="8306"/>
            </w:tabs>
          </w:pPr>
          <w:hyperlink w:anchor="_Toc4606" w:history="1">
            <w:r>
              <w:rPr>
                <w:rFonts w:hint="eastAsia"/>
              </w:rPr>
              <w:t>第十条</w:t>
            </w:r>
            <w:r>
              <w:t xml:space="preserve">  </w:t>
            </w:r>
            <w:r>
              <w:rPr>
                <w:rFonts w:hint="eastAsia"/>
              </w:rPr>
              <w:t>理财产品的终止与清算</w:t>
            </w:r>
            <w:r>
              <w:tab/>
            </w:r>
            <w:r>
              <w:fldChar w:fldCharType="begin"/>
            </w:r>
            <w:r>
              <w:instrText xml:space="preserve"> PAGEREF _Toc4606 \h </w:instrText>
            </w:r>
            <w:r>
              <w:fldChar w:fldCharType="separate"/>
            </w:r>
            <w:r>
              <w:t>32</w:t>
            </w:r>
            <w:r>
              <w:fldChar w:fldCharType="end"/>
            </w:r>
          </w:hyperlink>
        </w:p>
        <w:p w:rsidR="008C4D74" w:rsidRDefault="008C4D74" w:rsidP="008C4D74">
          <w:pPr>
            <w:pStyle w:val="10"/>
            <w:tabs>
              <w:tab w:val="clear" w:pos="8296"/>
              <w:tab w:val="right" w:leader="dot" w:pos="8306"/>
            </w:tabs>
          </w:pPr>
          <w:hyperlink w:anchor="_Toc11469" w:history="1">
            <w:r>
              <w:rPr>
                <w:rFonts w:hint="eastAsia"/>
                <w:szCs w:val="28"/>
              </w:rPr>
              <w:t>第十一条</w:t>
            </w:r>
            <w:r>
              <w:rPr>
                <w:szCs w:val="28"/>
              </w:rPr>
              <w:t xml:space="preserve">  </w:t>
            </w:r>
            <w:r>
              <w:rPr>
                <w:rFonts w:hint="eastAsia"/>
                <w:szCs w:val="28"/>
              </w:rPr>
              <w:t>理财产品的信息披露</w:t>
            </w:r>
            <w:r>
              <w:tab/>
            </w:r>
            <w:r>
              <w:fldChar w:fldCharType="begin"/>
            </w:r>
            <w:r>
              <w:instrText xml:space="preserve"> PAGEREF _Toc11469 \h </w:instrText>
            </w:r>
            <w:r>
              <w:fldChar w:fldCharType="separate"/>
            </w:r>
            <w:r>
              <w:t>34</w:t>
            </w:r>
            <w:r>
              <w:fldChar w:fldCharType="end"/>
            </w:r>
          </w:hyperlink>
        </w:p>
        <w:p w:rsidR="008C4D74" w:rsidRDefault="008C4D74" w:rsidP="008C4D74">
          <w:pPr>
            <w:pStyle w:val="10"/>
            <w:tabs>
              <w:tab w:val="clear" w:pos="8296"/>
              <w:tab w:val="right" w:leader="dot" w:pos="8306"/>
            </w:tabs>
          </w:pPr>
          <w:hyperlink w:anchor="_Toc24766" w:history="1">
            <w:r>
              <w:rPr>
                <w:rFonts w:hint="eastAsia"/>
              </w:rPr>
              <w:t>第十二条</w:t>
            </w:r>
            <w:r>
              <w:t xml:space="preserve">  </w:t>
            </w:r>
            <w:r>
              <w:rPr>
                <w:rFonts w:hint="eastAsia"/>
              </w:rPr>
              <w:t>理财产品</w:t>
            </w:r>
            <w:r>
              <w:t>的风险揭示</w:t>
            </w:r>
            <w:r>
              <w:tab/>
            </w:r>
            <w:r>
              <w:fldChar w:fldCharType="begin"/>
            </w:r>
            <w:r>
              <w:instrText xml:space="preserve"> PAGEREF _Toc24766 \h </w:instrText>
            </w:r>
            <w:r>
              <w:fldChar w:fldCharType="separate"/>
            </w:r>
            <w:r>
              <w:t>37</w:t>
            </w:r>
            <w:r>
              <w:fldChar w:fldCharType="end"/>
            </w:r>
          </w:hyperlink>
        </w:p>
        <w:p w:rsidR="008C4D74" w:rsidRDefault="008C4D74" w:rsidP="008C4D74">
          <w:pPr>
            <w:spacing w:line="360" w:lineRule="auto"/>
          </w:pPr>
          <w:r>
            <w:fldChar w:fldCharType="end"/>
          </w:r>
        </w:p>
      </w:sdtContent>
    </w:sdt>
    <w:p w:rsidR="008C4D74" w:rsidRDefault="008C4D74" w:rsidP="008C4D74">
      <w:pPr>
        <w:widowControl/>
        <w:spacing w:line="360" w:lineRule="auto"/>
        <w:jc w:val="left"/>
        <w:rPr>
          <w:sz w:val="30"/>
        </w:rPr>
      </w:pPr>
    </w:p>
    <w:p w:rsidR="008C4D74" w:rsidRDefault="008C4D74" w:rsidP="008C4D74">
      <w:pPr>
        <w:widowControl/>
        <w:spacing w:line="360" w:lineRule="auto"/>
        <w:jc w:val="left"/>
        <w:rPr>
          <w:sz w:val="30"/>
        </w:rPr>
        <w:sectPr w:rsidR="008C4D74">
          <w:footerReference w:type="default" r:id="rId16"/>
          <w:pgSz w:w="11906" w:h="16838"/>
          <w:pgMar w:top="1276" w:right="1800" w:bottom="1418" w:left="1800" w:header="567" w:footer="850" w:gutter="0"/>
          <w:cols w:space="425"/>
          <w:docGrid w:type="lines" w:linePitch="312"/>
        </w:sectPr>
      </w:pPr>
    </w:p>
    <w:p w:rsidR="008C4D74" w:rsidRDefault="008C4D74" w:rsidP="008C4D74">
      <w:pPr>
        <w:pStyle w:val="1"/>
        <w:spacing w:before="0" w:after="0"/>
        <w:jc w:val="center"/>
        <w:rPr>
          <w:rFonts w:ascii="Times New Roman"/>
          <w:sz w:val="30"/>
        </w:rPr>
      </w:pPr>
      <w:bookmarkStart w:id="74" w:name="_Toc92377130"/>
      <w:bookmarkStart w:id="75" w:name="_Toc9482"/>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73"/>
      <w:bookmarkEnd w:id="74"/>
      <w:bookmarkEnd w:id="75"/>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（一）在本产品投资协议书中，除非上下文另有明确约定，下列用词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w:t>
      </w:r>
      <w:proofErr w:type="gramStart"/>
      <w:r>
        <w:rPr>
          <w:rFonts w:ascii="黑体" w:eastAsia="黑体" w:hAnsi="黑体" w:hint="eastAsia"/>
          <w:bCs/>
          <w:color w:val="auto"/>
          <w:sz w:val="18"/>
          <w:szCs w:val="18"/>
        </w:rPr>
        <w:t>指兴银</w:t>
      </w:r>
      <w:proofErr w:type="gramEnd"/>
      <w:r>
        <w:rPr>
          <w:rFonts w:ascii="黑体" w:eastAsia="黑体" w:hAnsi="黑体" w:hint="eastAsia"/>
          <w:bCs/>
          <w:color w:val="auto"/>
          <w:sz w:val="18"/>
          <w:szCs w:val="18"/>
        </w:rPr>
        <w:t>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r>
        <w:rPr>
          <w:rFonts w:asciiTheme="majorEastAsia" w:eastAsiaTheme="majorEastAsia" w:hAnsiTheme="majorEastAsia"/>
          <w:bCs/>
          <w:color w:val="auto"/>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发行理财产品的代理销售机构。销售机构在其渠道开展向投资者宣传推介、销售产品管理人依法发行的资产管理产品的活动。</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2）提供单只或多只理财产品投资建议；3）为投资者办理理财产品认购、申购和赎回；4）银保监会认定的其他业务活动。各</w:t>
      </w:r>
      <w:r>
        <w:rPr>
          <w:rFonts w:asciiTheme="majorEastAsia" w:eastAsiaTheme="majorEastAsia" w:hAnsiTheme="majorEastAsia" w:hint="eastAsia"/>
          <w:bCs/>
          <w:color w:val="auto"/>
          <w:sz w:val="18"/>
          <w:szCs w:val="18"/>
        </w:rPr>
        <w:t>销售机构的具体名单</w:t>
      </w:r>
      <w:proofErr w:type="gramStart"/>
      <w:r>
        <w:rPr>
          <w:rFonts w:asciiTheme="majorEastAsia" w:eastAsiaTheme="majorEastAsia" w:hAnsiTheme="majorEastAsia" w:hint="eastAsia"/>
          <w:bCs/>
          <w:color w:val="auto"/>
          <w:sz w:val="18"/>
          <w:szCs w:val="18"/>
        </w:rPr>
        <w:t>见产品</w:t>
      </w:r>
      <w:proofErr w:type="gramEnd"/>
      <w:r>
        <w:rPr>
          <w:rFonts w:asciiTheme="majorEastAsia" w:eastAsiaTheme="majorEastAsia" w:hAnsiTheme="majorEastAsia" w:hint="eastAsia"/>
          <w:bCs/>
          <w:color w:val="auto"/>
          <w:sz w:val="18"/>
          <w:szCs w:val="18"/>
        </w:rPr>
        <w:t>管理人届时发布的相关公告及相关《（代理）销售协议书》中的约定。</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w:t>
      </w:r>
      <w:proofErr w:type="gramStart"/>
      <w:r>
        <w:rPr>
          <w:rFonts w:asciiTheme="majorEastAsia" w:eastAsiaTheme="majorEastAsia" w:hAnsiTheme="majorEastAsia" w:hint="eastAsia"/>
          <w:bCs/>
          <w:color w:val="auto"/>
          <w:sz w:val="18"/>
          <w:szCs w:val="18"/>
        </w:rPr>
        <w:t>电子化报告</w:t>
      </w:r>
      <w:proofErr w:type="gramEnd"/>
      <w:r>
        <w:rPr>
          <w:rFonts w:asciiTheme="majorEastAsia" w:eastAsiaTheme="majorEastAsia" w:hAnsiTheme="majorEastAsia" w:hint="eastAsia"/>
          <w:bCs/>
          <w:color w:val="auto"/>
          <w:sz w:val="18"/>
          <w:szCs w:val="18"/>
        </w:rPr>
        <w:t>和信息登记的电子信息系统。</w:t>
      </w:r>
    </w:p>
    <w:p w:rsidR="008C4D74" w:rsidRDefault="008C4D74" w:rsidP="008C4D7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：指产品管理人向投资者提供的，用于描述产品特征，约定权利义务的文件。具体指《兴银理财天天万利宝稳利净值型理财产品销售文件》，包括《投资协议书》、《产品说明书》、《（代理）销售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《投资协议书》：指管理人统一编制的《兴银理财天天万利宝稳利净值型理财产品投资协议书》，以及对该文件的有效修改或补充。</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）《产品说明书》：指管理人统一编制的《兴银理财天天万利宝稳利净值型理财产品产品说明书》，以及对该文件的有效修改或补充。</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（4）《（代理）销售协议书》：指管理人统一编制的《【兴银理财天天万利宝稳利净值型理财产品（代理）销售协议书》或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的《兴银理财天天万利宝稳利净值型理财产品（代理）销售协议书》（文件名称以代理销售机构实际编制为准），以及对该文件的有效修改或补充。</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）《风险揭示书》：指管理人统一编制的《兴银理财天天万利宝稳利净值型理财产品风险揭示书》或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的《兴银理财天天万利宝稳利净值型理财产品风险揭示书》（文件名称以代理销售机构实际编制为准），以及对该文件的有效修改或补充。</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）《投资者权益须知》：指管理人统一编制的《兴银理财天天万利宝稳利净值型理财产品投资者权益须知》或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《兴银理财天天万利宝稳利净值型理财产品投资者权益须知》（文件名称以代理销售机构实际编制为准），以及对该文件的有效修改或补充。</w:t>
      </w:r>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，为在理财产品销售管理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，为每类份额类别</w:t>
      </w:r>
      <w:r>
        <w:rPr>
          <w:rFonts w:asciiTheme="majorEastAsia" w:eastAsiaTheme="majorEastAsia" w:hAnsiTheme="majorEastAsia"/>
          <w:bCs/>
          <w:color w:val="auto"/>
          <w:sz w:val="18"/>
          <w:szCs w:val="18"/>
        </w:rPr>
        <w:t>设置</w:t>
      </w:r>
      <w:r>
        <w:rPr>
          <w:rFonts w:asciiTheme="majorEastAsia" w:eastAsiaTheme="majorEastAsia" w:hAnsiTheme="majorEastAsia" w:hint="eastAsia"/>
          <w:bCs/>
          <w:color w:val="auto"/>
          <w:sz w:val="18"/>
          <w:szCs w:val="18"/>
        </w:rPr>
        <w:t>的唯一性内部识别码。</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）适合投资者：指适合购买本产品的投资者类型。</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理财产品负债总值是指理财产品运作及融资时形成的负债价值总和，包括融资资金本息、应付各项费用（包括托管费、认购费、固定管理费、业绩报酬、其他费用等）、应付税金及其他应付款项等。</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w:t>
      </w:r>
      <w:proofErr w:type="gramStart"/>
      <w:r>
        <w:rPr>
          <w:rFonts w:asciiTheme="majorEastAsia" w:eastAsiaTheme="majorEastAsia" w:hAnsiTheme="majorEastAsia"/>
          <w:bCs/>
          <w:color w:val="auto"/>
          <w:sz w:val="18"/>
          <w:szCs w:val="18"/>
        </w:rPr>
        <w:t>和</w:t>
      </w:r>
      <w:proofErr w:type="gramEnd"/>
      <w:r>
        <w:rPr>
          <w:rFonts w:asciiTheme="majorEastAsia" w:eastAsiaTheme="majorEastAsia" w:hAnsiTheme="majorEastAsia" w:hint="eastAsia"/>
          <w:bCs/>
          <w:color w:val="auto"/>
          <w:sz w:val="18"/>
          <w:szCs w:val="18"/>
        </w:rPr>
        <w:t>。</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10</w:t>
      </w:r>
      <w:r>
        <w:rPr>
          <w:rFonts w:asciiTheme="majorEastAsia" w:eastAsiaTheme="majorEastAsia" w:hAnsiTheme="majorEastAsia" w:hint="eastAsia"/>
          <w:bCs/>
          <w:color w:val="auto"/>
          <w:sz w:val="18"/>
          <w:szCs w:val="18"/>
        </w:rPr>
        <w:t>）理财产品估值：指计算评估理财产品资产和理财产品负债的价值，以确定理财产品份额净值的过程。</w:t>
      </w:r>
    </w:p>
    <w:p w:rsidR="008C4D74" w:rsidRDefault="008C4D74" w:rsidP="008C4D7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11</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指管理人基于过往投资经验及对产品存续期投资市场波动的预判而对本产品所设定的投资目标。</w:t>
      </w:r>
      <w:r>
        <w:rPr>
          <w:rFonts w:ascii="黑体" w:eastAsia="黑体" w:hAnsi="黑体" w:hint="eastAsia"/>
          <w:bCs/>
          <w:color w:val="auto"/>
          <w:sz w:val="18"/>
          <w:szCs w:val="18"/>
        </w:rPr>
        <w:t>业绩比较基准不代表理财产品未来表现，不等于理财产品实际收益，不作为产品收益的业绩保证，投资须谨慎。</w:t>
      </w:r>
    </w:p>
    <w:p w:rsidR="008C4D74" w:rsidRDefault="008C4D74" w:rsidP="008C4D74">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指管理人收取超额业绩报酬的参照相关</w:t>
      </w:r>
      <w:r>
        <w:rPr>
          <w:rFonts w:asciiTheme="majorEastAsia" w:eastAsiaTheme="majorEastAsia" w:hAnsiTheme="majorEastAsia"/>
          <w:bCs/>
          <w:color w:val="auto"/>
          <w:sz w:val="18"/>
          <w:szCs w:val="18"/>
        </w:rPr>
        <w:t>数值标准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业绩报酬计提基准不代表理财产品未来表现，不等于理财产品实际收益，不作为产品收益的业绩保证，投资须谨慎。</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13</w:t>
      </w:r>
      <w:r>
        <w:rPr>
          <w:rFonts w:asciiTheme="majorEastAsia" w:eastAsiaTheme="majorEastAsia" w:hAnsiTheme="majorEastAsia" w:hint="eastAsia"/>
          <w:bCs/>
          <w:color w:val="auto"/>
          <w:sz w:val="18"/>
          <w:szCs w:val="18"/>
        </w:rPr>
        <w:t>）</w:t>
      </w:r>
      <w:r>
        <w:rPr>
          <w:rFonts w:ascii="黑体" w:eastAsia="黑体" w:hAnsi="黑体" w:cs="仿宋_GB2312" w:hint="eastAsia"/>
          <w:bCs/>
          <w:color w:val="auto"/>
          <w:sz w:val="18"/>
          <w:szCs w:val="18"/>
        </w:rPr>
        <w:t>★</w:t>
      </w:r>
      <w:r>
        <w:rPr>
          <w:rFonts w:asciiTheme="majorEastAsia" w:eastAsiaTheme="majorEastAsia" w:hAnsiTheme="majorEastAsia" w:hint="eastAsia"/>
          <w:bCs/>
          <w:color w:val="auto"/>
          <w:sz w:val="18"/>
          <w:szCs w:val="18"/>
        </w:rPr>
        <w:t>理财产品利益/理财利益：指投资者因持有理财产品份额，按照销售文件约定取得或有权取得的理财产品管理人分配的理财产品资产。</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14）利益分配：指产品管理人向投资者进行理财产品利益分配。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 xml:space="preserve">15）期间分配：指在理财产品终止日（不含当日）前的理财产品利益分配。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16）终止分配：指在理财产品终止日当日及之后的理财产品利益分配。</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17</w:t>
      </w:r>
      <w:r>
        <w:rPr>
          <w:rFonts w:asciiTheme="majorEastAsia" w:eastAsiaTheme="majorEastAsia" w:hAnsiTheme="majorEastAsia" w:hint="eastAsia"/>
          <w:bCs/>
          <w:color w:val="auto"/>
          <w:sz w:val="18"/>
          <w:szCs w:val="18"/>
        </w:rPr>
        <w:t>）认购：指投资者根据本协议约定在认购期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募集期内申请购买本产品理财产品份额的行为。</w:t>
      </w:r>
      <w:r>
        <w:rPr>
          <w:rFonts w:asciiTheme="majorEastAsia" w:eastAsiaTheme="majorEastAsia" w:hAnsiTheme="majorEastAsia"/>
          <w:bCs/>
          <w:color w:val="auto"/>
          <w:sz w:val="18"/>
          <w:szCs w:val="18"/>
        </w:rPr>
        <w:t xml:space="preserve"> </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指理财产品成立后，投资者申请购买理财产品份额的行为。</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首次申购，指未进行认购的投资者，在理财产品成立后申请购买理财产品份额的行为。</w:t>
      </w:r>
      <w:r>
        <w:rPr>
          <w:rFonts w:asciiTheme="minorEastAsia" w:eastAsiaTheme="minorEastAsia" w:hAnsiTheme="minorEastAsia"/>
          <w:color w:val="auto"/>
          <w:sz w:val="18"/>
          <w:szCs w:val="18"/>
        </w:rPr>
        <w:t>投资者全额赎</w:t>
      </w:r>
      <w:r>
        <w:rPr>
          <w:rFonts w:asciiTheme="minorEastAsia" w:eastAsiaTheme="minorEastAsia" w:hAnsiTheme="minorEastAsia"/>
          <w:color w:val="auto"/>
          <w:sz w:val="18"/>
          <w:szCs w:val="18"/>
        </w:rPr>
        <w:lastRenderedPageBreak/>
        <w:t>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指理财产品成立后，投资者申请赎回理财产品份额的行为，即投资者申请将理财产品份额兑换为现金。</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20</w:t>
      </w:r>
      <w:r>
        <w:rPr>
          <w:rFonts w:asciiTheme="minorEastAsia" w:eastAsiaTheme="minorEastAsia" w:hAnsiTheme="minorEastAsia" w:hint="eastAsia"/>
          <w:color w:val="auto"/>
          <w:sz w:val="18"/>
          <w:szCs w:val="18"/>
        </w:rPr>
        <w:t>）</w:t>
      </w:r>
      <w:r>
        <w:rPr>
          <w:rFonts w:ascii="黑体" w:eastAsia="黑体" w:hAnsi="黑体" w:cs="仿宋_GB2312" w:hint="eastAsia"/>
          <w:bCs/>
          <w:color w:val="auto"/>
          <w:sz w:val="18"/>
          <w:szCs w:val="18"/>
        </w:rPr>
        <w:t>★</w:t>
      </w:r>
      <w:r>
        <w:rPr>
          <w:rFonts w:asciiTheme="minorEastAsia" w:eastAsiaTheme="minorEastAsia" w:hAnsiTheme="minorEastAsia" w:hint="eastAsia"/>
          <w:color w:val="auto"/>
          <w:sz w:val="18"/>
          <w:szCs w:val="18"/>
        </w:rPr>
        <w:t>预约申购</w:t>
      </w:r>
      <w:r>
        <w:rPr>
          <w:rFonts w:asciiTheme="minorEastAsia" w:eastAsiaTheme="minorEastAsia" w:hAnsiTheme="minorEastAsia"/>
          <w:color w:val="auto"/>
          <w:sz w:val="18"/>
          <w:szCs w:val="18"/>
        </w:rPr>
        <w:t>:</w:t>
      </w:r>
      <w:r>
        <w:rPr>
          <w:rFonts w:asciiTheme="minorEastAsia" w:eastAsiaTheme="minorEastAsia" w:hAnsiTheme="minorEastAsia" w:hint="eastAsia"/>
          <w:color w:val="auto"/>
          <w:sz w:val="18"/>
          <w:szCs w:val="18"/>
        </w:rPr>
        <w:t>指投资者在一段特定期间内通过预约的方式提交申购申请，该申请在申购日内自动转化为正式的申购申请。</w:t>
      </w:r>
      <w:r>
        <w:rPr>
          <w:rFonts w:asciiTheme="minorEastAsia" w:eastAsiaTheme="minorEastAsia" w:hAnsiTheme="minorEastAsia"/>
          <w:bCs/>
          <w:color w:val="auto"/>
          <w:sz w:val="18"/>
          <w:szCs w:val="18"/>
        </w:rPr>
        <w:t>提交预约申购</w:t>
      </w:r>
      <w:r>
        <w:rPr>
          <w:rFonts w:asciiTheme="minorEastAsia" w:eastAsiaTheme="minorEastAsia" w:hAnsiTheme="minorEastAsia" w:hint="eastAsia"/>
          <w:bCs/>
          <w:color w:val="auto"/>
          <w:sz w:val="18"/>
          <w:szCs w:val="18"/>
        </w:rPr>
        <w:t>申请</w:t>
      </w:r>
      <w:r>
        <w:rPr>
          <w:rFonts w:asciiTheme="minorEastAsia" w:eastAsiaTheme="minorEastAsia" w:hAnsiTheme="minorEastAsia"/>
          <w:bCs/>
          <w:color w:val="auto"/>
          <w:sz w:val="18"/>
          <w:szCs w:val="18"/>
        </w:rPr>
        <w:t>并不代表申购成功，产品管理人将在申购确认日确认投资者是否申购成功</w:t>
      </w:r>
      <w:r>
        <w:rPr>
          <w:rFonts w:asciiTheme="minorEastAsia" w:eastAsiaTheme="minorEastAsia" w:hAnsiTheme="minorEastAsia" w:hint="eastAsia"/>
          <w:bCs/>
          <w:color w:val="auto"/>
          <w:sz w:val="18"/>
          <w:szCs w:val="18"/>
        </w:rPr>
        <w:t>。</w:t>
      </w:r>
    </w:p>
    <w:p w:rsidR="008C4D74" w:rsidRDefault="008C4D74" w:rsidP="008C4D74">
      <w:pPr>
        <w:spacing w:line="360" w:lineRule="auto"/>
        <w:ind w:rightChars="-51" w:right="-107"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w:t>
      </w:r>
      <w:r>
        <w:rPr>
          <w:rFonts w:asciiTheme="minorEastAsia" w:eastAsiaTheme="minorEastAsia" w:hAnsiTheme="minorEastAsia"/>
          <w:sz w:val="18"/>
          <w:szCs w:val="18"/>
        </w:rPr>
        <w:t>21</w:t>
      </w:r>
      <w:r>
        <w:rPr>
          <w:rFonts w:asciiTheme="minorEastAsia" w:eastAsiaTheme="minorEastAsia" w:hAnsiTheme="minorEastAsia" w:hint="eastAsia"/>
          <w:sz w:val="18"/>
          <w:szCs w:val="18"/>
        </w:rPr>
        <w:t>）</w:t>
      </w:r>
      <w:r>
        <w:rPr>
          <w:rFonts w:ascii="黑体" w:eastAsia="黑体" w:hAnsi="黑体" w:cs="仿宋_GB2312" w:hint="eastAsia"/>
          <w:bCs/>
          <w:sz w:val="18"/>
          <w:szCs w:val="18"/>
        </w:rPr>
        <w:t>★</w:t>
      </w:r>
      <w:r>
        <w:rPr>
          <w:rFonts w:asciiTheme="minorEastAsia" w:eastAsiaTheme="minorEastAsia" w:hAnsiTheme="minorEastAsia" w:hint="eastAsia"/>
          <w:sz w:val="18"/>
          <w:szCs w:val="18"/>
        </w:rPr>
        <w:t>预约赎回</w:t>
      </w:r>
      <w:r>
        <w:rPr>
          <w:rFonts w:asciiTheme="minorEastAsia" w:eastAsiaTheme="minorEastAsia" w:hAnsiTheme="minorEastAsia"/>
          <w:sz w:val="18"/>
          <w:szCs w:val="18"/>
        </w:rPr>
        <w:t>:</w:t>
      </w:r>
      <w:r>
        <w:rPr>
          <w:rFonts w:asciiTheme="minorEastAsia" w:eastAsiaTheme="minorEastAsia" w:hAnsiTheme="minorEastAsia" w:hint="eastAsia"/>
          <w:sz w:val="18"/>
          <w:szCs w:val="18"/>
        </w:rPr>
        <w:t>指投资者在一段特定期间内通过预约的方式提交赎回申请，该申请在赎回日内自动转化为正式的赎回申请。</w:t>
      </w:r>
      <w:r>
        <w:rPr>
          <w:rFonts w:asciiTheme="majorEastAsia" w:eastAsiaTheme="majorEastAsia" w:hAnsiTheme="majorEastAsia"/>
          <w:bCs/>
          <w:sz w:val="18"/>
          <w:szCs w:val="18"/>
        </w:rPr>
        <w:t>提交预约赎回</w:t>
      </w:r>
      <w:r>
        <w:rPr>
          <w:rFonts w:asciiTheme="majorEastAsia" w:eastAsiaTheme="majorEastAsia" w:hAnsiTheme="majorEastAsia" w:hint="eastAsia"/>
          <w:bCs/>
          <w:sz w:val="18"/>
          <w:szCs w:val="18"/>
        </w:rPr>
        <w:t>申请</w:t>
      </w:r>
      <w:r>
        <w:rPr>
          <w:rFonts w:asciiTheme="majorEastAsia" w:eastAsiaTheme="majorEastAsia" w:hAnsiTheme="majorEastAsia"/>
          <w:bCs/>
          <w:sz w:val="18"/>
          <w:szCs w:val="18"/>
        </w:rPr>
        <w:t>并不代表赎回成功，产品管理人将在赎回确认日确认投资者是否赎回成功</w:t>
      </w:r>
      <w:r>
        <w:rPr>
          <w:rFonts w:asciiTheme="majorEastAsia" w:eastAsiaTheme="majorEastAsia" w:hAnsiTheme="majorEastAsia" w:hint="eastAsia"/>
          <w:bCs/>
          <w:sz w:val="18"/>
          <w:szCs w:val="18"/>
        </w:rPr>
        <w:t>。</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22</w:t>
      </w:r>
      <w:r>
        <w:rPr>
          <w:rFonts w:asciiTheme="majorEastAsia" w:eastAsiaTheme="majorEastAsia" w:hAnsiTheme="majorEastAsia" w:hint="eastAsia"/>
          <w:bCs/>
          <w:color w:val="auto"/>
          <w:sz w:val="18"/>
          <w:szCs w:val="18"/>
        </w:rPr>
        <w:t>）巨额赎回：在本理财产品预约赎回期中，本产品的累计产品份额净预约赎回申请（预约赎回</w:t>
      </w:r>
      <w:proofErr w:type="gramStart"/>
      <w:r>
        <w:rPr>
          <w:rFonts w:asciiTheme="majorEastAsia" w:eastAsiaTheme="majorEastAsia" w:hAnsiTheme="majorEastAsia" w:hint="eastAsia"/>
          <w:bCs/>
          <w:color w:val="auto"/>
          <w:sz w:val="18"/>
          <w:szCs w:val="18"/>
        </w:rPr>
        <w:t>申请总</w:t>
      </w:r>
      <w:proofErr w:type="gramEnd"/>
      <w:r>
        <w:rPr>
          <w:rFonts w:asciiTheme="majorEastAsia" w:eastAsiaTheme="majorEastAsia" w:hAnsiTheme="majorEastAsia" w:hint="eastAsia"/>
          <w:bCs/>
          <w:color w:val="auto"/>
          <w:sz w:val="18"/>
          <w:szCs w:val="18"/>
        </w:rPr>
        <w:t>份额扣除预约申购总份额后的余额</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下同）之和达到赎回日上一日产品总份额的约定的百分比，为巨额赎回。</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23）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（24）流动性受限资产：是指由于法律法规、监管、合同或操作障碍等原因无法以合理价格予以变现的资产，包括到期日在10个交易日以上的逆回购与银行定期存款（</w:t>
      </w:r>
      <w:proofErr w:type="gramStart"/>
      <w:r>
        <w:rPr>
          <w:rFonts w:asciiTheme="majorEastAsia" w:eastAsiaTheme="majorEastAsia" w:hAnsiTheme="majorEastAsia" w:hint="eastAsia"/>
          <w:bCs/>
          <w:color w:val="auto"/>
          <w:sz w:val="18"/>
          <w:szCs w:val="18"/>
        </w:rPr>
        <w:t>含协议</w:t>
      </w:r>
      <w:proofErr w:type="gramEnd"/>
      <w:r>
        <w:rPr>
          <w:rFonts w:asciiTheme="majorEastAsia" w:eastAsiaTheme="majorEastAsia" w:hAnsiTheme="majorEastAsia" w:hint="eastAsia"/>
          <w:bCs/>
          <w:color w:val="auto"/>
          <w:sz w:val="18"/>
          <w:szCs w:val="18"/>
        </w:rPr>
        <w:t>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25）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8C4D74" w:rsidRDefault="008C4D74" w:rsidP="008C4D7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）成立日：指本产品开始运作的日期。</w:t>
      </w:r>
    </w:p>
    <w:p w:rsidR="008C4D74" w:rsidRDefault="008C4D74" w:rsidP="008C4D7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）终止日：指本产品终止的日期。</w:t>
      </w:r>
    </w:p>
    <w:p w:rsidR="008C4D74" w:rsidRDefault="008C4D74" w:rsidP="008C4D74">
      <w:pPr>
        <w:pStyle w:val="Default"/>
        <w:spacing w:line="360" w:lineRule="auto"/>
        <w:ind w:firstLineChars="200" w:firstLine="360"/>
        <w:rPr>
          <w:color w:val="auto"/>
          <w:sz w:val="18"/>
          <w:szCs w:val="18"/>
        </w:rPr>
      </w:pPr>
      <w:r>
        <w:rPr>
          <w:rFonts w:hint="eastAsia"/>
          <w:color w:val="auto"/>
          <w:sz w:val="18"/>
          <w:szCs w:val="18"/>
        </w:rPr>
        <w:lastRenderedPageBreak/>
        <w:t>（</w:t>
      </w:r>
      <w:r>
        <w:rPr>
          <w:color w:val="auto"/>
          <w:sz w:val="18"/>
          <w:szCs w:val="18"/>
        </w:rPr>
        <w:t>6</w:t>
      </w:r>
      <w:r>
        <w:rPr>
          <w:rFonts w:hint="eastAsia"/>
          <w:color w:val="auto"/>
          <w:sz w:val="18"/>
          <w:szCs w:val="18"/>
        </w:rPr>
        <w:t>）估值日：指产品管理人对理财产品项下资产进行估值的日期。</w:t>
      </w:r>
    </w:p>
    <w:p w:rsidR="008C4D74" w:rsidRDefault="008C4D74" w:rsidP="008C4D74">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proofErr w:type="gramStart"/>
      <w:r>
        <w:rPr>
          <w:rFonts w:hAnsi="宋体"/>
          <w:color w:val="auto"/>
          <w:sz w:val="18"/>
          <w:szCs w:val="18"/>
        </w:rPr>
        <w:t>终</w:t>
      </w:r>
      <w:r>
        <w:rPr>
          <w:rFonts w:hAnsi="宋体" w:hint="eastAsia"/>
          <w:color w:val="auto"/>
          <w:sz w:val="18"/>
          <w:szCs w:val="18"/>
        </w:rPr>
        <w:t>产品</w:t>
      </w:r>
      <w:proofErr w:type="gramEnd"/>
      <w:r>
        <w:rPr>
          <w:rFonts w:hAnsi="宋体" w:hint="eastAsia"/>
          <w:color w:val="auto"/>
          <w:sz w:val="18"/>
          <w:szCs w:val="18"/>
        </w:rPr>
        <w:t>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8C4D74" w:rsidRDefault="008C4D74" w:rsidP="008C4D74">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8C4D74" w:rsidRDefault="008C4D74" w:rsidP="008C4D74">
      <w:pPr>
        <w:pStyle w:val="Default"/>
        <w:spacing w:line="360" w:lineRule="auto"/>
        <w:ind w:firstLineChars="200" w:firstLine="360"/>
        <w:rPr>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）★最短持有期:指自产品成立日/申购确认日起，投资者持有的产品份额被锁定持有的</w:t>
      </w:r>
      <w:proofErr w:type="gramStart"/>
      <w:r>
        <w:rPr>
          <w:rFonts w:asciiTheme="majorEastAsia" w:eastAsiaTheme="majorEastAsia" w:hAnsiTheme="majorEastAsia" w:hint="eastAsia"/>
          <w:bCs/>
          <w:color w:val="auto"/>
          <w:sz w:val="18"/>
          <w:szCs w:val="18"/>
        </w:rPr>
        <w:t>最</w:t>
      </w:r>
      <w:proofErr w:type="gramEnd"/>
      <w:r>
        <w:rPr>
          <w:rFonts w:asciiTheme="majorEastAsia" w:eastAsiaTheme="majorEastAsia" w:hAnsiTheme="majorEastAsia" w:hint="eastAsia"/>
          <w:bCs/>
          <w:color w:val="auto"/>
          <w:sz w:val="18"/>
          <w:szCs w:val="18"/>
        </w:rPr>
        <w:t>短期间。在最短持有期内，投资者不能赎回该产品份额，最短持有期满后，投资者可以赎回该产品份额。</w:t>
      </w:r>
    </w:p>
    <w:p w:rsidR="008C4D74" w:rsidRDefault="008C4D74" w:rsidP="008C4D74">
      <w:pPr>
        <w:pStyle w:val="Default"/>
        <w:spacing w:line="360" w:lineRule="auto"/>
        <w:ind w:firstLineChars="200" w:firstLine="360"/>
        <w:rPr>
          <w:rFonts w:asciiTheme="majorEastAsia" w:eastAsiaTheme="majorEastAsia" w:hAnsiTheme="majorEastAsia" w:cs="仿宋_GB2312"/>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12</w:t>
      </w:r>
      <w:r>
        <w:rPr>
          <w:rFonts w:asciiTheme="majorEastAsia" w:eastAsiaTheme="majorEastAsia" w:hAnsiTheme="majorEastAsia" w:hint="eastAsia"/>
          <w:bCs/>
          <w:color w:val="auto"/>
          <w:sz w:val="18"/>
          <w:szCs w:val="18"/>
        </w:rPr>
        <w:t>）★投资周期：投资周期指</w:t>
      </w:r>
      <w:r>
        <w:rPr>
          <w:rFonts w:asciiTheme="minorEastAsia" w:eastAsiaTheme="minorEastAsia" w:hAnsiTheme="minorEastAsia" w:hint="eastAsia"/>
          <w:bCs/>
          <w:color w:val="auto"/>
          <w:sz w:val="18"/>
          <w:szCs w:val="18"/>
        </w:rPr>
        <w:t>投资者</w:t>
      </w:r>
      <w:r>
        <w:rPr>
          <w:rFonts w:asciiTheme="minorEastAsia" w:eastAsiaTheme="minorEastAsia" w:hAnsiTheme="minorEastAsia"/>
          <w:bCs/>
          <w:color w:val="auto"/>
          <w:sz w:val="18"/>
          <w:szCs w:val="18"/>
        </w:rPr>
        <w:t>持有理财产品份额</w:t>
      </w:r>
      <w:r>
        <w:rPr>
          <w:rFonts w:asciiTheme="minorEastAsia" w:eastAsiaTheme="minorEastAsia" w:hAnsiTheme="minorEastAsia" w:hint="eastAsia"/>
          <w:bCs/>
          <w:color w:val="auto"/>
          <w:sz w:val="18"/>
          <w:szCs w:val="18"/>
        </w:rPr>
        <w:t>所对应的理财资金由产品管理人进行投资运作的一段完整期间，</w:t>
      </w:r>
      <w:r>
        <w:rPr>
          <w:rFonts w:asciiTheme="majorEastAsia" w:eastAsiaTheme="majorEastAsia" w:hAnsiTheme="majorEastAsia" w:hint="eastAsia"/>
          <w:bCs/>
          <w:color w:val="auto"/>
          <w:sz w:val="18"/>
          <w:szCs w:val="18"/>
        </w:rPr>
        <w:t>每一个投资周期</w:t>
      </w:r>
      <w:r>
        <w:rPr>
          <w:rFonts w:asciiTheme="majorEastAsia" w:eastAsiaTheme="majorEastAsia" w:hAnsiTheme="majorEastAsia" w:cs="仿宋_GB2312" w:hint="eastAsia"/>
          <w:color w:val="auto"/>
          <w:sz w:val="18"/>
          <w:szCs w:val="18"/>
        </w:rPr>
        <w:t>为该</w:t>
      </w:r>
      <w:r>
        <w:rPr>
          <w:rFonts w:asciiTheme="majorEastAsia" w:eastAsiaTheme="majorEastAsia" w:hAnsiTheme="majorEastAsia" w:hint="eastAsia"/>
          <w:bCs/>
          <w:color w:val="auto"/>
          <w:sz w:val="18"/>
          <w:szCs w:val="18"/>
        </w:rPr>
        <w:t>投资周期起始日</w:t>
      </w:r>
      <w:r>
        <w:rPr>
          <w:rFonts w:asciiTheme="majorEastAsia" w:eastAsiaTheme="majorEastAsia" w:hAnsiTheme="majorEastAsia" w:cs="仿宋_GB2312" w:hint="eastAsia"/>
          <w:color w:val="auto"/>
          <w:sz w:val="18"/>
          <w:szCs w:val="18"/>
        </w:rPr>
        <w:t>至该</w:t>
      </w:r>
      <w:r>
        <w:rPr>
          <w:rFonts w:asciiTheme="majorEastAsia" w:eastAsiaTheme="majorEastAsia" w:hAnsiTheme="majorEastAsia" w:hint="eastAsia"/>
          <w:bCs/>
          <w:color w:val="auto"/>
          <w:sz w:val="18"/>
          <w:szCs w:val="18"/>
        </w:rPr>
        <w:t>投资周期</w:t>
      </w:r>
      <w:r>
        <w:rPr>
          <w:rFonts w:asciiTheme="majorEastAsia" w:eastAsiaTheme="majorEastAsia" w:hAnsiTheme="majorEastAsia" w:cs="仿宋_GB2312" w:hint="eastAsia"/>
          <w:color w:val="auto"/>
          <w:sz w:val="18"/>
          <w:szCs w:val="18"/>
        </w:rPr>
        <w:t>终止日的理财期间。</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投资周期起始日：指每一个投资周期开始的日期。</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投资周期终止日：指每一个投资周期结束的日期。</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）产品存续期：指自理财产品成立日起，至理财产品终止日的期间。</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w:t>
      </w: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）预约申购期：指投资者可以提交预约申购申请</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 xml:space="preserve">一段特定时间。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15）</w:t>
      </w:r>
      <w:r>
        <w:rPr>
          <w:rFonts w:asciiTheme="majorEastAsia" w:eastAsiaTheme="majorEastAsia" w:hAnsiTheme="majorEastAsia" w:hint="eastAsia"/>
          <w:bCs/>
          <w:color w:val="auto"/>
          <w:sz w:val="18"/>
          <w:szCs w:val="18"/>
        </w:rPr>
        <w:t>预约</w:t>
      </w:r>
      <w:r>
        <w:rPr>
          <w:rFonts w:asciiTheme="majorEastAsia" w:eastAsiaTheme="majorEastAsia" w:hAnsiTheme="majorEastAsia"/>
          <w:bCs/>
          <w:color w:val="auto"/>
          <w:sz w:val="18"/>
          <w:szCs w:val="18"/>
        </w:rPr>
        <w:t>赎回期</w:t>
      </w:r>
      <w:r>
        <w:rPr>
          <w:rFonts w:asciiTheme="majorEastAsia" w:eastAsiaTheme="majorEastAsia" w:hAnsiTheme="majorEastAsia" w:hint="eastAsia"/>
          <w:bCs/>
          <w:color w:val="auto"/>
          <w:sz w:val="18"/>
          <w:szCs w:val="18"/>
        </w:rPr>
        <w:t>：指投资者可以提交预约赎回申请的一段特定时间。</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16</w:t>
      </w:r>
      <w:r>
        <w:rPr>
          <w:rFonts w:asciiTheme="majorEastAsia" w:eastAsiaTheme="majorEastAsia" w:hAnsiTheme="majorEastAsia" w:hint="eastAsia"/>
          <w:bCs/>
          <w:color w:val="auto"/>
          <w:sz w:val="18"/>
          <w:szCs w:val="18"/>
        </w:rPr>
        <w:t>）清算期：指自本理财产品终止日至投资者理财利益到账日之间的期间。</w:t>
      </w:r>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8C4D74" w:rsidRDefault="008C4D74" w:rsidP="008C4D74">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kern w:val="0"/>
          <w:sz w:val="18"/>
          <w:szCs w:val="18"/>
        </w:rPr>
        <w:t>（2）</w:t>
      </w:r>
      <w:r>
        <w:rPr>
          <w:rFonts w:ascii="黑体" w:eastAsia="黑体" w:hAnsi="黑体" w:cs="仿宋_GB2312" w:hint="eastAsia"/>
          <w:bCs/>
          <w:sz w:val="18"/>
          <w:szCs w:val="18"/>
        </w:rPr>
        <w:t>★</w:t>
      </w:r>
      <w:r>
        <w:rPr>
          <w:rFonts w:ascii="宋体" w:hAnsi="宋体"/>
          <w:kern w:val="0"/>
          <w:sz w:val="18"/>
          <w:szCs w:val="18"/>
        </w:rPr>
        <w:t>申购费：</w:t>
      </w:r>
      <w:r>
        <w:rPr>
          <w:rFonts w:ascii="宋体" w:hAnsi="宋体" w:hint="eastAsia"/>
          <w:kern w:val="0"/>
          <w:sz w:val="18"/>
          <w:szCs w:val="18"/>
        </w:rPr>
        <w:t>指</w:t>
      </w:r>
      <w:r>
        <w:rPr>
          <w:rFonts w:ascii="宋体" w:hAnsi="宋体"/>
          <w:kern w:val="0"/>
          <w:sz w:val="18"/>
          <w:szCs w:val="18"/>
        </w:rPr>
        <w:t>投资者申购产品时</w:t>
      </w:r>
      <w:r>
        <w:rPr>
          <w:rFonts w:ascii="宋体" w:hAnsi="宋体" w:hint="eastAsia"/>
          <w:kern w:val="0"/>
          <w:sz w:val="18"/>
          <w:szCs w:val="18"/>
        </w:rPr>
        <w:t>需缴纳的费用。</w:t>
      </w:r>
    </w:p>
    <w:p w:rsidR="008C4D74" w:rsidRDefault="008C4D74" w:rsidP="008C4D74">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赎回费：指投资者赎回产品时需缴纳的费用。</w:t>
      </w:r>
    </w:p>
    <w:p w:rsidR="008C4D74" w:rsidRDefault="008C4D74" w:rsidP="008C4D74">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8C4D74" w:rsidRDefault="008C4D74" w:rsidP="008C4D74">
      <w:pPr>
        <w:pStyle w:val="Default"/>
        <w:spacing w:line="360" w:lineRule="auto"/>
        <w:ind w:firstLineChars="200" w:firstLine="360"/>
        <w:rPr>
          <w:rFonts w:hAnsi="宋体"/>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8C4D74" w:rsidRDefault="008C4D74" w:rsidP="008C4D74">
      <w:pPr>
        <w:pStyle w:val="Default"/>
        <w:spacing w:line="360" w:lineRule="auto"/>
        <w:ind w:firstLineChars="200" w:firstLine="360"/>
        <w:rPr>
          <w:rFonts w:hAnsi="宋体"/>
          <w:sz w:val="18"/>
          <w:szCs w:val="18"/>
        </w:rPr>
      </w:pPr>
      <w:r>
        <w:rPr>
          <w:rFonts w:hAnsi="宋体" w:hint="eastAsia"/>
          <w:sz w:val="18"/>
          <w:szCs w:val="18"/>
        </w:rPr>
        <w:t>（6）</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（7）</w:t>
      </w:r>
      <w:r>
        <w:rPr>
          <w:rFonts w:ascii="黑体" w:eastAsia="黑体" w:hAnsi="黑体" w:cs="仿宋_GB2312" w:hint="eastAsia"/>
          <w:bCs/>
          <w:color w:val="auto"/>
          <w:sz w:val="18"/>
          <w:szCs w:val="18"/>
        </w:rPr>
        <w:t>★</w:t>
      </w:r>
      <w:r>
        <w:rPr>
          <w:rFonts w:hAnsi="宋体" w:hint="eastAsia"/>
          <w:sz w:val="18"/>
          <w:szCs w:val="18"/>
        </w:rPr>
        <w:t>超额业绩报酬：指产品管理人依照理财产品销售</w:t>
      </w:r>
      <w:r>
        <w:rPr>
          <w:rFonts w:hAnsi="宋体"/>
          <w:sz w:val="18"/>
          <w:szCs w:val="18"/>
        </w:rPr>
        <w:t>文件</w:t>
      </w:r>
      <w:r>
        <w:rPr>
          <w:rFonts w:hAnsi="宋体" w:hint="eastAsia"/>
          <w:sz w:val="18"/>
          <w:szCs w:val="18"/>
        </w:rPr>
        <w:t>约定规则收取的浮动性质的管理费用。</w:t>
      </w:r>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8C4D74" w:rsidRDefault="008C4D74" w:rsidP="008C4D74">
      <w:pPr>
        <w:spacing w:line="360" w:lineRule="auto"/>
        <w:ind w:firstLineChars="200" w:firstLine="360"/>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）适用法律：指在理财销售文件签署日和履行过程中，适用中华人民共和国法律（为本协议之目的，在此不包括香港、澳门特别行政区和台湾地区的法律），包括中国任何立法机构、政府部门、银行业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w:t>
      </w:r>
      <w:r>
        <w:rPr>
          <w:rFonts w:asciiTheme="majorEastAsia" w:eastAsiaTheme="majorEastAsia" w:hAnsiTheme="majorEastAsia" w:hint="eastAsia"/>
          <w:bCs/>
          <w:sz w:val="18"/>
          <w:szCs w:val="18"/>
        </w:rPr>
        <w:lastRenderedPageBreak/>
        <w:t>须知、业务指南、指引或操作规程，及其有效的修改、更新或补充。</w:t>
      </w:r>
    </w:p>
    <w:p w:rsidR="008C4D74" w:rsidRDefault="008C4D74" w:rsidP="008C4D74">
      <w:pPr>
        <w:widowControl/>
        <w:spacing w:line="360" w:lineRule="auto"/>
        <w:jc w:val="left"/>
        <w:rPr>
          <w:rFonts w:ascii="宋体" w:hAnsi="宋体"/>
          <w:color w:val="000000"/>
          <w:kern w:val="0"/>
          <w:sz w:val="28"/>
          <w:szCs w:val="28"/>
        </w:rPr>
      </w:pPr>
      <w:r>
        <w:rPr>
          <w:rFonts w:hAnsi="宋体"/>
          <w:sz w:val="28"/>
          <w:szCs w:val="28"/>
        </w:rPr>
        <w:br w:type="page"/>
      </w:r>
    </w:p>
    <w:p w:rsidR="008C4D74" w:rsidRDefault="008C4D74" w:rsidP="008C4D74">
      <w:pPr>
        <w:pStyle w:val="1"/>
        <w:spacing w:before="0" w:after="0"/>
        <w:jc w:val="center"/>
        <w:rPr>
          <w:rFonts w:hAnsi="宋体"/>
          <w:sz w:val="28"/>
          <w:szCs w:val="28"/>
        </w:rPr>
      </w:pPr>
      <w:bookmarkStart w:id="76" w:name="_Toc23998"/>
      <w:bookmarkStart w:id="77" w:name="_Toc92377131"/>
      <w:bookmarkStart w:id="78" w:name="_Toc79154665"/>
      <w:r>
        <w:rPr>
          <w:rFonts w:hAnsi="宋体" w:hint="eastAsia"/>
          <w:sz w:val="28"/>
          <w:szCs w:val="28"/>
        </w:rPr>
        <w:lastRenderedPageBreak/>
        <w:t>第二条  理财产品基本情况</w:t>
      </w:r>
      <w:bookmarkEnd w:id="76"/>
      <w:bookmarkEnd w:id="77"/>
      <w:bookmarkEnd w:id="78"/>
      <w:r>
        <w:rPr>
          <w:rFonts w:hAnsi="宋体" w:hint="eastAsia"/>
          <w:sz w:val="28"/>
          <w:szCs w:val="28"/>
        </w:rPr>
        <w:t xml:space="preserve"> </w:t>
      </w:r>
    </w:p>
    <w:tbl>
      <w:tblPr>
        <w:tblW w:w="96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45"/>
        <w:gridCol w:w="7704"/>
      </w:tblGrid>
      <w:tr w:rsidR="008C4D74" w:rsidTr="008D10E8">
        <w:trPr>
          <w:trHeight w:val="401"/>
          <w:jc w:val="center"/>
        </w:trPr>
        <w:tc>
          <w:tcPr>
            <w:tcW w:w="1945" w:type="dxa"/>
            <w:shd w:val="solid" w:color="FFFFFF" w:fill="FFFFFF"/>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7704" w:type="dxa"/>
            <w:shd w:val="solid" w:color="FFFFFF" w:fill="FFFFFF"/>
          </w:tcPr>
          <w:p w:rsidR="008C4D74" w:rsidRDefault="008C4D74" w:rsidP="008D10E8">
            <w:pPr>
              <w:spacing w:line="360" w:lineRule="auto"/>
              <w:jc w:val="left"/>
              <w:rPr>
                <w:rFonts w:ascii="宋体" w:hAnsi="宋体"/>
                <w:bCs/>
                <w:sz w:val="18"/>
                <w:szCs w:val="18"/>
              </w:rPr>
            </w:pPr>
            <w:r w:rsidRPr="00B41BD4">
              <w:rPr>
                <w:rFonts w:ascii="宋体" w:hAnsi="宋体" w:hint="eastAsia"/>
                <w:bCs/>
                <w:sz w:val="18"/>
                <w:szCs w:val="18"/>
              </w:rPr>
              <w:t>兴业银行天天万利</w:t>
            </w:r>
            <w:proofErr w:type="gramStart"/>
            <w:r w:rsidRPr="00B41BD4">
              <w:rPr>
                <w:rFonts w:ascii="宋体" w:hAnsi="宋体" w:hint="eastAsia"/>
                <w:bCs/>
                <w:sz w:val="18"/>
                <w:szCs w:val="18"/>
              </w:rPr>
              <w:t>宝稳利</w:t>
            </w:r>
            <w:proofErr w:type="gramEnd"/>
            <w:r w:rsidRPr="00B41BD4">
              <w:rPr>
                <w:rFonts w:ascii="宋体" w:hAnsi="宋体" w:hint="eastAsia"/>
                <w:bCs/>
                <w:sz w:val="18"/>
                <w:szCs w:val="18"/>
              </w:rPr>
              <w:t>2号净值型理财产品D款</w:t>
            </w:r>
          </w:p>
        </w:tc>
      </w:tr>
      <w:tr w:rsidR="008C4D74" w:rsidTr="008D10E8">
        <w:trPr>
          <w:trHeight w:val="383"/>
          <w:jc w:val="center"/>
        </w:trPr>
        <w:tc>
          <w:tcPr>
            <w:tcW w:w="1945" w:type="dxa"/>
            <w:shd w:val="solid" w:color="FFFFFF" w:fill="FFFFFF"/>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704" w:type="dxa"/>
            <w:shd w:val="solid" w:color="FFFFFF" w:fill="FFFFFF"/>
            <w:vAlign w:val="center"/>
          </w:tcPr>
          <w:p w:rsidR="008C4D74" w:rsidRDefault="008C4D74" w:rsidP="008D10E8">
            <w:pPr>
              <w:spacing w:line="360" w:lineRule="auto"/>
              <w:jc w:val="left"/>
              <w:rPr>
                <w:rFonts w:ascii="宋体" w:hAnsi="宋体"/>
                <w:kern w:val="0"/>
                <w:sz w:val="22"/>
              </w:rPr>
            </w:pPr>
            <w:r>
              <w:rPr>
                <w:rFonts w:ascii="宋体" w:hAnsi="宋体" w:hint="eastAsia"/>
                <w:bCs/>
                <w:sz w:val="18"/>
                <w:szCs w:val="18"/>
              </w:rPr>
              <w:t>【</w:t>
            </w:r>
            <w:r w:rsidRPr="00C72E7B">
              <w:rPr>
                <w:rFonts w:ascii="宋体" w:hAnsi="宋体" w:hint="eastAsia"/>
                <w:bCs/>
                <w:sz w:val="18"/>
                <w:szCs w:val="18"/>
              </w:rPr>
              <w:t>稳利恒盈</w:t>
            </w:r>
            <w:r>
              <w:rPr>
                <w:rFonts w:ascii="宋体" w:hAnsi="宋体"/>
                <w:bCs/>
                <w:sz w:val="18"/>
                <w:szCs w:val="18"/>
              </w:rPr>
              <w:t>D</w:t>
            </w:r>
            <w:r w:rsidRPr="00C72E7B">
              <w:rPr>
                <w:rFonts w:ascii="宋体" w:hAnsi="宋体" w:hint="eastAsia"/>
                <w:bCs/>
                <w:sz w:val="18"/>
                <w:szCs w:val="18"/>
              </w:rPr>
              <w:t xml:space="preserve"> 6个月</w:t>
            </w:r>
            <w:r>
              <w:rPr>
                <w:rFonts w:ascii="宋体" w:hAnsi="宋体" w:hint="eastAsia"/>
                <w:bCs/>
                <w:sz w:val="18"/>
                <w:szCs w:val="18"/>
              </w:rPr>
              <w:t>】</w:t>
            </w:r>
          </w:p>
        </w:tc>
      </w:tr>
      <w:tr w:rsidR="008C4D74" w:rsidTr="008D10E8">
        <w:trPr>
          <w:trHeight w:val="251"/>
          <w:jc w:val="center"/>
        </w:trPr>
        <w:tc>
          <w:tcPr>
            <w:tcW w:w="1945" w:type="dxa"/>
            <w:shd w:val="solid" w:color="FFFFFF" w:fill="FFFFFF"/>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704" w:type="dxa"/>
            <w:shd w:val="solid" w:color="FFFFFF" w:fill="FFFFFF"/>
          </w:tcPr>
          <w:p w:rsidR="008C4D74" w:rsidRDefault="008C4D74" w:rsidP="008D10E8">
            <w:pPr>
              <w:spacing w:line="360" w:lineRule="auto"/>
              <w:jc w:val="left"/>
              <w:rPr>
                <w:rFonts w:ascii="宋体" w:hAnsi="宋体"/>
                <w:b/>
                <w:sz w:val="18"/>
                <w:szCs w:val="18"/>
              </w:rPr>
            </w:pPr>
            <w:r>
              <w:rPr>
                <w:rFonts w:ascii="宋体" w:hAnsi="宋体" w:hint="eastAsia"/>
                <w:bCs/>
                <w:sz w:val="18"/>
                <w:szCs w:val="18"/>
              </w:rPr>
              <w:t>【</w:t>
            </w:r>
            <w:r w:rsidRPr="008D5E1E">
              <w:rPr>
                <w:rFonts w:ascii="宋体" w:hAnsi="宋体"/>
                <w:bCs/>
                <w:sz w:val="18"/>
                <w:szCs w:val="18"/>
              </w:rPr>
              <w:t>Z7002020000021</w:t>
            </w:r>
            <w:r>
              <w:rPr>
                <w:rFonts w:ascii="宋体" w:hAnsi="宋体" w:hint="eastAsia"/>
                <w:bCs/>
                <w:sz w:val="18"/>
                <w:szCs w:val="18"/>
              </w:rPr>
              <w:t>】注：投资者可依据理财产品登记编码在中国</w:t>
            </w:r>
            <w:proofErr w:type="gramStart"/>
            <w:r>
              <w:rPr>
                <w:rFonts w:ascii="宋体" w:hAnsi="宋体" w:hint="eastAsia"/>
                <w:bCs/>
                <w:sz w:val="18"/>
                <w:szCs w:val="18"/>
              </w:rPr>
              <w:t>理财网</w:t>
            </w:r>
            <w:proofErr w:type="gramEnd"/>
            <w:r>
              <w:rPr>
                <w:rFonts w:ascii="宋体" w:hAnsi="宋体" w:hint="eastAsia"/>
                <w:bCs/>
                <w:sz w:val="18"/>
                <w:szCs w:val="18"/>
              </w:rPr>
              <w:t>查询产品信息</w:t>
            </w:r>
            <w:hyperlink r:id="rId17" w:history="1">
              <w:r>
                <w:rPr>
                  <w:rFonts w:ascii="宋体" w:hAnsi="宋体"/>
                  <w:bCs/>
                  <w:sz w:val="18"/>
                  <w:szCs w:val="18"/>
                </w:rPr>
                <w:t>www.chinawealth.com.cn</w:t>
              </w:r>
            </w:hyperlink>
          </w:p>
        </w:tc>
      </w:tr>
      <w:tr w:rsidR="008C4D74" w:rsidTr="008D10E8">
        <w:trPr>
          <w:trHeight w:val="251"/>
          <w:jc w:val="center"/>
        </w:trPr>
        <w:tc>
          <w:tcPr>
            <w:tcW w:w="1945" w:type="dxa"/>
            <w:shd w:val="solid" w:color="FFFFFF" w:fill="FFFFFF"/>
            <w:vAlign w:val="center"/>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704" w:type="dxa"/>
            <w:shd w:val="solid" w:color="FFFFFF" w:fill="FFFFFF"/>
            <w:vAlign w:val="center"/>
          </w:tcPr>
          <w:p w:rsidR="008C4D74" w:rsidRDefault="008C4D74" w:rsidP="008D10E8">
            <w:pPr>
              <w:spacing w:line="360" w:lineRule="auto"/>
              <w:jc w:val="left"/>
              <w:rPr>
                <w:rFonts w:ascii="宋体" w:hAnsi="宋体"/>
                <w:bCs/>
                <w:sz w:val="18"/>
                <w:szCs w:val="18"/>
              </w:rPr>
            </w:pPr>
            <w:r>
              <w:rPr>
                <w:rFonts w:ascii="宋体" w:hAnsi="宋体"/>
                <w:bCs/>
                <w:color w:val="000000" w:themeColor="text1"/>
                <w:sz w:val="18"/>
                <w:szCs w:val="18"/>
              </w:rPr>
              <w:t>【</w:t>
            </w:r>
            <w:r w:rsidRPr="008D5E1E">
              <w:rPr>
                <w:rFonts w:ascii="宋体" w:hAnsi="宋体"/>
                <w:bCs/>
                <w:color w:val="000000" w:themeColor="text1"/>
                <w:sz w:val="18"/>
                <w:szCs w:val="18"/>
              </w:rPr>
              <w:t>9K218031</w:t>
            </w:r>
            <w:r>
              <w:rPr>
                <w:rFonts w:ascii="宋体" w:hAnsi="宋体"/>
                <w:bCs/>
                <w:color w:val="000000" w:themeColor="text1"/>
                <w:sz w:val="18"/>
                <w:szCs w:val="18"/>
              </w:rPr>
              <w:t>】</w:t>
            </w:r>
          </w:p>
        </w:tc>
      </w:tr>
      <w:tr w:rsidR="008C4D74" w:rsidTr="008D10E8">
        <w:trPr>
          <w:trHeight w:val="251"/>
          <w:jc w:val="center"/>
        </w:trPr>
        <w:tc>
          <w:tcPr>
            <w:tcW w:w="1945" w:type="dxa"/>
            <w:shd w:val="solid" w:color="FFFFFF" w:fill="FFFFFF"/>
          </w:tcPr>
          <w:p w:rsidR="008C4D74" w:rsidRDefault="008C4D74" w:rsidP="008D10E8">
            <w:pPr>
              <w:spacing w:line="360" w:lineRule="auto"/>
              <w:jc w:val="left"/>
              <w:rPr>
                <w:rFonts w:hAnsi="宋体"/>
                <w:b/>
                <w:sz w:val="18"/>
                <w:szCs w:val="18"/>
              </w:rPr>
            </w:pPr>
            <w:r>
              <w:rPr>
                <w:rFonts w:hAnsi="宋体" w:hint="eastAsia"/>
                <w:b/>
                <w:sz w:val="18"/>
                <w:szCs w:val="18"/>
              </w:rPr>
              <w:t>★销售代码</w:t>
            </w:r>
          </w:p>
        </w:tc>
        <w:tc>
          <w:tcPr>
            <w:tcW w:w="7704" w:type="dxa"/>
            <w:shd w:val="solid" w:color="FFFFFF" w:fill="FFFFFF"/>
            <w:vAlign w:val="center"/>
          </w:tcPr>
          <w:p w:rsidR="008C4D74" w:rsidRDefault="008C4D74" w:rsidP="008D10E8">
            <w:pPr>
              <w:spacing w:line="320" w:lineRule="exact"/>
              <w:jc w:val="left"/>
              <w:rPr>
                <w:rFonts w:hAnsi="宋体"/>
                <w:sz w:val="18"/>
                <w:szCs w:val="18"/>
              </w:rPr>
            </w:pPr>
            <w:r>
              <w:rPr>
                <w:rFonts w:ascii="宋体" w:hAnsi="宋体" w:hint="eastAsia"/>
                <w:bCs/>
                <w:color w:val="000000" w:themeColor="text1"/>
                <w:sz w:val="18"/>
                <w:szCs w:val="18"/>
              </w:rPr>
              <w:t>【</w:t>
            </w:r>
            <w:r w:rsidRPr="008D5E1E">
              <w:rPr>
                <w:rFonts w:ascii="宋体" w:hAnsi="宋体"/>
                <w:bCs/>
                <w:color w:val="000000" w:themeColor="text1"/>
                <w:sz w:val="18"/>
                <w:szCs w:val="18"/>
              </w:rPr>
              <w:t>9K218031</w:t>
            </w:r>
            <w:r>
              <w:rPr>
                <w:rFonts w:ascii="宋体" w:hAnsi="宋体" w:hint="eastAsia"/>
                <w:bCs/>
                <w:color w:val="000000" w:themeColor="text1"/>
                <w:sz w:val="18"/>
                <w:szCs w:val="18"/>
              </w:rPr>
              <w:t>】</w:t>
            </w:r>
          </w:p>
        </w:tc>
      </w:tr>
      <w:tr w:rsidR="008C4D74" w:rsidTr="008D10E8">
        <w:trPr>
          <w:trHeight w:val="251"/>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704" w:type="dxa"/>
            <w:shd w:val="solid" w:color="FFFFFF" w:fill="FFFFFF"/>
            <w:vAlign w:val="center"/>
          </w:tcPr>
          <w:p w:rsidR="008C4D74" w:rsidRDefault="008C4D74" w:rsidP="008D10E8">
            <w:pPr>
              <w:spacing w:line="360" w:lineRule="auto"/>
              <w:rPr>
                <w:rFonts w:ascii="宋体" w:hAnsi="宋体"/>
                <w:bCs/>
                <w:sz w:val="18"/>
                <w:szCs w:val="18"/>
              </w:rPr>
            </w:pPr>
            <w:r>
              <w:rPr>
                <w:rFonts w:ascii="宋体" w:hAnsi="宋体" w:hint="eastAsia"/>
                <w:bCs/>
                <w:sz w:val="18"/>
                <w:szCs w:val="18"/>
              </w:rPr>
              <w:t>本产品不设置差异化子份额类别。</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704" w:type="dxa"/>
            <w:shd w:val="solid" w:color="FFFFFF" w:fill="FFFFFF"/>
            <w:vAlign w:val="center"/>
          </w:tcPr>
          <w:p w:rsidR="008C4D74" w:rsidRDefault="008C4D74" w:rsidP="008D10E8">
            <w:pPr>
              <w:adjustRightInd w:val="0"/>
              <w:snapToGrid w:val="0"/>
              <w:spacing w:line="276"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、开放式、【固定收益类】、非保本浮动</w:t>
            </w:r>
            <w:r>
              <w:rPr>
                <w:rFonts w:ascii="宋体" w:hAnsi="宋体"/>
                <w:bCs/>
                <w:sz w:val="18"/>
                <w:szCs w:val="18"/>
              </w:rPr>
              <w:t>收益</w:t>
            </w:r>
            <w:r>
              <w:rPr>
                <w:rFonts w:ascii="宋体" w:hAnsi="宋体" w:hint="eastAsia"/>
                <w:bCs/>
                <w:sz w:val="18"/>
                <w:szCs w:val="18"/>
              </w:rPr>
              <w:t>、净值型</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704" w:type="dxa"/>
            <w:shd w:val="solid" w:color="FFFFFF" w:fill="FFFFFF"/>
            <w:vAlign w:val="center"/>
          </w:tcPr>
          <w:p w:rsidR="008C4D74" w:rsidRDefault="008C4D74" w:rsidP="008D10E8">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704" w:type="dxa"/>
            <w:shd w:val="solid" w:color="FFFFFF" w:fill="FFFFFF"/>
            <w:vAlign w:val="center"/>
          </w:tcPr>
          <w:p w:rsidR="008C4D74" w:rsidRDefault="008C4D74" w:rsidP="008D10E8">
            <w:pPr>
              <w:spacing w:line="360" w:lineRule="auto"/>
              <w:rPr>
                <w:rFonts w:ascii="宋体" w:hAnsi="宋体"/>
                <w:bCs/>
                <w:sz w:val="18"/>
                <w:szCs w:val="18"/>
              </w:rPr>
            </w:pPr>
            <w:r>
              <w:rPr>
                <w:rFonts w:ascii="宋体" w:hAnsi="宋体" w:hint="eastAsia"/>
                <w:bCs/>
                <w:sz w:val="18"/>
                <w:szCs w:val="18"/>
              </w:rPr>
              <w:t>开放式</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704" w:type="dxa"/>
            <w:shd w:val="solid" w:color="FFFFFF" w:fill="FFFFFF"/>
            <w:vAlign w:val="center"/>
          </w:tcPr>
          <w:p w:rsidR="008C4D74" w:rsidRDefault="008C4D74" w:rsidP="008D10E8">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8C4D74" w:rsidRDefault="008C4D74" w:rsidP="008D10E8">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704" w:type="dxa"/>
            <w:shd w:val="solid" w:color="FFFFFF" w:fill="FFFFFF"/>
            <w:vAlign w:val="center"/>
          </w:tcPr>
          <w:p w:rsidR="008C4D74" w:rsidRDefault="008C4D74" w:rsidP="008D10E8">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8C4D74" w:rsidRDefault="008C4D74" w:rsidP="008D10E8">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8C4D74" w:rsidRDefault="008C4D74" w:rsidP="008D10E8">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宋体" w:hAnsi="宋体"/>
                <w:b/>
                <w:bCs/>
                <w:sz w:val="18"/>
                <w:szCs w:val="18"/>
              </w:rPr>
            </w:pPr>
            <w:r>
              <w:rPr>
                <w:rFonts w:asciiTheme="majorEastAsia" w:eastAsiaTheme="majorEastAsia" w:hAnsiTheme="majorEastAsia" w:hint="eastAsia"/>
                <w:b/>
                <w:sz w:val="18"/>
                <w:szCs w:val="18"/>
              </w:rPr>
              <w:t>理财币种</w:t>
            </w:r>
          </w:p>
        </w:tc>
        <w:tc>
          <w:tcPr>
            <w:tcW w:w="7704" w:type="dxa"/>
            <w:shd w:val="solid" w:color="FFFFFF" w:fill="FFFFFF"/>
            <w:vAlign w:val="center"/>
          </w:tcPr>
          <w:p w:rsidR="008C4D74" w:rsidRDefault="008C4D74" w:rsidP="008D10E8">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704" w:type="dxa"/>
            <w:shd w:val="solid" w:color="FFFFFF" w:fill="FFFFFF"/>
          </w:tcPr>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 xml:space="preserve">本产品属于【□ </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 xml:space="preserve">□ </w:t>
            </w:r>
            <w:r>
              <w:rPr>
                <w:rFonts w:asciiTheme="majorEastAsia" w:eastAsiaTheme="majorEastAsia" w:hAnsiTheme="majorEastAsia"/>
                <w:bCs/>
                <w:sz w:val="18"/>
                <w:szCs w:val="18"/>
              </w:rPr>
              <w:t>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8C4D74" w:rsidRDefault="008C4D74" w:rsidP="008D10E8">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8C4D74" w:rsidRDefault="008C4D74" w:rsidP="008D10E8">
            <w:pPr>
              <w:spacing w:line="360" w:lineRule="auto"/>
              <w:rPr>
                <w:rFonts w:ascii="宋体" w:hAnsi="宋体"/>
                <w:bCs/>
                <w:sz w:val="18"/>
                <w:szCs w:val="18"/>
              </w:rPr>
            </w:pPr>
            <w:r>
              <w:rPr>
                <w:rFonts w:ascii="黑体" w:eastAsia="黑体" w:hAnsi="黑体" w:hint="eastAsia"/>
                <w:sz w:val="18"/>
                <w:szCs w:val="18"/>
              </w:rPr>
              <w:t>注</w:t>
            </w:r>
            <w:r>
              <w:rPr>
                <w:rFonts w:ascii="黑体" w:eastAsia="黑体" w:hAnsi="黑体"/>
                <w:sz w:val="18"/>
                <w:szCs w:val="18"/>
              </w:rPr>
              <w:t>：</w:t>
            </w:r>
            <w:r>
              <w:rPr>
                <w:rFonts w:ascii="黑体" w:eastAsia="黑体" w:hAnsi="黑体" w:hint="eastAsia"/>
                <w:sz w:val="18"/>
                <w:szCs w:val="18"/>
              </w:rPr>
              <w:t>若本</w:t>
            </w:r>
            <w:r>
              <w:rPr>
                <w:rFonts w:ascii="黑体" w:eastAsia="黑体" w:hAnsi="黑体"/>
                <w:sz w:val="18"/>
                <w:szCs w:val="18"/>
              </w:rPr>
              <w:t>产品通过代理销售机构销售的，</w:t>
            </w:r>
            <w:r>
              <w:rPr>
                <w:rFonts w:ascii="黑体" w:eastAsia="黑体" w:hAnsi="黑体" w:hint="eastAsia"/>
                <w:sz w:val="18"/>
                <w:szCs w:val="18"/>
              </w:rPr>
              <w:t>理财产品</w:t>
            </w:r>
            <w:r>
              <w:rPr>
                <w:rFonts w:ascii="黑体" w:eastAsia="黑体" w:hAnsi="黑体"/>
                <w:sz w:val="18"/>
                <w:szCs w:val="18"/>
              </w:rPr>
              <w:t>评级</w:t>
            </w:r>
            <w:r>
              <w:rPr>
                <w:rFonts w:ascii="黑体" w:eastAsia="黑体" w:hAnsi="黑体" w:hint="eastAsia"/>
                <w:sz w:val="18"/>
                <w:szCs w:val="18"/>
              </w:rPr>
              <w:t>以</w:t>
            </w:r>
            <w:r>
              <w:rPr>
                <w:rFonts w:ascii="黑体" w:eastAsia="黑体" w:hAnsi="黑体"/>
                <w:sz w:val="18"/>
                <w:szCs w:val="18"/>
              </w:rPr>
              <w:t>代理销售机构最终披露的评级结果为准。</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704" w:type="dxa"/>
            <w:shd w:val="solid" w:color="FFFFFF" w:fill="FFFFFF"/>
            <w:vAlign w:val="bottom"/>
          </w:tcPr>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本产品</w:t>
            </w:r>
            <w:r>
              <w:rPr>
                <w:rFonts w:asciiTheme="majorEastAsia" w:eastAsiaTheme="majorEastAsia" w:hAnsiTheme="majorEastAsia"/>
                <w:bCs/>
                <w:color w:val="000000" w:themeColor="text1"/>
                <w:sz w:val="18"/>
                <w:szCs w:val="18"/>
              </w:rPr>
              <w:t>适合以下类型投资者：</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 xml:space="preserve">客户 </w:t>
            </w:r>
            <w:r>
              <w:rPr>
                <w:rFonts w:asciiTheme="majorEastAsia" w:eastAsiaTheme="majorEastAsia" w:hAnsiTheme="majorEastAsia"/>
                <w:bCs/>
                <w:color w:val="000000" w:themeColor="text1"/>
                <w:sz w:val="18"/>
                <w:szCs w:val="18"/>
              </w:rPr>
              <w:t xml:space="preserve">  </w:t>
            </w:r>
            <w:r>
              <w:rPr>
                <w:rFonts w:asciiTheme="majorEastAsia" w:eastAsiaTheme="majorEastAsia" w:hAnsiTheme="majorEastAsia" w:hint="eastAsia"/>
                <w:bCs/>
                <w:color w:val="000000" w:themeColor="text1"/>
                <w:sz w:val="18"/>
                <w:szCs w:val="18"/>
              </w:rPr>
              <w:t>□金融同业客户</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黑体" w:eastAsia="黑体" w:hAnsi="黑体" w:hint="eastAsia"/>
                <w:bCs/>
                <w:sz w:val="18"/>
                <w:szCs w:val="18"/>
              </w:rPr>
              <w:t>特别提示：当销售机构销售产品风险评级为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的理财产品时，可在销售机构的营业网点进行，也可依据销售机构的政策在营业网点之外的其他场景进行（具体政策以销售机构公布执行的为准）。</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704" w:type="dxa"/>
            <w:shd w:val="solid" w:color="FFFFFF" w:fill="FFFFFF"/>
            <w:vAlign w:val="center"/>
          </w:tcPr>
          <w:p w:rsidR="008C4D74" w:rsidRDefault="008C4D74" w:rsidP="008D10E8">
            <w:pPr>
              <w:spacing w:line="360" w:lineRule="auto"/>
              <w:jc w:val="left"/>
              <w:rPr>
                <w:rFonts w:ascii="宋体" w:hAnsi="宋体"/>
                <w:sz w:val="18"/>
                <w:szCs w:val="18"/>
              </w:rPr>
            </w:pPr>
            <w:r>
              <w:rPr>
                <w:rFonts w:ascii="宋体" w:hAnsi="宋体" w:hint="eastAsia"/>
                <w:sz w:val="18"/>
                <w:szCs w:val="18"/>
              </w:rPr>
              <w:t>□ 直销适用</w:t>
            </w:r>
          </w:p>
          <w:p w:rsidR="008C4D74" w:rsidRDefault="008C4D74" w:rsidP="008D10E8">
            <w:pPr>
              <w:spacing w:line="360" w:lineRule="auto"/>
              <w:jc w:val="left"/>
              <w:rPr>
                <w:rFonts w:ascii="宋体" w:hAnsi="宋体"/>
                <w:sz w:val="18"/>
                <w:szCs w:val="18"/>
              </w:rPr>
            </w:pPr>
            <w:r>
              <w:rPr>
                <w:rFonts w:ascii="宋体" w:hAnsi="宋体" w:hint="eastAsia"/>
                <w:sz w:val="18"/>
                <w:szCs w:val="18"/>
              </w:rPr>
              <w:lastRenderedPageBreak/>
              <w:t>本产品由产品管理人销售。</w:t>
            </w:r>
          </w:p>
          <w:p w:rsidR="008C4D74" w:rsidRDefault="008C4D74" w:rsidP="008D10E8">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8C4D74" w:rsidRDefault="008C4D74" w:rsidP="008D10E8">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8C4D74" w:rsidRDefault="008C4D74" w:rsidP="008D10E8">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管理人</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规模为【30】亿元，最小成立规模为【/】亿元。</w:t>
            </w:r>
          </w:p>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cs="仿宋_GB2312" w:hint="eastAsia"/>
                <w:kern w:val="0"/>
                <w:sz w:val="18"/>
                <w:szCs w:val="18"/>
              </w:rPr>
              <w:t>无固定期限</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704" w:type="dxa"/>
            <w:shd w:val="solid" w:color="FFFFFF" w:fill="FFFFFF"/>
            <w:vAlign w:val="center"/>
          </w:tcPr>
          <w:p w:rsidR="008C4D74" w:rsidRDefault="008C4D74" w:rsidP="008D10E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：【201</w:t>
            </w:r>
            <w:r>
              <w:rPr>
                <w:rFonts w:asciiTheme="minorEastAsia" w:hAnsiTheme="minorEastAsia"/>
                <w:bCs/>
                <w:sz w:val="18"/>
                <w:szCs w:val="18"/>
              </w:rPr>
              <w:t>8</w:t>
            </w:r>
            <w:r>
              <w:rPr>
                <w:rFonts w:asciiTheme="minorEastAsia" w:hAnsiTheme="minorEastAsia" w:hint="eastAsia"/>
                <w:bCs/>
                <w:sz w:val="18"/>
                <w:szCs w:val="18"/>
              </w:rPr>
              <w:t>】年【</w:t>
            </w:r>
            <w:r>
              <w:rPr>
                <w:rFonts w:asciiTheme="minorEastAsia" w:hAnsiTheme="minorEastAsia"/>
                <w:bCs/>
                <w:sz w:val="18"/>
                <w:szCs w:val="18"/>
              </w:rPr>
              <w:t>9</w:t>
            </w:r>
            <w:r>
              <w:rPr>
                <w:rFonts w:asciiTheme="minorEastAsia" w:hAnsiTheme="minorEastAsia" w:hint="eastAsia"/>
                <w:bCs/>
                <w:sz w:val="18"/>
                <w:szCs w:val="18"/>
              </w:rPr>
              <w:t>】月【</w:t>
            </w:r>
            <w:r>
              <w:rPr>
                <w:rFonts w:asciiTheme="minorEastAsia" w:hAnsiTheme="minorEastAsia"/>
                <w:bCs/>
                <w:sz w:val="18"/>
                <w:szCs w:val="18"/>
              </w:rPr>
              <w:t>11</w:t>
            </w:r>
            <w:r>
              <w:rPr>
                <w:rFonts w:asciiTheme="minorEastAsia" w:hAnsiTheme="minorEastAsia" w:hint="eastAsia"/>
                <w:bCs/>
                <w:sz w:val="18"/>
                <w:szCs w:val="18"/>
              </w:rPr>
              <w:t>】日11:00至【201</w:t>
            </w:r>
            <w:r>
              <w:rPr>
                <w:rFonts w:asciiTheme="minorEastAsia" w:hAnsiTheme="minorEastAsia"/>
                <w:bCs/>
                <w:sz w:val="18"/>
                <w:szCs w:val="18"/>
              </w:rPr>
              <w:t>8</w:t>
            </w:r>
            <w:r>
              <w:rPr>
                <w:rFonts w:asciiTheme="minorEastAsia" w:hAnsiTheme="minorEastAsia" w:hint="eastAsia"/>
                <w:bCs/>
                <w:sz w:val="18"/>
                <w:szCs w:val="18"/>
              </w:rPr>
              <w:t>】年【</w:t>
            </w:r>
            <w:r>
              <w:rPr>
                <w:rFonts w:asciiTheme="minorEastAsia" w:hAnsiTheme="minorEastAsia"/>
                <w:bCs/>
                <w:sz w:val="18"/>
                <w:szCs w:val="18"/>
              </w:rPr>
              <w:t>9</w:t>
            </w:r>
            <w:r>
              <w:rPr>
                <w:rFonts w:asciiTheme="minorEastAsia" w:hAnsiTheme="minorEastAsia" w:hint="eastAsia"/>
                <w:bCs/>
                <w:sz w:val="18"/>
                <w:szCs w:val="18"/>
              </w:rPr>
              <w:t>】月【</w:t>
            </w:r>
            <w:r>
              <w:rPr>
                <w:rFonts w:asciiTheme="minorEastAsia" w:hAnsiTheme="minorEastAsia"/>
                <w:bCs/>
                <w:sz w:val="18"/>
                <w:szCs w:val="18"/>
              </w:rPr>
              <w:t>17</w:t>
            </w:r>
            <w:r>
              <w:rPr>
                <w:rFonts w:asciiTheme="minorEastAsia" w:hAnsiTheme="minorEastAsia" w:hint="eastAsia"/>
                <w:bCs/>
                <w:sz w:val="18"/>
                <w:szCs w:val="18"/>
              </w:rPr>
              <w:t>】日15:45</w:t>
            </w:r>
            <w:r>
              <w:rPr>
                <w:rFonts w:asciiTheme="majorEastAsia" w:eastAsiaTheme="majorEastAsia" w:hAnsiTheme="majorEastAsia"/>
                <w:sz w:val="18"/>
                <w:szCs w:val="18"/>
              </w:rPr>
              <w:t>。</w:t>
            </w:r>
          </w:p>
          <w:p w:rsidR="008C4D74" w:rsidRDefault="008C4D74" w:rsidP="008D10E8">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8C4D74" w:rsidRDefault="008C4D74" w:rsidP="008D10E8">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.认购期</w:t>
            </w:r>
            <w:r>
              <w:rPr>
                <w:rFonts w:asciiTheme="minorEastAsia" w:hAnsiTheme="minorEastAsia"/>
                <w:bCs/>
                <w:sz w:val="18"/>
                <w:szCs w:val="18"/>
              </w:rPr>
              <w:t>/</w:t>
            </w:r>
            <w:r>
              <w:rPr>
                <w:rFonts w:ascii="宋体" w:hAnsi="宋体" w:hint="eastAsia"/>
                <w:bCs/>
                <w:sz w:val="18"/>
                <w:szCs w:val="18"/>
              </w:rPr>
              <w:t>募集期内资金按照活期存款利息计息，认购期/募集期内的利息不计入认购资金</w:t>
            </w:r>
            <w:r>
              <w:rPr>
                <w:rFonts w:ascii="宋体" w:hAnsi="宋体" w:hint="eastAsia"/>
                <w:sz w:val="18"/>
              </w:rPr>
              <w:t>。</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bCs/>
                <w:sz w:val="18"/>
                <w:szCs w:val="18"/>
              </w:rPr>
            </w:pPr>
            <w:r>
              <w:rPr>
                <w:rFonts w:hAnsi="宋体" w:hint="eastAsia"/>
                <w:sz w:val="18"/>
                <w:szCs w:val="18"/>
              </w:rPr>
              <w:t>★</w:t>
            </w:r>
            <w:r>
              <w:rPr>
                <w:rFonts w:asciiTheme="majorEastAsia" w:eastAsiaTheme="majorEastAsia" w:hAnsiTheme="majorEastAsia" w:hint="eastAsia"/>
                <w:b/>
                <w:bCs/>
                <w:sz w:val="18"/>
                <w:szCs w:val="18"/>
              </w:rPr>
              <w:t>投资冷静期</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704" w:type="dxa"/>
            <w:shd w:val="solid" w:color="FFFFFF" w:fill="FFFFFF"/>
            <w:vAlign w:val="center"/>
          </w:tcPr>
          <w:p w:rsidR="008C4D74" w:rsidRDefault="008C4D74" w:rsidP="008D10E8">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hint="eastAsia"/>
                <w:sz w:val="18"/>
                <w:szCs w:val="18"/>
              </w:rPr>
              <w:t>【201</w:t>
            </w:r>
            <w:r>
              <w:rPr>
                <w:rFonts w:asciiTheme="minorEastAsia" w:hAnsiTheme="minorEastAsia"/>
                <w:sz w:val="18"/>
                <w:szCs w:val="18"/>
              </w:rPr>
              <w:t>8】年【9</w:t>
            </w:r>
            <w:r>
              <w:rPr>
                <w:rFonts w:asciiTheme="minorEastAsia" w:hAnsiTheme="minorEastAsia" w:hint="eastAsia"/>
                <w:sz w:val="18"/>
                <w:szCs w:val="18"/>
              </w:rPr>
              <w:t>】月【</w:t>
            </w:r>
            <w:r>
              <w:rPr>
                <w:rFonts w:asciiTheme="minorEastAsia" w:hAnsiTheme="minorEastAsia"/>
                <w:sz w:val="18"/>
                <w:szCs w:val="18"/>
              </w:rPr>
              <w:t>18</w:t>
            </w:r>
            <w:r>
              <w:rPr>
                <w:rFonts w:asciiTheme="minorEastAsia" w:hAnsiTheme="minorEastAsia" w:hint="eastAsia"/>
                <w:sz w:val="18"/>
                <w:szCs w:val="18"/>
              </w:rPr>
              <w:t>】日（遇节假日顺延）</w:t>
            </w:r>
            <w:r>
              <w:rPr>
                <w:rFonts w:asciiTheme="minorEastAsia" w:hAnsiTheme="minorEastAsia" w:hint="eastAsia"/>
                <w:bCs/>
                <w:sz w:val="18"/>
                <w:szCs w:val="18"/>
              </w:rPr>
              <w:t>。</w:t>
            </w:r>
          </w:p>
          <w:p w:rsidR="008C4D74" w:rsidRDefault="008C4D74" w:rsidP="008D10E8">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sz w:val="18"/>
                <w:szCs w:val="18"/>
              </w:rPr>
              <w:t>投资</w:t>
            </w:r>
            <w:r>
              <w:rPr>
                <w:rFonts w:asciiTheme="majorEastAsia" w:eastAsiaTheme="majorEastAsia" w:hAnsiTheme="majorEastAsia"/>
                <w:b/>
                <w:sz w:val="18"/>
                <w:szCs w:val="18"/>
              </w:rPr>
              <w:t>周期</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bCs/>
                <w:color w:val="000000" w:themeColor="text1"/>
                <w:sz w:val="18"/>
                <w:szCs w:val="18"/>
              </w:rPr>
              <w:t>1</w:t>
            </w:r>
            <w:r>
              <w:rPr>
                <w:rFonts w:asciiTheme="majorEastAsia" w:eastAsiaTheme="majorEastAsia" w:hAnsiTheme="majorEastAsia"/>
                <w:bCs/>
                <w:color w:val="000000" w:themeColor="text1"/>
                <w:sz w:val="18"/>
                <w:szCs w:val="18"/>
              </w:rPr>
              <w:t>.投资周期的设置</w:t>
            </w:r>
          </w:p>
          <w:p w:rsidR="008C4D74" w:rsidRDefault="008C4D74" w:rsidP="008D10E8">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w:t>
            </w:r>
            <w:r>
              <w:rPr>
                <w:rFonts w:asciiTheme="majorEastAsia" w:eastAsiaTheme="majorEastAsia" w:hAnsiTheme="majorEastAsia" w:hint="eastAsia"/>
                <w:bCs/>
                <w:color w:val="000000" w:themeColor="text1"/>
                <w:sz w:val="18"/>
                <w:szCs w:val="18"/>
              </w:rPr>
              <w:t>投资周期指</w:t>
            </w:r>
            <w:r>
              <w:rPr>
                <w:rFonts w:asciiTheme="minorEastAsia" w:eastAsiaTheme="minorEastAsia" w:hAnsiTheme="minorEastAsia" w:hint="eastAsia"/>
                <w:bCs/>
                <w:color w:val="000000" w:themeColor="text1"/>
                <w:sz w:val="18"/>
                <w:szCs w:val="18"/>
              </w:rPr>
              <w:t>投资者</w:t>
            </w:r>
            <w:r>
              <w:rPr>
                <w:rFonts w:asciiTheme="minorEastAsia" w:eastAsiaTheme="minorEastAsia" w:hAnsiTheme="minorEastAsia"/>
                <w:bCs/>
                <w:color w:val="000000" w:themeColor="text1"/>
                <w:sz w:val="18"/>
                <w:szCs w:val="18"/>
              </w:rPr>
              <w:t>持有理财产品份额</w:t>
            </w:r>
            <w:r>
              <w:rPr>
                <w:rFonts w:asciiTheme="minorEastAsia" w:eastAsiaTheme="minorEastAsia" w:hAnsiTheme="minorEastAsia" w:hint="eastAsia"/>
                <w:bCs/>
                <w:color w:val="000000" w:themeColor="text1"/>
                <w:sz w:val="18"/>
                <w:szCs w:val="18"/>
              </w:rPr>
              <w:t>所对应的理财资金由产品管理人进行投资运作的一段完整期间。</w:t>
            </w:r>
          </w:p>
          <w:p w:rsidR="008C4D74" w:rsidRDefault="008C4D74" w:rsidP="008D10E8">
            <w:pPr>
              <w:spacing w:line="360" w:lineRule="auto"/>
              <w:rPr>
                <w:rFonts w:asciiTheme="majorEastAsia" w:eastAsiaTheme="majorEastAsia" w:hAnsiTheme="majorEastAsia" w:cs="仿宋_GB2312"/>
                <w:color w:val="000000" w:themeColor="text1"/>
                <w:kern w:val="0"/>
                <w:sz w:val="18"/>
                <w:szCs w:val="18"/>
              </w:rPr>
            </w:pPr>
            <w:r>
              <w:rPr>
                <w:rFonts w:asciiTheme="majorEastAsia" w:eastAsiaTheme="majorEastAsia" w:hAnsiTheme="majorEastAsia" w:hint="eastAsia"/>
                <w:bCs/>
                <w:color w:val="000000" w:themeColor="text1"/>
                <w:sz w:val="18"/>
                <w:szCs w:val="18"/>
              </w:rPr>
              <w:t>（2）每一个投资周期：包含</w:t>
            </w:r>
            <w:r>
              <w:rPr>
                <w:rFonts w:asciiTheme="majorEastAsia" w:eastAsiaTheme="majorEastAsia" w:hAnsiTheme="majorEastAsia" w:cs="仿宋_GB2312" w:hint="eastAsia"/>
                <w:color w:val="000000" w:themeColor="text1"/>
                <w:kern w:val="0"/>
                <w:sz w:val="18"/>
                <w:szCs w:val="18"/>
              </w:rPr>
              <w:t>该</w:t>
            </w:r>
            <w:r>
              <w:rPr>
                <w:rFonts w:asciiTheme="majorEastAsia" w:eastAsiaTheme="majorEastAsia" w:hAnsiTheme="majorEastAsia" w:hint="eastAsia"/>
                <w:bCs/>
                <w:color w:val="000000" w:themeColor="text1"/>
                <w:sz w:val="18"/>
                <w:szCs w:val="18"/>
              </w:rPr>
              <w:t>投资者对应产品份额的认购确认日</w:t>
            </w:r>
            <w:r>
              <w:rPr>
                <w:rFonts w:asciiTheme="majorEastAsia" w:eastAsiaTheme="majorEastAsia" w:hAnsiTheme="majorEastAsia"/>
                <w:bCs/>
                <w:color w:val="000000" w:themeColor="text1"/>
                <w:sz w:val="18"/>
                <w:szCs w:val="18"/>
              </w:rPr>
              <w:t>/申购确认日</w:t>
            </w:r>
            <w:r>
              <w:rPr>
                <w:rFonts w:asciiTheme="majorEastAsia" w:eastAsiaTheme="majorEastAsia" w:hAnsiTheme="majorEastAsia" w:cs="仿宋_GB2312" w:hint="eastAsia"/>
                <w:color w:val="000000" w:themeColor="text1"/>
                <w:kern w:val="0"/>
                <w:sz w:val="18"/>
                <w:szCs w:val="18"/>
              </w:rPr>
              <w:t>至该投资者对应产品份额的赎回确认日的期间。</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inorEastAsia" w:eastAsiaTheme="minorEastAsia" w:hAnsiTheme="minorEastAsia"/>
                <w:bCs/>
                <w:color w:val="000000" w:themeColor="text1"/>
                <w:sz w:val="18"/>
                <w:szCs w:val="18"/>
              </w:rPr>
              <w:t>）</w:t>
            </w:r>
            <w:r>
              <w:rPr>
                <w:rFonts w:asciiTheme="majorEastAsia" w:eastAsiaTheme="majorEastAsia" w:hAnsiTheme="majorEastAsia" w:hint="eastAsia"/>
                <w:bCs/>
                <w:color w:val="000000" w:themeColor="text1"/>
                <w:sz w:val="18"/>
                <w:szCs w:val="18"/>
              </w:rPr>
              <w:t>正常情况下，本产品的一个投资周期为【6个月】</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投资周期存在长于或短于【6个月】的可能，投资者具体投资周期以本产品说明书“申购</w:t>
            </w:r>
            <w:r>
              <w:rPr>
                <w:rFonts w:asciiTheme="majorEastAsia" w:eastAsiaTheme="majorEastAsia" w:hAnsiTheme="majorEastAsia"/>
                <w:bCs/>
                <w:color w:val="000000" w:themeColor="text1"/>
                <w:sz w:val="18"/>
                <w:szCs w:val="18"/>
              </w:rPr>
              <w:t>/赎回安排</w:t>
            </w:r>
            <w:r>
              <w:rPr>
                <w:rFonts w:asciiTheme="majorEastAsia" w:eastAsiaTheme="majorEastAsia" w:hAnsiTheme="majorEastAsia" w:hint="eastAsia"/>
                <w:bCs/>
                <w:color w:val="000000" w:themeColor="text1"/>
                <w:sz w:val="18"/>
                <w:szCs w:val="18"/>
              </w:rPr>
              <w:t>”所载明的天数为准。投资周期终止日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2.投资周期的参与</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1）本产品成立前，投资者可通过认购方式参与本产品的第一个投资周期。</w:t>
            </w:r>
          </w:p>
          <w:p w:rsidR="008C4D74" w:rsidRDefault="008C4D74" w:rsidP="008D10E8">
            <w:pPr>
              <w:spacing w:line="360" w:lineRule="auto"/>
              <w:rPr>
                <w:rFonts w:asciiTheme="minorEastAsia" w:eastAsiaTheme="minorEastAsia" w:hAnsiTheme="minorEastAsia"/>
                <w:bCs/>
                <w:color w:val="000000" w:themeColor="text1"/>
                <w:sz w:val="18"/>
                <w:szCs w:val="18"/>
              </w:rPr>
            </w:pP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2）本产品成立后，投资者可通过预约申购方式参与本产品的不同投资周期。</w:t>
            </w:r>
            <w:r>
              <w:rPr>
                <w:rFonts w:asciiTheme="majorEastAsia" w:eastAsiaTheme="majorEastAsia" w:hAnsiTheme="majorEastAsia" w:cs="仿宋_GB2312" w:hint="eastAsia"/>
                <w:color w:val="000000" w:themeColor="text1"/>
                <w:kern w:val="0"/>
                <w:sz w:val="18"/>
                <w:szCs w:val="18"/>
              </w:rPr>
              <w:t>本产品</w:t>
            </w:r>
            <w:r>
              <w:rPr>
                <w:rFonts w:asciiTheme="majorEastAsia" w:eastAsiaTheme="majorEastAsia" w:hAnsiTheme="majorEastAsia" w:cs="仿宋_GB2312"/>
                <w:color w:val="000000" w:themeColor="text1"/>
                <w:kern w:val="0"/>
                <w:sz w:val="18"/>
                <w:szCs w:val="18"/>
              </w:rPr>
              <w:t>成立后管</w:t>
            </w:r>
            <w:r>
              <w:rPr>
                <w:rFonts w:asciiTheme="majorEastAsia" w:eastAsiaTheme="majorEastAsia" w:hAnsiTheme="majorEastAsia" w:cs="仿宋_GB2312"/>
                <w:color w:val="000000" w:themeColor="text1"/>
                <w:kern w:val="0"/>
                <w:sz w:val="18"/>
                <w:szCs w:val="18"/>
              </w:rPr>
              <w:lastRenderedPageBreak/>
              <w:t>理人可根据募集情况设置预约申购期</w:t>
            </w:r>
            <w:r>
              <w:rPr>
                <w:rFonts w:asciiTheme="majorEastAsia" w:eastAsiaTheme="majorEastAsia" w:hAnsiTheme="majorEastAsia" w:cs="仿宋_GB2312" w:hint="eastAsia"/>
                <w:color w:val="000000" w:themeColor="text1"/>
                <w:kern w:val="0"/>
                <w:sz w:val="18"/>
                <w:szCs w:val="18"/>
              </w:rPr>
              <w:t>。</w:t>
            </w:r>
            <w:r>
              <w:rPr>
                <w:rFonts w:asciiTheme="majorEastAsia" w:eastAsiaTheme="majorEastAsia" w:hAnsiTheme="majorEastAsia" w:cs="仿宋_GB2312"/>
                <w:color w:val="000000" w:themeColor="text1"/>
                <w:kern w:val="0"/>
                <w:sz w:val="18"/>
                <w:szCs w:val="18"/>
              </w:rPr>
              <w:t>在理财产品运作一个完整的投资周期</w:t>
            </w:r>
            <w:r>
              <w:rPr>
                <w:rFonts w:asciiTheme="majorEastAsia" w:eastAsiaTheme="majorEastAsia" w:hAnsiTheme="majorEastAsia" w:cs="仿宋_GB2312" w:hint="eastAsia"/>
                <w:color w:val="000000" w:themeColor="text1"/>
                <w:kern w:val="0"/>
                <w:sz w:val="18"/>
                <w:szCs w:val="18"/>
              </w:rPr>
              <w:t>结束前后，</w:t>
            </w:r>
            <w:r>
              <w:rPr>
                <w:rFonts w:asciiTheme="majorEastAsia" w:eastAsiaTheme="majorEastAsia" w:hAnsiTheme="majorEastAsia" w:cs="仿宋_GB2312"/>
                <w:color w:val="000000" w:themeColor="text1"/>
                <w:kern w:val="0"/>
                <w:sz w:val="18"/>
                <w:szCs w:val="18"/>
              </w:rPr>
              <w:t>管理人可设置预约申购期</w:t>
            </w:r>
            <w:r>
              <w:rPr>
                <w:rFonts w:asciiTheme="majorEastAsia" w:eastAsiaTheme="majorEastAsia" w:hAnsiTheme="majorEastAsia" w:cs="仿宋_GB2312" w:hint="eastAsia"/>
                <w:color w:val="000000" w:themeColor="text1"/>
                <w:kern w:val="0"/>
                <w:sz w:val="18"/>
                <w:szCs w:val="18"/>
              </w:rPr>
              <w:t>。</w:t>
            </w:r>
            <w:r>
              <w:rPr>
                <w:rFonts w:ascii="宋体" w:hAnsi="宋体" w:cs="仿宋_GB2312" w:hint="eastAsia"/>
                <w:kern w:val="0"/>
                <w:sz w:val="18"/>
                <w:szCs w:val="18"/>
              </w:rPr>
              <w:t>投资者可在预约申购期内提交预约申购申请</w:t>
            </w:r>
            <w:r>
              <w:rPr>
                <w:rFonts w:asciiTheme="minorEastAsia" w:eastAsiaTheme="minorEastAsia" w:hAnsiTheme="minorEastAsia" w:hint="eastAsia"/>
                <w:bCs/>
                <w:sz w:val="18"/>
                <w:szCs w:val="18"/>
              </w:rPr>
              <w:t>。</w:t>
            </w:r>
          </w:p>
          <w:p w:rsidR="008C4D74" w:rsidRDefault="008C4D74" w:rsidP="008D10E8">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3.投资周期的退出</w:t>
            </w:r>
          </w:p>
          <w:p w:rsidR="008C4D74" w:rsidRDefault="008C4D74" w:rsidP="008D10E8">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（1）本产品成立后，投资者可通过预约赎回方式退出本产品的投资周期。在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在运作一个完整的投资周期结束前，投资者可在预约赎回期内</w:t>
            </w:r>
            <w:r>
              <w:rPr>
                <w:rFonts w:asciiTheme="minorEastAsia" w:eastAsiaTheme="minorEastAsia" w:hAnsiTheme="minorEastAsia"/>
                <w:bCs/>
                <w:color w:val="000000" w:themeColor="text1"/>
                <w:sz w:val="18"/>
                <w:szCs w:val="18"/>
              </w:rPr>
              <w:t>提出预约</w:t>
            </w:r>
            <w:r>
              <w:rPr>
                <w:rFonts w:asciiTheme="minorEastAsia" w:eastAsiaTheme="minorEastAsia" w:hAnsiTheme="minorEastAsia" w:hint="eastAsia"/>
                <w:bCs/>
                <w:color w:val="000000" w:themeColor="text1"/>
                <w:sz w:val="18"/>
                <w:szCs w:val="18"/>
              </w:rPr>
              <w:t>赎回申请，如未赎回将进入下一个投资周期继续运作。</w:t>
            </w:r>
          </w:p>
          <w:p w:rsidR="008C4D74" w:rsidRDefault="008C4D74" w:rsidP="008D10E8">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（2）在</w:t>
            </w:r>
            <w:r>
              <w:rPr>
                <w:rFonts w:asciiTheme="minorEastAsia" w:eastAsiaTheme="minorEastAsia" w:hAnsiTheme="minorEastAsia"/>
                <w:bCs/>
                <w:color w:val="000000" w:themeColor="text1"/>
                <w:sz w:val="18"/>
                <w:szCs w:val="18"/>
              </w:rPr>
              <w:t>投资者持有的理财产品份额</w:t>
            </w:r>
            <w:r>
              <w:rPr>
                <w:rFonts w:asciiTheme="minorEastAsia" w:eastAsiaTheme="minorEastAsia" w:hAnsiTheme="minorEastAsia" w:hint="eastAsia"/>
                <w:bCs/>
                <w:color w:val="000000" w:themeColor="text1"/>
                <w:sz w:val="18"/>
                <w:szCs w:val="18"/>
              </w:rPr>
              <w:t>在运作一个完整的投资周期后，投资者</w:t>
            </w:r>
            <w:r>
              <w:rPr>
                <w:rFonts w:asciiTheme="minorEastAsia" w:eastAsiaTheme="minorEastAsia" w:hAnsiTheme="minorEastAsia"/>
                <w:bCs/>
                <w:color w:val="000000" w:themeColor="text1"/>
                <w:sz w:val="18"/>
                <w:szCs w:val="18"/>
              </w:rPr>
              <w:t>也可以继续</w:t>
            </w:r>
            <w:r>
              <w:rPr>
                <w:rFonts w:asciiTheme="minorEastAsia" w:eastAsiaTheme="minorEastAsia" w:hAnsiTheme="minorEastAsia" w:hint="eastAsia"/>
                <w:bCs/>
                <w:color w:val="000000" w:themeColor="text1"/>
                <w:sz w:val="18"/>
                <w:szCs w:val="18"/>
              </w:rPr>
              <w:t>持有理财产品份额进入</w:t>
            </w:r>
            <w:r>
              <w:rPr>
                <w:rFonts w:asciiTheme="minorEastAsia" w:eastAsiaTheme="minorEastAsia" w:hAnsiTheme="minorEastAsia"/>
                <w:bCs/>
                <w:color w:val="000000" w:themeColor="text1"/>
                <w:sz w:val="18"/>
                <w:szCs w:val="18"/>
              </w:rPr>
              <w:t>下一个投资周期</w:t>
            </w:r>
            <w:r>
              <w:rPr>
                <w:rFonts w:asciiTheme="minorEastAsia" w:eastAsiaTheme="minorEastAsia" w:hAnsiTheme="minorEastAsia" w:hint="eastAsia"/>
                <w:bCs/>
                <w:color w:val="000000" w:themeColor="text1"/>
                <w:sz w:val="18"/>
                <w:szCs w:val="18"/>
              </w:rPr>
              <w:t>。</w:t>
            </w:r>
          </w:p>
          <w:p w:rsidR="008C4D74" w:rsidRDefault="008C4D74" w:rsidP="008D10E8">
            <w:pPr>
              <w:spacing w:line="360" w:lineRule="auto"/>
              <w:rPr>
                <w:rFonts w:asciiTheme="minorEastAsia" w:eastAsiaTheme="minorEastAsia" w:hAnsiTheme="minorEastAsia"/>
                <w:bCs/>
                <w:color w:val="000000" w:themeColor="text1"/>
                <w:sz w:val="18"/>
                <w:szCs w:val="18"/>
              </w:rPr>
            </w:pPr>
            <w:r>
              <w:rPr>
                <w:rFonts w:asciiTheme="minorEastAsia" w:eastAsiaTheme="minorEastAsia" w:hAnsiTheme="minorEastAsia" w:hint="eastAsia"/>
                <w:bCs/>
                <w:color w:val="000000" w:themeColor="text1"/>
                <w:sz w:val="18"/>
                <w:szCs w:val="18"/>
              </w:rPr>
              <w:t>（3）</w:t>
            </w:r>
            <w:r>
              <w:rPr>
                <w:rFonts w:asciiTheme="majorEastAsia" w:eastAsiaTheme="majorEastAsia" w:hAnsiTheme="majorEastAsia" w:hint="eastAsia"/>
                <w:bCs/>
                <w:sz w:val="18"/>
                <w:szCs w:val="18"/>
              </w:rPr>
              <w:t>如果投资者在本产品提前终止时仍有未赎回的份额，则产品管理人将于提前终止日将未赎回的产品</w:t>
            </w:r>
            <w:r>
              <w:rPr>
                <w:rFonts w:asciiTheme="majorEastAsia" w:eastAsiaTheme="majorEastAsia" w:hAnsiTheme="majorEastAsia"/>
                <w:bCs/>
                <w:sz w:val="18"/>
                <w:szCs w:val="18"/>
              </w:rPr>
              <w:t>份额</w:t>
            </w:r>
            <w:r>
              <w:rPr>
                <w:rFonts w:asciiTheme="majorEastAsia" w:eastAsiaTheme="majorEastAsia" w:hAnsiTheme="majorEastAsia" w:hint="eastAsia"/>
                <w:bCs/>
                <w:sz w:val="18"/>
                <w:szCs w:val="18"/>
              </w:rPr>
              <w:t>自动进行清算，于提前终止日分配理财资金，本产品终止。</w:t>
            </w:r>
          </w:p>
          <w:p w:rsidR="008C4D74" w:rsidRDefault="008C4D74" w:rsidP="008D10E8">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4</w:t>
            </w:r>
            <w:r>
              <w:rPr>
                <w:rFonts w:ascii="黑体" w:eastAsia="黑体" w:hAnsi="黑体"/>
                <w:color w:val="000000" w:themeColor="text1"/>
                <w:sz w:val="18"/>
                <w:szCs w:val="18"/>
              </w:rPr>
              <w:t>.</w:t>
            </w:r>
            <w:r>
              <w:rPr>
                <w:rFonts w:ascii="黑体" w:eastAsia="黑体" w:hAnsi="黑体" w:hint="eastAsia"/>
                <w:color w:val="000000" w:themeColor="text1"/>
                <w:sz w:val="18"/>
                <w:szCs w:val="18"/>
              </w:rPr>
              <w:t>投资周期的调整</w:t>
            </w:r>
          </w:p>
          <w:p w:rsidR="008C4D74" w:rsidRDefault="008C4D74" w:rsidP="008D10E8">
            <w:pPr>
              <w:spacing w:line="360" w:lineRule="auto"/>
              <w:rPr>
                <w:rFonts w:asciiTheme="minorEastAsia" w:hAnsiTheme="minorEastAsia"/>
                <w:sz w:val="18"/>
                <w:szCs w:val="18"/>
              </w:rPr>
            </w:pPr>
            <w:r>
              <w:rPr>
                <w:rFonts w:ascii="黑体" w:eastAsia="黑体" w:hAnsi="黑体" w:hint="eastAsia"/>
                <w:color w:val="000000" w:themeColor="text1"/>
                <w:sz w:val="18"/>
                <w:szCs w:val="18"/>
              </w:rPr>
              <w:t>产品管理人有权调整投资周期，调整后的投资周期以产品管理人发布的公告中所载明的日期为准。</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hAnsi="宋体" w:hint="eastAsia"/>
                <w:sz w:val="18"/>
                <w:szCs w:val="18"/>
              </w:rPr>
              <w:lastRenderedPageBreak/>
              <w:t>★</w:t>
            </w:r>
            <w:r>
              <w:rPr>
                <w:rFonts w:ascii="宋体" w:hAnsi="宋体" w:hint="eastAsia"/>
                <w:b/>
                <w:bCs/>
                <w:kern w:val="0"/>
                <w:sz w:val="18"/>
                <w:szCs w:val="18"/>
              </w:rPr>
              <w:t>申购/赎回安排</w:t>
            </w:r>
          </w:p>
        </w:tc>
        <w:tc>
          <w:tcPr>
            <w:tcW w:w="7704" w:type="dxa"/>
            <w:shd w:val="solid" w:color="FFFFFF" w:fill="FFFFFF"/>
          </w:tcPr>
          <w:p w:rsidR="008C4D74" w:rsidRDefault="008C4D74" w:rsidP="008D10E8">
            <w:pPr>
              <w:spacing w:line="360" w:lineRule="auto"/>
              <w:rPr>
                <w:rFonts w:asciiTheme="minorEastAsia" w:hAnsiTheme="minorEastAsia"/>
                <w:sz w:val="18"/>
                <w:szCs w:val="18"/>
              </w:rPr>
            </w:pPr>
            <w:r>
              <w:rPr>
                <w:rFonts w:asciiTheme="majorEastAsia" w:eastAsiaTheme="majorEastAsia" w:hAnsiTheme="majorEastAsia" w:cs="仿宋_GB2312" w:hint="eastAsia"/>
                <w:color w:val="000000" w:themeColor="text1"/>
                <w:kern w:val="0"/>
                <w:sz w:val="18"/>
                <w:szCs w:val="18"/>
              </w:rPr>
              <w:t>1.</w:t>
            </w:r>
            <w:r>
              <w:rPr>
                <w:rFonts w:asciiTheme="minorEastAsia" w:hAnsiTheme="minorEastAsia" w:hint="eastAsia"/>
                <w:sz w:val="18"/>
                <w:szCs w:val="18"/>
              </w:rPr>
              <w:t>本产品成立后，开放多个预约申购/赎回期。</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inorEastAsia" w:hAnsiTheme="minorEastAsia" w:hint="eastAsia"/>
                <w:sz w:val="18"/>
                <w:szCs w:val="18"/>
              </w:rPr>
              <w:t>2</w:t>
            </w:r>
            <w:r>
              <w:rPr>
                <w:rFonts w:asciiTheme="minorEastAsia" w:hAnsiTheme="minorEastAsia"/>
                <w:sz w:val="18"/>
                <w:szCs w:val="18"/>
              </w:rPr>
              <w:t>.</w:t>
            </w:r>
            <w:r>
              <w:rPr>
                <w:rFonts w:asciiTheme="minorEastAsia" w:hAnsiTheme="minorEastAsia" w:hint="eastAsia"/>
                <w:sz w:val="18"/>
                <w:szCs w:val="18"/>
              </w:rPr>
              <w:t>预约申购具体安排如下：</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inorEastAsia" w:hAnsiTheme="minorEastAsia" w:hint="eastAsia"/>
                <w:sz w:val="18"/>
                <w:szCs w:val="18"/>
              </w:rPr>
              <w:t>（1）申购的时间</w:t>
            </w:r>
          </w:p>
          <w:p w:rsidR="008C4D74" w:rsidRPr="004E578C" w:rsidRDefault="008C4D74" w:rsidP="008D10E8">
            <w:pPr>
              <w:spacing w:line="360" w:lineRule="auto"/>
              <w:rPr>
                <w:rFonts w:asciiTheme="majorEastAsia" w:eastAsiaTheme="majorEastAsia" w:hAnsiTheme="majorEastAsia"/>
                <w:bCs/>
                <w:color w:val="000000" w:themeColor="text1"/>
                <w:sz w:val="18"/>
                <w:szCs w:val="18"/>
              </w:rPr>
            </w:pPr>
            <w:r w:rsidRPr="004E578C">
              <w:rPr>
                <w:rFonts w:asciiTheme="majorEastAsia" w:eastAsiaTheme="majorEastAsia" w:hAnsiTheme="majorEastAsia" w:hint="eastAsia"/>
                <w:bCs/>
                <w:color w:val="000000" w:themeColor="text1"/>
                <w:sz w:val="18"/>
                <w:szCs w:val="18"/>
              </w:rPr>
              <w:t>□预约申购期：【2022】年【09】月【06】日11:00至【2022】年【09】月【13】日15:45；投资周期【181】天；</w:t>
            </w:r>
          </w:p>
          <w:p w:rsidR="008C4D74" w:rsidRPr="004E578C" w:rsidRDefault="008C4D74" w:rsidP="008D10E8">
            <w:pPr>
              <w:spacing w:line="360" w:lineRule="auto"/>
              <w:rPr>
                <w:rFonts w:asciiTheme="majorEastAsia" w:eastAsiaTheme="majorEastAsia" w:hAnsiTheme="majorEastAsia"/>
                <w:bCs/>
                <w:color w:val="000000" w:themeColor="text1"/>
                <w:sz w:val="18"/>
                <w:szCs w:val="18"/>
              </w:rPr>
            </w:pPr>
            <w:r w:rsidRPr="004E578C">
              <w:rPr>
                <w:rFonts w:asciiTheme="majorEastAsia" w:eastAsiaTheme="majorEastAsia" w:hAnsiTheme="majorEastAsia" w:hint="eastAsia"/>
                <w:bCs/>
                <w:color w:val="000000" w:themeColor="text1"/>
                <w:sz w:val="18"/>
                <w:szCs w:val="18"/>
              </w:rPr>
              <w:t>□预约申购期：【2022】年【09】月【14】日11:00至【2022】年【09】月【19】日15:45；投资周期【175】天；</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（2）申购的确认</w:t>
            </w:r>
          </w:p>
          <w:tbl>
            <w:tblPr>
              <w:tblStyle w:val="a8"/>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8C4D74" w:rsidTr="008D10E8">
              <w:trPr>
                <w:trHeight w:val="278"/>
                <w:jc w:val="center"/>
              </w:trPr>
              <w:tc>
                <w:tcPr>
                  <w:tcW w:w="1559" w:type="dxa"/>
                  <w:vAlign w:val="center"/>
                </w:tcPr>
                <w:p w:rsidR="008C4D74" w:rsidRDefault="008C4D74" w:rsidP="008D10E8">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预约申购申请日</w:t>
                  </w:r>
                </w:p>
              </w:tc>
              <w:tc>
                <w:tcPr>
                  <w:tcW w:w="1559" w:type="dxa"/>
                  <w:vAlign w:val="center"/>
                </w:tcPr>
                <w:p w:rsidR="008C4D74" w:rsidRDefault="008C4D74" w:rsidP="008D10E8">
                  <w:pPr>
                    <w:pStyle w:val="Default"/>
                    <w:spacing w:line="360" w:lineRule="auto"/>
                    <w:jc w:val="center"/>
                    <w:rPr>
                      <w:rFonts w:asciiTheme="minorEastAsia" w:hAnsiTheme="minorEastAsia"/>
                      <w:b/>
                      <w:bCs/>
                      <w:color w:val="auto"/>
                      <w:sz w:val="18"/>
                      <w:szCs w:val="18"/>
                    </w:rPr>
                  </w:pPr>
                  <w:r>
                    <w:rPr>
                      <w:rFonts w:asciiTheme="minorEastAsia" w:hAnsiTheme="minorEastAsia" w:hint="eastAsia"/>
                      <w:b/>
                      <w:bCs/>
                      <w:color w:val="auto"/>
                      <w:sz w:val="18"/>
                      <w:szCs w:val="18"/>
                    </w:rPr>
                    <w:t>申购日</w:t>
                  </w:r>
                </w:p>
              </w:tc>
              <w:tc>
                <w:tcPr>
                  <w:tcW w:w="1843" w:type="dxa"/>
                  <w:vAlign w:val="center"/>
                </w:tcPr>
                <w:p w:rsidR="008C4D74" w:rsidRDefault="008C4D74" w:rsidP="008D10E8">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申购确认日</w:t>
                  </w:r>
                </w:p>
              </w:tc>
              <w:tc>
                <w:tcPr>
                  <w:tcW w:w="2229" w:type="dxa"/>
                  <w:vAlign w:val="center"/>
                </w:tcPr>
                <w:p w:rsidR="008C4D74" w:rsidRDefault="008C4D74" w:rsidP="008D10E8">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申购确认</w:t>
                  </w:r>
                  <w:r>
                    <w:rPr>
                      <w:rFonts w:asciiTheme="minorEastAsia" w:hAnsiTheme="minorEastAsia"/>
                      <w:b/>
                      <w:bCs/>
                      <w:color w:val="auto"/>
                      <w:sz w:val="18"/>
                      <w:szCs w:val="18"/>
                    </w:rPr>
                    <w:t>方式</w:t>
                  </w:r>
                </w:p>
              </w:tc>
            </w:tr>
            <w:tr w:rsidR="008C4D74" w:rsidTr="008D10E8">
              <w:trPr>
                <w:trHeight w:val="557"/>
                <w:jc w:val="center"/>
              </w:trPr>
              <w:tc>
                <w:tcPr>
                  <w:tcW w:w="1559" w:type="dxa"/>
                </w:tcPr>
                <w:p w:rsidR="008C4D74" w:rsidRDefault="008C4D74" w:rsidP="008D10E8">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hint="eastAsia"/>
                      <w:color w:val="auto"/>
                      <w:sz w:val="18"/>
                      <w:szCs w:val="18"/>
                    </w:rPr>
                    <w:t>为预约申购期内任意一日</w:t>
                  </w:r>
                </w:p>
              </w:tc>
              <w:tc>
                <w:tcPr>
                  <w:tcW w:w="1559" w:type="dxa"/>
                </w:tcPr>
                <w:p w:rsidR="008C4D74" w:rsidRDefault="008C4D74" w:rsidP="008D10E8">
                  <w:pPr>
                    <w:pStyle w:val="Default"/>
                    <w:spacing w:line="360" w:lineRule="auto"/>
                    <w:rPr>
                      <w:rFonts w:asciiTheme="minorEastAsia" w:eastAsiaTheme="minorEastAsia" w:hAnsiTheme="minorEastAsia"/>
                      <w:bCs/>
                      <w:sz w:val="18"/>
                      <w:szCs w:val="18"/>
                    </w:rPr>
                  </w:pPr>
                  <w:r>
                    <w:rPr>
                      <w:rFonts w:asciiTheme="minorEastAsia" w:eastAsiaTheme="minorEastAsia" w:hAnsiTheme="minorEastAsia" w:hint="eastAsia"/>
                      <w:color w:val="auto"/>
                      <w:sz w:val="18"/>
                      <w:szCs w:val="18"/>
                    </w:rPr>
                    <w:t>为预约申购期内最后一个工作日</w:t>
                  </w:r>
                </w:p>
              </w:tc>
              <w:tc>
                <w:tcPr>
                  <w:tcW w:w="1843" w:type="dxa"/>
                </w:tcPr>
                <w:p w:rsidR="008C4D74" w:rsidRDefault="008C4D74" w:rsidP="008D10E8">
                  <w:pPr>
                    <w:pStyle w:val="Default"/>
                    <w:spacing w:line="360" w:lineRule="auto"/>
                    <w:rPr>
                      <w:rFonts w:asciiTheme="minorEastAsia" w:hAnsiTheme="minorEastAsia"/>
                      <w:bCs/>
                      <w:kern w:val="2"/>
                      <w:sz w:val="18"/>
                      <w:szCs w:val="18"/>
                    </w:rPr>
                  </w:pPr>
                  <w:r>
                    <w:rPr>
                      <w:rFonts w:asciiTheme="minorEastAsia" w:eastAsiaTheme="minorEastAsia" w:hAnsiTheme="minorEastAsia" w:hint="eastAsia"/>
                      <w:bCs/>
                      <w:sz w:val="18"/>
                      <w:szCs w:val="18"/>
                    </w:rPr>
                    <w:t>申购日后【2】</w:t>
                  </w:r>
                  <w:proofErr w:type="gramStart"/>
                  <w:r>
                    <w:rPr>
                      <w:rFonts w:asciiTheme="minorEastAsia" w:eastAsiaTheme="minorEastAsia" w:hAnsiTheme="minorEastAsia" w:hint="eastAsia"/>
                      <w:bCs/>
                      <w:sz w:val="18"/>
                      <w:szCs w:val="18"/>
                    </w:rPr>
                    <w:t>个</w:t>
                  </w:r>
                  <w:proofErr w:type="gramEnd"/>
                  <w:r>
                    <w:rPr>
                      <w:rFonts w:asciiTheme="minorEastAsia" w:eastAsiaTheme="minorEastAsia" w:hAnsiTheme="minorEastAsia" w:hint="eastAsia"/>
                      <w:bCs/>
                      <w:sz w:val="18"/>
                      <w:szCs w:val="18"/>
                    </w:rPr>
                    <w:t>工作日内</w:t>
                  </w:r>
                </w:p>
              </w:tc>
              <w:tc>
                <w:tcPr>
                  <w:tcW w:w="2229" w:type="dxa"/>
                </w:tcPr>
                <w:p w:rsidR="008C4D74" w:rsidRDefault="008C4D74" w:rsidP="008D10E8">
                  <w:pPr>
                    <w:pStyle w:val="Default"/>
                    <w:spacing w:line="360" w:lineRule="auto"/>
                    <w:rPr>
                      <w:rFonts w:asciiTheme="minorEastAsia" w:hAnsiTheme="minorEastAsia"/>
                      <w:bCs/>
                      <w:kern w:val="2"/>
                      <w:sz w:val="18"/>
                      <w:szCs w:val="18"/>
                    </w:rPr>
                  </w:pPr>
                  <w:r>
                    <w:rPr>
                      <w:rFonts w:asciiTheme="minorEastAsia" w:eastAsiaTheme="minorEastAsia" w:hAnsiTheme="minorEastAsia" w:hint="eastAsia"/>
                      <w:bCs/>
                      <w:sz w:val="18"/>
                      <w:szCs w:val="18"/>
                    </w:rPr>
                    <w:t>产品管理人在申购确认日对投资者的申购申请的有效性进行确认，并登记理财份额。</w:t>
                  </w:r>
                </w:p>
              </w:tc>
            </w:tr>
          </w:tbl>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inorEastAsia" w:hAnsiTheme="minorEastAsia" w:hint="eastAsia"/>
                <w:sz w:val="18"/>
                <w:szCs w:val="18"/>
              </w:rPr>
              <w:t>本产品在一个完整投资周期结束前，设置一个预约申购期；在一个完整投资周期结束后，再设置多个预约申购期。</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3</w:t>
            </w:r>
            <w:r>
              <w:rPr>
                <w:rFonts w:asciiTheme="majorEastAsia" w:eastAsiaTheme="majorEastAsia" w:hAnsiTheme="majorEastAsia"/>
                <w:bCs/>
                <w:color w:val="000000" w:themeColor="text1"/>
                <w:sz w:val="18"/>
                <w:szCs w:val="18"/>
              </w:rPr>
              <w:t>.预约</w:t>
            </w:r>
            <w:r>
              <w:rPr>
                <w:rFonts w:asciiTheme="majorEastAsia" w:eastAsiaTheme="majorEastAsia" w:hAnsiTheme="majorEastAsia" w:hint="eastAsia"/>
                <w:bCs/>
                <w:color w:val="000000" w:themeColor="text1"/>
                <w:sz w:val="18"/>
                <w:szCs w:val="18"/>
              </w:rPr>
              <w:t>赎回具体安排如下：</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lastRenderedPageBreak/>
              <w:t>（1）赎回的时间</w:t>
            </w:r>
          </w:p>
          <w:p w:rsidR="008C4D74" w:rsidRDefault="008C4D74" w:rsidP="008D10E8">
            <w:pPr>
              <w:spacing w:line="360" w:lineRule="auto"/>
              <w:rPr>
                <w:rFonts w:asciiTheme="majorEastAsia" w:eastAsiaTheme="majorEastAsia" w:hAnsiTheme="majorEastAsia"/>
                <w:bCs/>
                <w:color w:val="000000" w:themeColor="text1"/>
                <w:sz w:val="18"/>
                <w:szCs w:val="18"/>
              </w:rPr>
            </w:pPr>
            <w:r w:rsidRPr="007E2C2F">
              <w:rPr>
                <w:rFonts w:asciiTheme="majorEastAsia" w:eastAsiaTheme="majorEastAsia" w:hAnsiTheme="majorEastAsia" w:hint="eastAsia"/>
                <w:bCs/>
                <w:color w:val="000000" w:themeColor="text1"/>
                <w:sz w:val="18"/>
                <w:szCs w:val="18"/>
              </w:rPr>
              <w:t>预约赎回期：</w:t>
            </w:r>
            <w:r w:rsidRPr="004E578C">
              <w:rPr>
                <w:rFonts w:asciiTheme="majorEastAsia" w:eastAsiaTheme="majorEastAsia" w:hAnsiTheme="majorEastAsia" w:hint="eastAsia"/>
                <w:bCs/>
                <w:color w:val="000000" w:themeColor="text1"/>
                <w:sz w:val="18"/>
                <w:szCs w:val="18"/>
              </w:rPr>
              <w:t>【2023】年【02】月【28】日00:00至【2023】年【03】月【13】日15:45</w:t>
            </w:r>
            <w:r>
              <w:rPr>
                <w:rFonts w:asciiTheme="majorEastAsia" w:eastAsiaTheme="majorEastAsia" w:hAnsiTheme="majorEastAsia" w:hint="eastAsia"/>
                <w:bCs/>
                <w:color w:val="000000" w:themeColor="text1"/>
                <w:sz w:val="18"/>
                <w:szCs w:val="18"/>
              </w:rPr>
              <w:t>。</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（2）赎回的确认</w:t>
            </w:r>
          </w:p>
          <w:tbl>
            <w:tblPr>
              <w:tblStyle w:val="a8"/>
              <w:tblW w:w="7190"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559"/>
              <w:gridCol w:w="1559"/>
              <w:gridCol w:w="1843"/>
              <w:gridCol w:w="2229"/>
            </w:tblGrid>
            <w:tr w:rsidR="008C4D74" w:rsidTr="008D10E8">
              <w:trPr>
                <w:trHeight w:val="278"/>
                <w:jc w:val="center"/>
              </w:trPr>
              <w:tc>
                <w:tcPr>
                  <w:tcW w:w="1559" w:type="dxa"/>
                  <w:vAlign w:val="center"/>
                </w:tcPr>
                <w:p w:rsidR="008C4D74" w:rsidRDefault="008C4D74" w:rsidP="008D10E8">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预约赎回申请日</w:t>
                  </w:r>
                </w:p>
              </w:tc>
              <w:tc>
                <w:tcPr>
                  <w:tcW w:w="1559" w:type="dxa"/>
                  <w:vAlign w:val="center"/>
                </w:tcPr>
                <w:p w:rsidR="008C4D74" w:rsidRDefault="008C4D74" w:rsidP="008D10E8">
                  <w:pPr>
                    <w:pStyle w:val="Default"/>
                    <w:spacing w:line="360" w:lineRule="auto"/>
                    <w:jc w:val="center"/>
                    <w:rPr>
                      <w:rFonts w:asciiTheme="minorEastAsia" w:hAnsiTheme="minorEastAsia"/>
                      <w:b/>
                      <w:bCs/>
                      <w:color w:val="auto"/>
                      <w:sz w:val="18"/>
                      <w:szCs w:val="18"/>
                    </w:rPr>
                  </w:pPr>
                  <w:r>
                    <w:rPr>
                      <w:rFonts w:asciiTheme="minorEastAsia" w:hAnsiTheme="minorEastAsia" w:hint="eastAsia"/>
                      <w:b/>
                      <w:bCs/>
                      <w:color w:val="auto"/>
                      <w:sz w:val="18"/>
                      <w:szCs w:val="18"/>
                    </w:rPr>
                    <w:t>赎回日</w:t>
                  </w:r>
                </w:p>
              </w:tc>
              <w:tc>
                <w:tcPr>
                  <w:tcW w:w="1843" w:type="dxa"/>
                  <w:vAlign w:val="center"/>
                </w:tcPr>
                <w:p w:rsidR="008C4D74" w:rsidRDefault="008C4D74" w:rsidP="008D10E8">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赎回确认日</w:t>
                  </w:r>
                </w:p>
              </w:tc>
              <w:tc>
                <w:tcPr>
                  <w:tcW w:w="2229" w:type="dxa"/>
                  <w:vAlign w:val="center"/>
                </w:tcPr>
                <w:p w:rsidR="008C4D74" w:rsidRDefault="008C4D74" w:rsidP="008D10E8">
                  <w:pPr>
                    <w:pStyle w:val="Default"/>
                    <w:spacing w:line="360" w:lineRule="auto"/>
                    <w:jc w:val="center"/>
                    <w:rPr>
                      <w:rFonts w:asciiTheme="minorEastAsia" w:hAnsiTheme="minorEastAsia"/>
                      <w:b/>
                      <w:bCs/>
                      <w:kern w:val="2"/>
                      <w:sz w:val="18"/>
                      <w:szCs w:val="18"/>
                    </w:rPr>
                  </w:pPr>
                  <w:r>
                    <w:rPr>
                      <w:rFonts w:asciiTheme="minorEastAsia" w:hAnsiTheme="minorEastAsia" w:hint="eastAsia"/>
                      <w:b/>
                      <w:bCs/>
                      <w:color w:val="auto"/>
                      <w:sz w:val="18"/>
                      <w:szCs w:val="18"/>
                    </w:rPr>
                    <w:t>赎回确认</w:t>
                  </w:r>
                  <w:r>
                    <w:rPr>
                      <w:rFonts w:asciiTheme="minorEastAsia" w:hAnsiTheme="minorEastAsia"/>
                      <w:b/>
                      <w:bCs/>
                      <w:color w:val="auto"/>
                      <w:sz w:val="18"/>
                      <w:szCs w:val="18"/>
                    </w:rPr>
                    <w:t>方式</w:t>
                  </w:r>
                </w:p>
              </w:tc>
            </w:tr>
            <w:tr w:rsidR="008C4D74" w:rsidTr="008D10E8">
              <w:trPr>
                <w:trHeight w:val="557"/>
                <w:jc w:val="center"/>
              </w:trPr>
              <w:tc>
                <w:tcPr>
                  <w:tcW w:w="1559" w:type="dxa"/>
                </w:tcPr>
                <w:p w:rsidR="008C4D74" w:rsidRDefault="008C4D74" w:rsidP="008D10E8">
                  <w:pPr>
                    <w:pStyle w:val="Default"/>
                    <w:spacing w:line="360" w:lineRule="auto"/>
                    <w:jc w:val="left"/>
                    <w:rPr>
                      <w:rFonts w:asciiTheme="minorEastAsia" w:hAnsiTheme="minorEastAsia"/>
                      <w:bCs/>
                      <w:color w:val="auto"/>
                      <w:kern w:val="2"/>
                      <w:sz w:val="18"/>
                      <w:szCs w:val="18"/>
                    </w:rPr>
                  </w:pPr>
                  <w:r>
                    <w:rPr>
                      <w:rFonts w:asciiTheme="minorEastAsia" w:eastAsiaTheme="minorEastAsia" w:hAnsiTheme="minorEastAsia" w:hint="eastAsia"/>
                      <w:color w:val="auto"/>
                      <w:sz w:val="18"/>
                      <w:szCs w:val="18"/>
                    </w:rPr>
                    <w:t>为预约赎回期内任意一日</w:t>
                  </w:r>
                </w:p>
              </w:tc>
              <w:tc>
                <w:tcPr>
                  <w:tcW w:w="1559" w:type="dxa"/>
                </w:tcPr>
                <w:p w:rsidR="008C4D74" w:rsidRDefault="008C4D74" w:rsidP="008D10E8">
                  <w:pPr>
                    <w:pStyle w:val="Default"/>
                    <w:spacing w:line="360" w:lineRule="auto"/>
                    <w:rPr>
                      <w:rFonts w:asciiTheme="minorEastAsia" w:eastAsiaTheme="minorEastAsia" w:hAnsiTheme="minorEastAsia"/>
                      <w:bCs/>
                      <w:sz w:val="18"/>
                      <w:szCs w:val="18"/>
                    </w:rPr>
                  </w:pPr>
                  <w:r>
                    <w:rPr>
                      <w:rFonts w:asciiTheme="minorEastAsia" w:eastAsiaTheme="minorEastAsia" w:hAnsiTheme="minorEastAsia" w:hint="eastAsia"/>
                      <w:color w:val="auto"/>
                      <w:sz w:val="18"/>
                      <w:szCs w:val="18"/>
                    </w:rPr>
                    <w:t>为预约赎回期内最后一个工作日</w:t>
                  </w:r>
                </w:p>
              </w:tc>
              <w:tc>
                <w:tcPr>
                  <w:tcW w:w="1843" w:type="dxa"/>
                </w:tcPr>
                <w:p w:rsidR="008C4D74" w:rsidRDefault="008C4D74" w:rsidP="008D10E8">
                  <w:pPr>
                    <w:pStyle w:val="Default"/>
                    <w:spacing w:line="360" w:lineRule="auto"/>
                    <w:rPr>
                      <w:rFonts w:asciiTheme="minorEastAsia" w:hAnsiTheme="minorEastAsia"/>
                      <w:bCs/>
                      <w:kern w:val="2"/>
                      <w:sz w:val="18"/>
                      <w:szCs w:val="18"/>
                    </w:rPr>
                  </w:pPr>
                  <w:r>
                    <w:rPr>
                      <w:rFonts w:asciiTheme="minorEastAsia" w:eastAsiaTheme="minorEastAsia" w:hAnsiTheme="minorEastAsia" w:hint="eastAsia"/>
                      <w:bCs/>
                      <w:sz w:val="18"/>
                      <w:szCs w:val="18"/>
                    </w:rPr>
                    <w:t>赎回日后【2】</w:t>
                  </w:r>
                  <w:proofErr w:type="gramStart"/>
                  <w:r>
                    <w:rPr>
                      <w:rFonts w:asciiTheme="minorEastAsia" w:eastAsiaTheme="minorEastAsia" w:hAnsiTheme="minorEastAsia" w:hint="eastAsia"/>
                      <w:bCs/>
                      <w:sz w:val="18"/>
                      <w:szCs w:val="18"/>
                    </w:rPr>
                    <w:t>个</w:t>
                  </w:r>
                  <w:proofErr w:type="gramEnd"/>
                  <w:r>
                    <w:rPr>
                      <w:rFonts w:asciiTheme="minorEastAsia" w:eastAsiaTheme="minorEastAsia" w:hAnsiTheme="minorEastAsia" w:hint="eastAsia"/>
                      <w:bCs/>
                      <w:sz w:val="18"/>
                      <w:szCs w:val="18"/>
                    </w:rPr>
                    <w:t>工作日内</w:t>
                  </w:r>
                </w:p>
              </w:tc>
              <w:tc>
                <w:tcPr>
                  <w:tcW w:w="2229" w:type="dxa"/>
                </w:tcPr>
                <w:p w:rsidR="008C4D74" w:rsidRDefault="008C4D74" w:rsidP="008D10E8">
                  <w:pPr>
                    <w:pStyle w:val="Default"/>
                    <w:spacing w:line="360" w:lineRule="auto"/>
                    <w:rPr>
                      <w:rFonts w:asciiTheme="minorEastAsia" w:hAnsiTheme="minorEastAsia"/>
                      <w:bCs/>
                      <w:kern w:val="2"/>
                      <w:sz w:val="18"/>
                      <w:szCs w:val="18"/>
                    </w:rPr>
                  </w:pPr>
                  <w:r>
                    <w:rPr>
                      <w:rFonts w:asciiTheme="minorEastAsia" w:eastAsiaTheme="minorEastAsia" w:hAnsiTheme="minorEastAsia" w:hint="eastAsia"/>
                      <w:bCs/>
                      <w:sz w:val="18"/>
                      <w:szCs w:val="18"/>
                    </w:rPr>
                    <w:t>产品管理人在赎回</w:t>
                  </w:r>
                  <w:r>
                    <w:rPr>
                      <w:rFonts w:asciiTheme="minorEastAsia" w:eastAsiaTheme="minorEastAsia" w:hAnsiTheme="minorEastAsia"/>
                      <w:bCs/>
                      <w:sz w:val="18"/>
                      <w:szCs w:val="18"/>
                    </w:rPr>
                    <w:t>确认日</w:t>
                  </w:r>
                  <w:r>
                    <w:rPr>
                      <w:rFonts w:asciiTheme="minorEastAsia" w:eastAsiaTheme="minorEastAsia" w:hAnsiTheme="minorEastAsia" w:hint="eastAsia"/>
                      <w:bCs/>
                      <w:sz w:val="18"/>
                      <w:szCs w:val="18"/>
                    </w:rPr>
                    <w:t>对投资者的赎回申请的有效性进行确认，并注销理财份额。</w:t>
                  </w:r>
                </w:p>
              </w:tc>
            </w:tr>
          </w:tbl>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注：</w:t>
            </w:r>
            <w:r>
              <w:rPr>
                <w:rFonts w:asciiTheme="majorEastAsia" w:hAnsiTheme="majorEastAsia" w:hint="eastAsia"/>
                <w:color w:val="000000" w:themeColor="text1"/>
                <w:sz w:val="18"/>
              </w:rPr>
              <w:t>赎回</w:t>
            </w:r>
            <w:r>
              <w:rPr>
                <w:rFonts w:asciiTheme="majorEastAsia" w:eastAsiaTheme="majorEastAsia" w:hAnsiTheme="majorEastAsia" w:hint="eastAsia"/>
                <w:bCs/>
                <w:color w:val="000000" w:themeColor="text1"/>
                <w:sz w:val="18"/>
                <w:szCs w:val="18"/>
              </w:rPr>
              <w:t>款项于</w:t>
            </w:r>
            <w:r>
              <w:rPr>
                <w:rFonts w:asciiTheme="minorEastAsia" w:eastAsiaTheme="minorEastAsia" w:hAnsiTheme="minorEastAsia" w:hint="eastAsia"/>
                <w:bCs/>
                <w:kern w:val="0"/>
                <w:sz w:val="18"/>
                <w:szCs w:val="18"/>
              </w:rPr>
              <w:t>赎回</w:t>
            </w:r>
            <w:r>
              <w:rPr>
                <w:rFonts w:asciiTheme="minorEastAsia" w:hAnsiTheme="minorEastAsia" w:hint="eastAsia"/>
                <w:kern w:val="0"/>
                <w:sz w:val="18"/>
              </w:rPr>
              <w:t>日后【5】</w:t>
            </w:r>
            <w:proofErr w:type="gramStart"/>
            <w:r>
              <w:rPr>
                <w:rFonts w:asciiTheme="minorEastAsia" w:hAnsiTheme="minorEastAsia" w:hint="eastAsia"/>
                <w:kern w:val="0"/>
                <w:sz w:val="18"/>
              </w:rPr>
              <w:t>个</w:t>
            </w:r>
            <w:proofErr w:type="gramEnd"/>
            <w:r>
              <w:rPr>
                <w:rFonts w:asciiTheme="minorEastAsia" w:hAnsiTheme="minorEastAsia" w:hint="eastAsia"/>
                <w:kern w:val="0"/>
                <w:sz w:val="18"/>
              </w:rPr>
              <w:t>工作日</w:t>
            </w:r>
            <w:r>
              <w:rPr>
                <w:rFonts w:asciiTheme="minorEastAsia" w:eastAsiaTheme="minorEastAsia" w:hAnsiTheme="minorEastAsia" w:hint="eastAsia"/>
                <w:bCs/>
                <w:kern w:val="0"/>
                <w:sz w:val="18"/>
                <w:szCs w:val="18"/>
              </w:rPr>
              <w:t>内支付给</w:t>
            </w:r>
            <w:r>
              <w:rPr>
                <w:rFonts w:asciiTheme="minorEastAsia" w:hAnsiTheme="minorEastAsia" w:hint="eastAsia"/>
                <w:kern w:val="0"/>
                <w:sz w:val="18"/>
              </w:rPr>
              <w:t>投资者</w:t>
            </w:r>
            <w:r>
              <w:rPr>
                <w:rFonts w:asciiTheme="minorEastAsia" w:eastAsiaTheme="minorEastAsia" w:hAnsiTheme="minorEastAsia" w:hint="eastAsia"/>
                <w:bCs/>
                <w:kern w:val="0"/>
                <w:sz w:val="18"/>
                <w:szCs w:val="18"/>
              </w:rPr>
              <w:t>。</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4.预约申购期/</w:t>
            </w:r>
            <w:r>
              <w:rPr>
                <w:rFonts w:asciiTheme="majorEastAsia" w:eastAsiaTheme="majorEastAsia" w:hAnsiTheme="majorEastAsia" w:hint="eastAsia"/>
                <w:bCs/>
                <w:color w:val="000000" w:themeColor="text1"/>
                <w:sz w:val="18"/>
                <w:szCs w:val="18"/>
              </w:rPr>
              <w:t>预约赎回期的起始日和终止日</w:t>
            </w:r>
            <w:proofErr w:type="gramStart"/>
            <w:r>
              <w:rPr>
                <w:rFonts w:asciiTheme="majorEastAsia" w:eastAsiaTheme="majorEastAsia" w:hAnsiTheme="majorEastAsia" w:hint="eastAsia"/>
                <w:bCs/>
                <w:color w:val="000000" w:themeColor="text1"/>
                <w:sz w:val="18"/>
                <w:szCs w:val="18"/>
              </w:rPr>
              <w:t>如遇非工作日</w:t>
            </w:r>
            <w:proofErr w:type="gramEnd"/>
            <w:r>
              <w:rPr>
                <w:rFonts w:asciiTheme="majorEastAsia" w:eastAsiaTheme="majorEastAsia" w:hAnsiTheme="majorEastAsia" w:hint="eastAsia"/>
                <w:bCs/>
                <w:color w:val="000000" w:themeColor="text1"/>
                <w:sz w:val="18"/>
                <w:szCs w:val="18"/>
              </w:rPr>
              <w:t>，则产品管理人做相应调整。</w:t>
            </w:r>
          </w:p>
          <w:p w:rsidR="008C4D74" w:rsidRDefault="008C4D74" w:rsidP="008D10E8">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5</w:t>
            </w:r>
            <w:r>
              <w:rPr>
                <w:rFonts w:asciiTheme="majorEastAsia" w:eastAsiaTheme="majorEastAsia" w:hAnsiTheme="majorEastAsia" w:hint="eastAsia"/>
                <w:bCs/>
                <w:color w:val="000000" w:themeColor="text1"/>
                <w:sz w:val="18"/>
                <w:szCs w:val="18"/>
              </w:rPr>
              <w:t>.</w:t>
            </w:r>
            <w:r>
              <w:rPr>
                <w:rFonts w:asciiTheme="minorEastAsia" w:hAnsiTheme="minorEastAsia" w:hint="eastAsia"/>
                <w:sz w:val="18"/>
                <w:szCs w:val="18"/>
              </w:rPr>
              <w:t>本产品在一个完整投资周期结束前，由产品</w:t>
            </w:r>
            <w:r>
              <w:rPr>
                <w:rFonts w:asciiTheme="minorEastAsia" w:hAnsiTheme="minorEastAsia"/>
                <w:sz w:val="18"/>
                <w:szCs w:val="18"/>
              </w:rPr>
              <w:t>管理人</w:t>
            </w:r>
            <w:r>
              <w:rPr>
                <w:rFonts w:asciiTheme="minorEastAsia" w:hAnsiTheme="minorEastAsia" w:hint="eastAsia"/>
                <w:sz w:val="18"/>
                <w:szCs w:val="18"/>
              </w:rPr>
              <w:t>更新产品说明书，约定下一个完整投资周期对应的</w:t>
            </w:r>
            <w:r>
              <w:rPr>
                <w:rFonts w:asciiTheme="majorEastAsia" w:eastAsiaTheme="majorEastAsia" w:hAnsiTheme="majorEastAsia"/>
                <w:bCs/>
                <w:color w:val="000000" w:themeColor="text1"/>
                <w:sz w:val="18"/>
                <w:szCs w:val="18"/>
              </w:rPr>
              <w:t>预约申购期/</w:t>
            </w:r>
            <w:r>
              <w:rPr>
                <w:rFonts w:asciiTheme="majorEastAsia" w:eastAsiaTheme="majorEastAsia" w:hAnsiTheme="majorEastAsia" w:hint="eastAsia"/>
                <w:bCs/>
                <w:color w:val="000000" w:themeColor="text1"/>
                <w:sz w:val="18"/>
                <w:szCs w:val="18"/>
              </w:rPr>
              <w:t>预约赎回期。</w:t>
            </w:r>
          </w:p>
          <w:p w:rsidR="008C4D74" w:rsidRDefault="008C4D74" w:rsidP="008D10E8">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注：关于代理销售机构的实际工作服务时段的提示</w:t>
            </w:r>
          </w:p>
          <w:p w:rsidR="008C4D74" w:rsidRDefault="008C4D74" w:rsidP="008D10E8">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8C4D74" w:rsidRDefault="008C4D74" w:rsidP="008D10E8">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②代理销售机构的实际工作服务时段，最早不得早于销售文件约定</w:t>
            </w:r>
            <w:r>
              <w:rPr>
                <w:rFonts w:ascii="黑体" w:eastAsia="黑体" w:hAnsi="黑体"/>
                <w:bCs/>
                <w:color w:val="000000" w:themeColor="text1"/>
                <w:sz w:val="18"/>
                <w:szCs w:val="18"/>
              </w:rPr>
              <w:t>的</w:t>
            </w:r>
            <w:r>
              <w:rPr>
                <w:rFonts w:ascii="黑体" w:eastAsia="黑体" w:hAnsi="黑体" w:hint="eastAsia"/>
                <w:bCs/>
                <w:color w:val="000000" w:themeColor="text1"/>
                <w:sz w:val="18"/>
                <w:szCs w:val="18"/>
              </w:rPr>
              <w:t>起始时点、最晚不得晚于销售文件</w:t>
            </w:r>
            <w:r>
              <w:rPr>
                <w:rFonts w:ascii="黑体" w:eastAsia="黑体" w:hAnsi="黑体"/>
                <w:bCs/>
                <w:color w:val="000000" w:themeColor="text1"/>
                <w:sz w:val="18"/>
                <w:szCs w:val="18"/>
              </w:rPr>
              <w:t>约定的</w:t>
            </w:r>
            <w:r>
              <w:rPr>
                <w:rFonts w:ascii="黑体" w:eastAsia="黑体" w:hAnsi="黑体" w:hint="eastAsia"/>
                <w:bCs/>
                <w:color w:val="000000" w:themeColor="text1"/>
                <w:sz w:val="18"/>
                <w:szCs w:val="18"/>
              </w:rPr>
              <w:t>终止时点</w:t>
            </w:r>
            <w:r>
              <w:rPr>
                <w:rFonts w:ascii="黑体" w:eastAsia="黑体" w:hAnsi="黑体"/>
                <w:bCs/>
                <w:color w:val="000000" w:themeColor="text1"/>
                <w:sz w:val="18"/>
                <w:szCs w:val="18"/>
              </w:rPr>
              <w:t>。</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sz w:val="18"/>
                <w:szCs w:val="18"/>
              </w:rPr>
            </w:pPr>
            <w:r>
              <w:rPr>
                <w:rFonts w:hAnsi="宋体" w:hint="eastAsia"/>
                <w:sz w:val="18"/>
                <w:szCs w:val="18"/>
              </w:rPr>
              <w:lastRenderedPageBreak/>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购买起点金额为【1.00】元；超出起点金额的部分以【0.01】元的整数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p>
          <w:p w:rsidR="008C4D74" w:rsidRDefault="008C4D74" w:rsidP="008D10E8">
            <w:pPr>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关于代理销售机构的实际销售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的提示</w:t>
            </w:r>
          </w:p>
          <w:p w:rsidR="008C4D74" w:rsidRDefault="008C4D74" w:rsidP="008D10E8">
            <w:pPr>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bCs/>
                <w:color w:val="000000" w:themeColor="text1"/>
                <w:sz w:val="18"/>
                <w:szCs w:val="18"/>
              </w:rPr>
              <w:t>以</w:t>
            </w:r>
            <w:r>
              <w:rPr>
                <w:rFonts w:ascii="黑体" w:eastAsia="黑体" w:hAnsi="黑体" w:hint="eastAsia"/>
                <w:bCs/>
                <w:color w:val="000000" w:themeColor="text1"/>
                <w:sz w:val="18"/>
                <w:szCs w:val="18"/>
              </w:rPr>
              <w:t>代理销售机构展示</w:t>
            </w:r>
            <w:r>
              <w:rPr>
                <w:rFonts w:ascii="黑体" w:eastAsia="黑体" w:hAnsi="黑体"/>
                <w:bCs/>
                <w:color w:val="000000" w:themeColor="text1"/>
                <w:sz w:val="18"/>
                <w:szCs w:val="18"/>
              </w:rPr>
              <w:t>为准</w:t>
            </w:r>
            <w:r>
              <w:rPr>
                <w:rFonts w:ascii="黑体" w:eastAsia="黑体" w:hAnsi="黑体" w:hint="eastAsia"/>
                <w:bCs/>
                <w:color w:val="000000" w:themeColor="text1"/>
                <w:sz w:val="18"/>
                <w:szCs w:val="18"/>
              </w:rPr>
              <w:t>。</w:t>
            </w:r>
          </w:p>
          <w:p w:rsidR="008C4D74" w:rsidRDefault="008C4D74" w:rsidP="008D10E8">
            <w:pPr>
              <w:spacing w:line="360" w:lineRule="auto"/>
              <w:jc w:val="left"/>
              <w:rPr>
                <w:rFonts w:asciiTheme="minorEastAsia" w:hAnsiTheme="minorEastAsia"/>
                <w:sz w:val="18"/>
                <w:szCs w:val="18"/>
              </w:rPr>
            </w:pPr>
            <w:r>
              <w:rPr>
                <w:rFonts w:ascii="黑体" w:eastAsia="黑体" w:hAnsi="黑体" w:hint="eastAsia"/>
                <w:bCs/>
                <w:color w:val="000000" w:themeColor="text1"/>
                <w:sz w:val="18"/>
                <w:szCs w:val="18"/>
              </w:rPr>
              <w:t>②代理销售机构的实际销售起点金额，</w:t>
            </w:r>
            <w:r>
              <w:rPr>
                <w:rFonts w:ascii="黑体" w:eastAsia="黑体" w:hAnsi="黑体"/>
                <w:bCs/>
                <w:color w:val="000000" w:themeColor="text1"/>
                <w:sz w:val="18"/>
                <w:szCs w:val="18"/>
              </w:rPr>
              <w:t>不得低于</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文件约定的</w:t>
            </w:r>
            <w:r>
              <w:rPr>
                <w:rFonts w:ascii="黑体" w:eastAsia="黑体" w:hAnsi="黑体" w:hint="eastAsia"/>
                <w:bCs/>
                <w:color w:val="000000" w:themeColor="text1"/>
                <w:sz w:val="18"/>
                <w:szCs w:val="18"/>
              </w:rPr>
              <w:t>销售</w:t>
            </w:r>
            <w:r>
              <w:rPr>
                <w:rFonts w:ascii="黑体" w:eastAsia="黑体" w:hAnsi="黑体"/>
                <w:bCs/>
                <w:color w:val="000000" w:themeColor="text1"/>
                <w:sz w:val="18"/>
                <w:szCs w:val="18"/>
              </w:rPr>
              <w:t>起点金额</w:t>
            </w:r>
            <w:r>
              <w:rPr>
                <w:rFonts w:ascii="黑体" w:eastAsia="黑体" w:hAnsi="黑体" w:hint="eastAsia"/>
                <w:bCs/>
                <w:color w:val="000000" w:themeColor="text1"/>
                <w:sz w:val="18"/>
                <w:szCs w:val="18"/>
              </w:rPr>
              <w:t>。</w:t>
            </w:r>
          </w:p>
        </w:tc>
      </w:tr>
      <w:tr w:rsidR="008C4D74" w:rsidTr="008D10E8">
        <w:trPr>
          <w:trHeight w:val="275"/>
          <w:jc w:val="center"/>
        </w:trPr>
        <w:tc>
          <w:tcPr>
            <w:tcW w:w="1945" w:type="dxa"/>
            <w:shd w:val="solid" w:color="FFFFFF" w:fill="FFFFFF"/>
            <w:vAlign w:val="center"/>
          </w:tcPr>
          <w:p w:rsidR="008C4D74" w:rsidRDefault="008C4D74" w:rsidP="008D10E8">
            <w:pPr>
              <w:autoSpaceDE w:val="0"/>
              <w:autoSpaceDN w:val="0"/>
              <w:adjustRightInd w:val="0"/>
              <w:spacing w:line="360" w:lineRule="auto"/>
              <w:jc w:val="left"/>
              <w:rPr>
                <w:rFonts w:hAnsi="宋体"/>
                <w:b/>
                <w:sz w:val="18"/>
                <w:szCs w:val="18"/>
              </w:rPr>
            </w:pPr>
            <w:r>
              <w:rPr>
                <w:rFonts w:hAnsi="宋体" w:hint="eastAsia"/>
                <w:b/>
                <w:sz w:val="18"/>
                <w:szCs w:val="18"/>
              </w:rPr>
              <w:t>★认购、申购与赎回的数量限制</w:t>
            </w:r>
            <w:r>
              <w:rPr>
                <w:rFonts w:hAnsi="宋体" w:hint="eastAsia"/>
                <w:b/>
                <w:sz w:val="18"/>
                <w:szCs w:val="18"/>
              </w:rPr>
              <w:t xml:space="preserve"> </w:t>
            </w:r>
            <w:r>
              <w:rPr>
                <w:rFonts w:hAnsi="宋体"/>
                <w:b/>
                <w:sz w:val="18"/>
                <w:szCs w:val="18"/>
              </w:rPr>
              <w:t xml:space="preserve"> </w:t>
            </w:r>
          </w:p>
        </w:tc>
        <w:tc>
          <w:tcPr>
            <w:tcW w:w="7704" w:type="dxa"/>
            <w:shd w:val="solid" w:color="FFFFFF" w:fill="FFFFFF"/>
            <w:vAlign w:val="center"/>
          </w:tcPr>
          <w:p w:rsidR="008C4D74" w:rsidRDefault="008C4D74" w:rsidP="008D10E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1.认购的数量限制</w:t>
            </w:r>
          </w:p>
          <w:p w:rsidR="008C4D74" w:rsidRDefault="008C4D74" w:rsidP="008D10E8">
            <w:pPr>
              <w:pStyle w:val="Default"/>
              <w:spacing w:line="360" w:lineRule="auto"/>
              <w:rPr>
                <w:rFonts w:hAnsi="宋体"/>
                <w:bCs/>
                <w:sz w:val="18"/>
                <w:szCs w:val="18"/>
              </w:rPr>
            </w:pPr>
            <w:r>
              <w:rPr>
                <w:rFonts w:asciiTheme="minorEastAsia" w:eastAsiaTheme="minorEastAsia" w:hAnsiTheme="minorEastAsia" w:hint="eastAsia"/>
                <w:color w:val="auto"/>
                <w:sz w:val="18"/>
                <w:szCs w:val="18"/>
              </w:rPr>
              <w:t>单一投资者认购上限为【/】。如需突破上限，请与产品管理人或销售机构客户经理联系。</w:t>
            </w:r>
          </w:p>
          <w:p w:rsidR="008C4D74" w:rsidRDefault="008C4D74" w:rsidP="008D10E8">
            <w:pPr>
              <w:pStyle w:val="Default"/>
              <w:spacing w:line="360" w:lineRule="auto"/>
              <w:rPr>
                <w:rFonts w:asciiTheme="minorEastAsia" w:eastAsiaTheme="minorEastAsia" w:hAnsiTheme="minorEastAsia"/>
                <w:color w:val="auto"/>
                <w:sz w:val="18"/>
                <w:szCs w:val="18"/>
              </w:rPr>
            </w:pPr>
            <w:r>
              <w:rPr>
                <w:rFonts w:hAnsi="宋体" w:hint="eastAsia"/>
                <w:bCs/>
                <w:sz w:val="18"/>
                <w:szCs w:val="18"/>
              </w:rPr>
              <w:t>2.</w:t>
            </w:r>
            <w:r>
              <w:rPr>
                <w:rFonts w:asciiTheme="minorEastAsia" w:eastAsiaTheme="minorEastAsia" w:hAnsiTheme="minorEastAsia" w:hint="eastAsia"/>
                <w:color w:val="auto"/>
                <w:sz w:val="18"/>
                <w:szCs w:val="18"/>
              </w:rPr>
              <w:t>申购的数量限制</w:t>
            </w:r>
          </w:p>
          <w:p w:rsidR="008C4D74" w:rsidRDefault="008C4D74" w:rsidP="008D10E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（1）单一投资者申购上限为【/】。</w:t>
            </w:r>
          </w:p>
          <w:p w:rsidR="008C4D74" w:rsidRDefault="008C4D74" w:rsidP="008D10E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8C4D74" w:rsidRDefault="008C4D74" w:rsidP="008D10E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 xml:space="preserve">如需突破上限，请与产品管理人或销售机构客户经理联系。 </w:t>
            </w:r>
          </w:p>
          <w:p w:rsidR="008C4D74" w:rsidRDefault="008C4D74" w:rsidP="008D10E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3.赎回的数量限制</w:t>
            </w:r>
          </w:p>
          <w:p w:rsidR="008C4D74" w:rsidRDefault="008C4D74" w:rsidP="008D10E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（1）单一投资者赎回上限为【/】。</w:t>
            </w:r>
          </w:p>
          <w:p w:rsidR="008C4D74" w:rsidRDefault="008C4D74" w:rsidP="008D10E8">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投资者可全部或部分赎回其理财份额，但是部分赎回后单一投资者持有产品份额不得低于【/】份。受理财利益分配去尾规则的影响，投资者持有产品份额较低时可能无法取得利益。巨额赎回情景发生时，投资者的可赎回份额需要根据巨额赎回规则确定。</w:t>
            </w:r>
          </w:p>
          <w:p w:rsidR="008C4D74" w:rsidRDefault="008C4D74" w:rsidP="008D10E8">
            <w:pPr>
              <w:pStyle w:val="Default"/>
              <w:spacing w:line="360" w:lineRule="auto"/>
              <w:rPr>
                <w:rFonts w:ascii="黑体" w:eastAsia="黑体" w:hAnsi="黑体"/>
                <w:bCs/>
                <w:color w:val="000000" w:themeColor="text1"/>
                <w:sz w:val="18"/>
                <w:szCs w:val="18"/>
              </w:rPr>
            </w:pPr>
            <w:r>
              <w:rPr>
                <w:rFonts w:hAnsi="宋体" w:hint="eastAsia"/>
                <w:sz w:val="18"/>
                <w:szCs w:val="18"/>
              </w:rPr>
              <w:t>★</w:t>
            </w:r>
            <w:r>
              <w:rPr>
                <w:rFonts w:ascii="黑体" w:eastAsia="黑体" w:hAnsi="黑体" w:hint="eastAsia"/>
                <w:bCs/>
                <w:color w:val="000000" w:themeColor="text1"/>
                <w:sz w:val="18"/>
                <w:szCs w:val="18"/>
              </w:rPr>
              <w:t>注</w:t>
            </w:r>
            <w:r>
              <w:rPr>
                <w:rFonts w:ascii="黑体" w:eastAsia="黑体" w:hAnsi="黑体"/>
                <w:bCs/>
                <w:color w:val="000000" w:themeColor="text1"/>
                <w:sz w:val="18"/>
                <w:szCs w:val="18"/>
              </w:rPr>
              <w:t>：</w:t>
            </w:r>
            <w:r>
              <w:rPr>
                <w:rFonts w:ascii="黑体" w:eastAsia="黑体" w:hAnsi="黑体" w:hint="eastAsia"/>
                <w:bCs/>
                <w:color w:val="000000" w:themeColor="text1"/>
                <w:sz w:val="18"/>
                <w:szCs w:val="18"/>
              </w:rPr>
              <w:t>本产品单一投资者持有份额不得超过产品总份额50%。</w:t>
            </w:r>
          </w:p>
          <w:p w:rsidR="008C4D74" w:rsidRDefault="008C4D74" w:rsidP="008D10E8">
            <w:pPr>
              <w:pStyle w:val="Default"/>
              <w:spacing w:line="360" w:lineRule="auto"/>
              <w:rPr>
                <w:rFonts w:ascii="黑体" w:eastAsia="黑体" w:hAnsi="黑体"/>
                <w:bCs/>
                <w:color w:val="000000" w:themeColor="text1"/>
                <w:sz w:val="18"/>
                <w:szCs w:val="18"/>
              </w:rPr>
            </w:pPr>
            <w:r>
              <w:rPr>
                <w:rFonts w:ascii="黑体" w:eastAsia="黑体" w:hAnsi="黑体" w:hint="eastAsia"/>
                <w:bCs/>
                <w:color w:val="000000" w:themeColor="text1"/>
                <w:sz w:val="18"/>
                <w:szCs w:val="18"/>
              </w:rPr>
              <w:t>（1）投资者认购或申购确认后可能导致其持有份额超过产品总份额50%的，管理人有权拒绝或暂停认购、申购。</w:t>
            </w:r>
          </w:p>
          <w:p w:rsidR="008C4D74" w:rsidRDefault="008C4D74" w:rsidP="008D10E8">
            <w:pPr>
              <w:pStyle w:val="Default"/>
              <w:spacing w:line="360" w:lineRule="auto"/>
              <w:rPr>
                <w:rFonts w:asciiTheme="minorEastAsia" w:eastAsiaTheme="minorEastAsia" w:hAnsiTheme="minorEastAsia"/>
                <w:color w:val="auto"/>
                <w:sz w:val="18"/>
                <w:szCs w:val="18"/>
              </w:rPr>
            </w:pPr>
            <w:r>
              <w:rPr>
                <w:rFonts w:ascii="黑体" w:eastAsia="黑体" w:hAnsi="黑体" w:hint="eastAsia"/>
                <w:bCs/>
                <w:color w:val="000000" w:themeColor="text1"/>
                <w:sz w:val="18"/>
                <w:szCs w:val="18"/>
              </w:rPr>
              <w:t>（2）非因管理人主观因素导致突破该比例限制的，在单一投资者持有比例降至50%以下之前，管理人不再接受该投资者对本产品的认购、申购申请。</w:t>
            </w:r>
          </w:p>
        </w:tc>
      </w:tr>
      <w:tr w:rsidR="008C4D74" w:rsidTr="008D10E8">
        <w:trPr>
          <w:trHeight w:val="275"/>
          <w:jc w:val="center"/>
        </w:trPr>
        <w:tc>
          <w:tcPr>
            <w:tcW w:w="1945" w:type="dxa"/>
            <w:shd w:val="solid" w:color="FFFFFF" w:fill="FFFFFF"/>
          </w:tcPr>
          <w:p w:rsidR="008C4D74" w:rsidRDefault="008C4D74" w:rsidP="008D10E8">
            <w:pPr>
              <w:spacing w:line="360" w:lineRule="auto"/>
              <w:jc w:val="left"/>
              <w:rPr>
                <w:rFonts w:hAnsi="宋体"/>
                <w:b/>
                <w:sz w:val="18"/>
                <w:szCs w:val="18"/>
              </w:rPr>
            </w:pPr>
            <w:r>
              <w:rPr>
                <w:rFonts w:hint="eastAsia"/>
                <w:sz w:val="18"/>
                <w:szCs w:val="18"/>
              </w:rPr>
              <w:lastRenderedPageBreak/>
              <w:t>★</w:t>
            </w:r>
            <w:r>
              <w:rPr>
                <w:rFonts w:hAnsi="宋体" w:hint="eastAsia"/>
                <w:b/>
                <w:sz w:val="18"/>
                <w:szCs w:val="18"/>
              </w:rPr>
              <w:t>巨额赎回的认定</w:t>
            </w:r>
          </w:p>
        </w:tc>
        <w:tc>
          <w:tcPr>
            <w:tcW w:w="7704" w:type="dxa"/>
            <w:shd w:val="solid" w:color="FFFFFF" w:fill="FFFFFF"/>
          </w:tcPr>
          <w:p w:rsidR="008C4D74" w:rsidRDefault="008C4D74" w:rsidP="008D10E8">
            <w:pPr>
              <w:pStyle w:val="Default"/>
              <w:spacing w:line="360" w:lineRule="auto"/>
              <w:rPr>
                <w:rFonts w:asciiTheme="minorEastAsia" w:eastAsiaTheme="minorEastAsia" w:hAnsiTheme="minorEastAsia"/>
                <w:color w:val="auto"/>
                <w:sz w:val="18"/>
                <w:szCs w:val="18"/>
              </w:rPr>
            </w:pPr>
            <w:r>
              <w:rPr>
                <w:rFonts w:asciiTheme="majorEastAsia" w:eastAsiaTheme="majorEastAsia" w:hAnsiTheme="majorEastAsia" w:hint="eastAsia"/>
                <w:bCs/>
                <w:sz w:val="18"/>
                <w:szCs w:val="18"/>
              </w:rPr>
              <w:t>预约赎回期中，本产品的累计产品份额净预约赎回申请（预约赎回</w:t>
            </w:r>
            <w:proofErr w:type="gramStart"/>
            <w:r>
              <w:rPr>
                <w:rFonts w:asciiTheme="majorEastAsia" w:eastAsiaTheme="majorEastAsia" w:hAnsiTheme="majorEastAsia" w:hint="eastAsia"/>
                <w:bCs/>
                <w:sz w:val="18"/>
                <w:szCs w:val="18"/>
              </w:rPr>
              <w:t>申请总</w:t>
            </w:r>
            <w:proofErr w:type="gramEnd"/>
            <w:r>
              <w:rPr>
                <w:rFonts w:asciiTheme="majorEastAsia" w:eastAsiaTheme="majorEastAsia" w:hAnsiTheme="majorEastAsia" w:hint="eastAsia"/>
                <w:bCs/>
                <w:sz w:val="18"/>
                <w:szCs w:val="18"/>
              </w:rPr>
              <w:t>份额扣除预约申购总份额后的余额</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下同）之和达到赎回日上一日产品总份额的【10】</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，为巨额赎回。</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份额发售面值</w:t>
            </w:r>
          </w:p>
        </w:tc>
        <w:tc>
          <w:tcPr>
            <w:tcW w:w="7704" w:type="dxa"/>
            <w:shd w:val="solid" w:color="FFFFFF" w:fill="FFFFFF"/>
            <w:vAlign w:val="center"/>
          </w:tcPr>
          <w:p w:rsidR="008C4D74" w:rsidRDefault="008C4D74" w:rsidP="008D10E8">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704" w:type="dxa"/>
            <w:shd w:val="solid" w:color="FFFFFF" w:fill="FFFFFF"/>
            <w:vAlign w:val="center"/>
          </w:tcPr>
          <w:p w:rsidR="008C4D74" w:rsidRDefault="008C4D74" w:rsidP="008D10E8">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8C4D74" w:rsidRDefault="008C4D74" w:rsidP="008D10E8">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日之前的估值日公布的产品份额净值已扣除交易手续费、销售服务费、产品托管费、投资管理费。</w:t>
            </w:r>
          </w:p>
          <w:p w:rsidR="008C4D74" w:rsidRDefault="008C4D74" w:rsidP="008D10E8">
            <w:pPr>
              <w:spacing w:line="360" w:lineRule="auto"/>
              <w:jc w:val="left"/>
              <w:rPr>
                <w:rFonts w:asciiTheme="minorEastAsia" w:hAnsiTheme="minorEastAsia"/>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赎回日</w:t>
            </w:r>
            <w:r>
              <w:rPr>
                <w:rFonts w:asciiTheme="majorEastAsia" w:eastAsiaTheme="majorEastAsia" w:hAnsiTheme="majorEastAsia"/>
                <w:bCs/>
                <w:sz w:val="18"/>
                <w:szCs w:val="18"/>
              </w:rPr>
              <w:t>产品份额净值为基础进行利益分配。</w:t>
            </w:r>
          </w:p>
        </w:tc>
      </w:tr>
      <w:tr w:rsidR="008C4D74" w:rsidTr="008D10E8">
        <w:trPr>
          <w:trHeight w:val="1078"/>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704" w:type="dxa"/>
            <w:shd w:val="solid" w:color="FFFFFF" w:fill="FFFFFF"/>
            <w:vAlign w:val="center"/>
          </w:tcPr>
          <w:p w:rsidR="008C4D74" w:rsidRDefault="008C4D74" w:rsidP="008D10E8">
            <w:pPr>
              <w:spacing w:line="360" w:lineRule="auto"/>
              <w:rPr>
                <w:rFonts w:asciiTheme="majorEastAsia" w:hAnsiTheme="majorEastAsia"/>
                <w:bCs/>
                <w:sz w:val="18"/>
                <w:szCs w:val="18"/>
              </w:rPr>
            </w:pPr>
            <w:r>
              <w:rPr>
                <w:rFonts w:ascii="宋体" w:hAnsi="宋体" w:hint="eastAsia"/>
                <w:b/>
                <w:bCs/>
                <w:sz w:val="18"/>
                <w:szCs w:val="18"/>
              </w:rPr>
              <w:t>1.业绩比较基准的说明：</w:t>
            </w:r>
            <w:r>
              <w:rPr>
                <w:rFonts w:asciiTheme="majorEastAsia" w:eastAsiaTheme="majorEastAsia" w:hAnsiTheme="majorEastAsia" w:hint="eastAsia"/>
                <w:bCs/>
                <w:sz w:val="18"/>
                <w:szCs w:val="18"/>
              </w:rPr>
              <w:t>以一年期定期存款利率为无风险利率，基于当前对未来市场的判断，根据拟投资固定收益类资产的信用利差、</w:t>
            </w:r>
            <w:proofErr w:type="gramStart"/>
            <w:r>
              <w:rPr>
                <w:rFonts w:asciiTheme="majorEastAsia" w:eastAsiaTheme="majorEastAsia" w:hAnsiTheme="majorEastAsia" w:hint="eastAsia"/>
                <w:bCs/>
                <w:sz w:val="18"/>
                <w:szCs w:val="18"/>
              </w:rPr>
              <w:t>久期敞口</w:t>
            </w:r>
            <w:proofErr w:type="gramEnd"/>
            <w:r>
              <w:rPr>
                <w:rFonts w:asciiTheme="majorEastAsia" w:eastAsiaTheme="majorEastAsia" w:hAnsiTheme="majorEastAsia" w:hint="eastAsia"/>
                <w:bCs/>
                <w:sz w:val="18"/>
                <w:szCs w:val="18"/>
              </w:rPr>
              <w:t>以及流动性溢价，预判组合的波动幅度，设定业绩基准。</w:t>
            </w:r>
          </w:p>
          <w:p w:rsidR="008C4D74" w:rsidRDefault="008C4D74" w:rsidP="008D10E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2.业绩比较基准的设定</w:t>
            </w:r>
            <w:r>
              <w:rPr>
                <w:rFonts w:asciiTheme="majorEastAsia" w:eastAsiaTheme="majorEastAsia" w:hAnsiTheme="majorEastAsia" w:hint="eastAsia"/>
                <w:bCs/>
                <w:sz w:val="18"/>
                <w:szCs w:val="18"/>
              </w:rPr>
              <w:t>：</w:t>
            </w:r>
            <w:r>
              <w:rPr>
                <w:rFonts w:asciiTheme="majorEastAsia" w:hAnsiTheme="majorEastAsia" w:hint="eastAsia"/>
                <w:b/>
                <w:sz w:val="18"/>
              </w:rPr>
              <w:t>管理人对</w:t>
            </w:r>
            <w:r>
              <w:rPr>
                <w:rFonts w:asciiTheme="majorEastAsia" w:hAnsiTheme="majorEastAsia"/>
                <w:b/>
                <w:sz w:val="18"/>
              </w:rPr>
              <w:t>本产品设定</w:t>
            </w:r>
            <w:r>
              <w:rPr>
                <w:rFonts w:asciiTheme="majorEastAsia" w:hAnsiTheme="majorEastAsia" w:hint="eastAsia"/>
                <w:b/>
                <w:sz w:val="18"/>
              </w:rPr>
              <w:t>业绩比较基准：</w:t>
            </w:r>
            <w:proofErr w:type="gramStart"/>
            <w:r>
              <w:rPr>
                <w:rFonts w:asciiTheme="majorEastAsia" w:hAnsiTheme="majorEastAsia" w:hint="eastAsia"/>
                <w:b/>
                <w:sz w:val="18"/>
              </w:rPr>
              <w:t>年化</w:t>
            </w:r>
            <w:r>
              <w:rPr>
                <w:rFonts w:ascii="宋体" w:hAnsi="宋体" w:hint="eastAsia"/>
                <w:b/>
                <w:bCs/>
                <w:sz w:val="18"/>
                <w:szCs w:val="18"/>
              </w:rPr>
              <w:t>【3.00-4.00%</w:t>
            </w:r>
            <w:r>
              <w:rPr>
                <w:rFonts w:ascii="宋体" w:hAnsi="宋体"/>
                <w:b/>
                <w:bCs/>
                <w:sz w:val="18"/>
                <w:szCs w:val="18"/>
              </w:rPr>
              <w:t>】</w:t>
            </w:r>
            <w:proofErr w:type="gramEnd"/>
            <w:r>
              <w:rPr>
                <w:rFonts w:ascii="宋体" w:hAnsi="宋体" w:hint="eastAsia"/>
                <w:b/>
                <w:bCs/>
                <w:sz w:val="18"/>
                <w:szCs w:val="18"/>
              </w:rPr>
              <w:t>。</w:t>
            </w:r>
          </w:p>
          <w:p w:rsidR="008C4D74" w:rsidRDefault="008C4D74" w:rsidP="008D10E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3.业绩比较基准的提示：</w:t>
            </w:r>
          </w:p>
          <w:p w:rsidR="008C4D74" w:rsidRDefault="008C4D74" w:rsidP="008D10E8">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（1）业绩比较基准不代表理财产品未来表现，不等于理财产品实际收益，不作为产品收益的业绩保证，投资须谨慎。</w:t>
            </w:r>
          </w:p>
          <w:p w:rsidR="008C4D74" w:rsidRDefault="008C4D74" w:rsidP="008D10E8">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w:t>
            </w:r>
            <w:r>
              <w:rPr>
                <w:rFonts w:asciiTheme="majorEastAsia" w:eastAsiaTheme="majorEastAsia" w:hAnsiTheme="majorEastAsia" w:hint="eastAsia"/>
                <w:kern w:val="0"/>
                <w:sz w:val="18"/>
                <w:szCs w:val="18"/>
              </w:rPr>
              <w:lastRenderedPageBreak/>
              <w:t>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8C4D74" w:rsidTr="008D10E8">
        <w:trPr>
          <w:trHeight w:val="1078"/>
          <w:jc w:val="center"/>
        </w:trPr>
        <w:tc>
          <w:tcPr>
            <w:tcW w:w="1945" w:type="dxa"/>
            <w:shd w:val="solid" w:color="FFFFFF" w:fill="FFFFFF"/>
            <w:vAlign w:val="center"/>
          </w:tcPr>
          <w:p w:rsidR="008C4D74" w:rsidRDefault="008C4D74" w:rsidP="008D10E8">
            <w:pPr>
              <w:spacing w:line="360" w:lineRule="auto"/>
              <w:jc w:val="left"/>
              <w:rPr>
                <w:sz w:val="18"/>
                <w:szCs w:val="18"/>
              </w:rPr>
            </w:pPr>
            <w:r>
              <w:rPr>
                <w:rFonts w:hint="eastAsia"/>
                <w:sz w:val="18"/>
                <w:szCs w:val="18"/>
              </w:rPr>
              <w:lastRenderedPageBreak/>
              <w:t>★</w:t>
            </w:r>
            <w:r>
              <w:rPr>
                <w:rFonts w:hint="eastAsia"/>
                <w:b/>
                <w:sz w:val="18"/>
                <w:szCs w:val="18"/>
              </w:rPr>
              <w:t>业绩报酬计提基准</w:t>
            </w:r>
          </w:p>
        </w:tc>
        <w:tc>
          <w:tcPr>
            <w:tcW w:w="7704" w:type="dxa"/>
            <w:shd w:val="solid" w:color="FFFFFF" w:fill="FFFFFF"/>
            <w:vAlign w:val="center"/>
          </w:tcPr>
          <w:p w:rsidR="008C4D74" w:rsidRDefault="008C4D74" w:rsidP="008D10E8">
            <w:pPr>
              <w:spacing w:line="360" w:lineRule="auto"/>
              <w:jc w:val="left"/>
              <w:rPr>
                <w:rFonts w:ascii="宋体" w:hAnsi="宋体"/>
                <w:bCs/>
                <w:sz w:val="18"/>
                <w:szCs w:val="18"/>
              </w:rPr>
            </w:pPr>
            <w:r>
              <w:rPr>
                <w:rFonts w:ascii="宋体" w:hAnsi="宋体" w:hint="eastAsia"/>
                <w:bCs/>
                <w:sz w:val="18"/>
                <w:szCs w:val="18"/>
              </w:rPr>
              <w:t>管理人对本产品设定业绩报酬计提基准：【业绩比较基准上限】。</w:t>
            </w:r>
          </w:p>
          <w:p w:rsidR="008C4D74" w:rsidRDefault="008C4D74" w:rsidP="008D10E8">
            <w:pPr>
              <w:spacing w:line="360" w:lineRule="auto"/>
              <w:jc w:val="left"/>
              <w:rPr>
                <w:rFonts w:ascii="宋体" w:hAnsi="宋体"/>
                <w:b/>
                <w:bCs/>
                <w:sz w:val="18"/>
                <w:szCs w:val="18"/>
              </w:rPr>
            </w:pPr>
            <w:r>
              <w:rPr>
                <w:rFonts w:ascii="宋体" w:hAnsi="宋体" w:hint="eastAsia"/>
                <w:b/>
                <w:bCs/>
                <w:sz w:val="18"/>
                <w:szCs w:val="18"/>
              </w:rPr>
              <w:t>业绩报酬计提基准仅作为管理人收取超额业绩报酬的参照数值标准，不代表理财产品未来表现，不等于理财产品实际收益，不作为产品收益的业绩保证，投资须谨慎。</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704" w:type="dxa"/>
            <w:shd w:val="solid" w:color="FFFFFF" w:fill="FFFFFF"/>
            <w:vAlign w:val="center"/>
          </w:tcPr>
          <w:p w:rsidR="008C4D74" w:rsidRDefault="008C4D74" w:rsidP="008D10E8">
            <w:pPr>
              <w:spacing w:line="360" w:lineRule="auto"/>
              <w:rPr>
                <w:rFonts w:ascii="宋体" w:hAnsi="宋体"/>
                <w:bCs/>
                <w:color w:val="000000" w:themeColor="text1"/>
                <w:sz w:val="18"/>
                <w:szCs w:val="18"/>
              </w:rPr>
            </w:pPr>
            <w:r>
              <w:rPr>
                <w:rFonts w:ascii="宋体" w:hAnsi="宋体"/>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p>
          <w:p w:rsidR="008C4D74" w:rsidRDefault="008C4D74" w:rsidP="008D10E8">
            <w:pPr>
              <w:spacing w:line="360" w:lineRule="auto"/>
              <w:rPr>
                <w:rFonts w:ascii="宋体" w:hAnsi="宋体"/>
                <w:bCs/>
                <w:color w:val="000000" w:themeColor="text1"/>
                <w:sz w:val="18"/>
                <w:szCs w:val="18"/>
              </w:rPr>
            </w:pPr>
            <w:r>
              <w:rPr>
                <w:rFonts w:ascii="宋体" w:hAnsi="宋体"/>
                <w:b/>
                <w:bCs/>
                <w:color w:val="000000" w:themeColor="text1"/>
                <w:sz w:val="18"/>
                <w:szCs w:val="18"/>
              </w:rPr>
              <w:t>2.申购费：</w:t>
            </w:r>
            <w:r>
              <w:rPr>
                <w:rFonts w:ascii="宋体" w:hAnsi="宋体" w:hint="eastAsia"/>
                <w:bCs/>
                <w:color w:val="000000" w:themeColor="text1"/>
                <w:sz w:val="18"/>
                <w:szCs w:val="18"/>
              </w:rPr>
              <w:t>【/】</w:t>
            </w:r>
            <w:r>
              <w:rPr>
                <w:rFonts w:ascii="宋体" w:hAnsi="宋体"/>
                <w:bCs/>
                <w:color w:val="000000" w:themeColor="text1"/>
                <w:sz w:val="18"/>
                <w:szCs w:val="18"/>
              </w:rPr>
              <w:t>。</w:t>
            </w:r>
          </w:p>
          <w:p w:rsidR="008C4D74" w:rsidRDefault="008C4D74" w:rsidP="008D10E8">
            <w:pPr>
              <w:spacing w:line="360" w:lineRule="auto"/>
              <w:rPr>
                <w:rFonts w:ascii="宋体" w:hAnsi="宋体"/>
                <w:bCs/>
                <w:color w:val="000000" w:themeColor="text1"/>
                <w:sz w:val="18"/>
                <w:szCs w:val="18"/>
              </w:rPr>
            </w:pPr>
            <w:r>
              <w:rPr>
                <w:rFonts w:ascii="宋体" w:hAnsi="宋体"/>
                <w:b/>
                <w:bCs/>
                <w:color w:val="000000" w:themeColor="text1"/>
                <w:sz w:val="18"/>
                <w:szCs w:val="18"/>
              </w:rPr>
              <w:t>3.</w:t>
            </w:r>
            <w:r>
              <w:rPr>
                <w:rFonts w:ascii="宋体" w:hAnsi="宋体" w:hint="eastAsia"/>
                <w:b/>
                <w:bCs/>
                <w:color w:val="000000" w:themeColor="text1"/>
                <w:sz w:val="18"/>
                <w:szCs w:val="18"/>
              </w:rPr>
              <w:t>赎回费：</w:t>
            </w:r>
            <w:r>
              <w:rPr>
                <w:rFonts w:ascii="宋体" w:hAnsi="宋体" w:hint="eastAsia"/>
                <w:bCs/>
                <w:color w:val="000000" w:themeColor="text1"/>
                <w:sz w:val="18"/>
                <w:szCs w:val="18"/>
              </w:rPr>
              <w:t>【/】。</w:t>
            </w:r>
          </w:p>
          <w:p w:rsidR="008C4D74" w:rsidRDefault="008C4D74" w:rsidP="008D10E8">
            <w:pPr>
              <w:spacing w:line="360" w:lineRule="auto"/>
              <w:rPr>
                <w:rFonts w:ascii="宋体" w:hAnsi="宋体"/>
                <w:bCs/>
                <w:color w:val="000000" w:themeColor="text1"/>
                <w:sz w:val="18"/>
                <w:szCs w:val="18"/>
              </w:rPr>
            </w:pPr>
            <w:r>
              <w:rPr>
                <w:rFonts w:asciiTheme="majorEastAsia" w:eastAsiaTheme="majorEastAsia" w:hAnsiTheme="majorEastAsia"/>
                <w:b/>
                <w:bCs/>
                <w:color w:val="000000" w:themeColor="text1"/>
                <w:sz w:val="18"/>
                <w:szCs w:val="18"/>
              </w:rPr>
              <w:t>4.销售服</w:t>
            </w:r>
            <w:r>
              <w:rPr>
                <w:rFonts w:ascii="宋体" w:hAnsi="宋体" w:hint="eastAsia"/>
                <w:b/>
                <w:bCs/>
                <w:color w:val="000000" w:themeColor="text1"/>
                <w:sz w:val="18"/>
                <w:szCs w:val="18"/>
              </w:rPr>
              <w:t>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【0.40】%</w:t>
            </w:r>
            <w:r>
              <w:rPr>
                <w:rFonts w:ascii="宋体" w:hAnsi="宋体" w:hint="eastAsia"/>
                <w:bCs/>
                <w:color w:val="000000" w:themeColor="text1"/>
                <w:sz w:val="18"/>
                <w:szCs w:val="18"/>
              </w:rPr>
              <w:t>。</w:t>
            </w:r>
          </w:p>
          <w:p w:rsidR="008C4D74" w:rsidRDefault="008C4D74" w:rsidP="008D10E8">
            <w:pPr>
              <w:spacing w:line="360" w:lineRule="auto"/>
              <w:rPr>
                <w:rFonts w:ascii="宋体" w:hAnsi="宋体"/>
                <w:bCs/>
                <w:color w:val="000000" w:themeColor="text1"/>
                <w:sz w:val="18"/>
                <w:szCs w:val="18"/>
              </w:rPr>
            </w:pPr>
            <w:r>
              <w:rPr>
                <w:rFonts w:ascii="宋体" w:hAnsi="宋体"/>
                <w:b/>
                <w:bCs/>
                <w:color w:val="000000" w:themeColor="text1"/>
                <w:sz w:val="18"/>
                <w:szCs w:val="18"/>
              </w:rPr>
              <w:t>5.</w:t>
            </w:r>
            <w:r>
              <w:rPr>
                <w:rFonts w:ascii="宋体" w:hAnsi="宋体" w:hint="eastAsia"/>
                <w:b/>
                <w:bCs/>
                <w:color w:val="000000" w:themeColor="text1"/>
                <w:sz w:val="18"/>
                <w:szCs w:val="18"/>
              </w:rPr>
              <w:t>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20】</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8C4D74" w:rsidRDefault="008C4D74" w:rsidP="008D10E8">
            <w:pPr>
              <w:spacing w:line="360" w:lineRule="auto"/>
              <w:rPr>
                <w:rFonts w:ascii="宋体" w:hAnsi="宋体"/>
                <w:bCs/>
                <w:color w:val="000000" w:themeColor="text1"/>
                <w:sz w:val="18"/>
                <w:szCs w:val="18"/>
              </w:rPr>
            </w:pPr>
            <w:r>
              <w:rPr>
                <w:rFonts w:ascii="宋体" w:hAnsi="宋体"/>
                <w:b/>
                <w:bCs/>
                <w:color w:val="000000" w:themeColor="text1"/>
                <w:sz w:val="18"/>
                <w:szCs w:val="18"/>
              </w:rPr>
              <w:t>6.</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【0.03</w:t>
            </w:r>
            <w:r>
              <w:rPr>
                <w:rFonts w:asciiTheme="majorEastAsia" w:eastAsiaTheme="majorEastAsia" w:hAnsiTheme="majorEastAsia"/>
                <w:sz w:val="18"/>
                <w:szCs w:val="18"/>
              </w:rPr>
              <w:t>】</w:t>
            </w:r>
            <w:r>
              <w:rPr>
                <w:rFonts w:asciiTheme="majorEastAsia" w:eastAsiaTheme="majorEastAsia" w:hAnsiTheme="majorEastAsia" w:hint="eastAsia"/>
                <w:sz w:val="18"/>
                <w:szCs w:val="18"/>
              </w:rPr>
              <w:t>%</w:t>
            </w:r>
            <w:r>
              <w:rPr>
                <w:rFonts w:ascii="宋体" w:hAnsi="宋体" w:hint="eastAsia"/>
                <w:bCs/>
                <w:color w:val="000000" w:themeColor="text1"/>
                <w:sz w:val="18"/>
                <w:szCs w:val="18"/>
              </w:rPr>
              <w:t>。</w:t>
            </w:r>
          </w:p>
          <w:p w:rsidR="008C4D74" w:rsidRDefault="008C4D74" w:rsidP="008D10E8">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7</w:t>
            </w:r>
            <w:r>
              <w:rPr>
                <w:rFonts w:ascii="宋体" w:hAnsi="宋体"/>
                <w:b/>
                <w:bCs/>
                <w:color w:val="000000" w:themeColor="text1"/>
                <w:sz w:val="18"/>
                <w:szCs w:val="18"/>
              </w:rPr>
              <w:t>.</w:t>
            </w:r>
            <w:r>
              <w:rPr>
                <w:rFonts w:ascii="宋体" w:hAnsi="宋体" w:hint="eastAsia"/>
                <w:b/>
                <w:bCs/>
                <w:color w:val="000000" w:themeColor="text1"/>
                <w:sz w:val="18"/>
                <w:szCs w:val="18"/>
              </w:rPr>
              <w:t>超额业绩报酬：</w:t>
            </w:r>
          </w:p>
          <w:p w:rsidR="008C4D74" w:rsidRDefault="008C4D74" w:rsidP="008D10E8">
            <w:pPr>
              <w:widowControl/>
              <w:spacing w:line="360" w:lineRule="auto"/>
              <w:jc w:val="left"/>
              <w:rPr>
                <w:rFonts w:ascii="宋体" w:hAnsi="宋体"/>
                <w:sz w:val="18"/>
                <w:szCs w:val="18"/>
              </w:rPr>
            </w:pPr>
            <w:r>
              <w:rPr>
                <w:rFonts w:ascii="宋体" w:hAnsi="宋体" w:hint="eastAsia"/>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sz w:val="18"/>
                <w:szCs w:val="18"/>
              </w:rPr>
              <w:t>的年化收益率</w:t>
            </w:r>
            <w:proofErr w:type="gramEnd"/>
            <w:r>
              <w:rPr>
                <w:rFonts w:ascii="宋体" w:hAnsi="宋体" w:hint="eastAsia"/>
                <w:sz w:val="18"/>
                <w:szCs w:val="18"/>
              </w:rPr>
              <w:t>超过业绩报酬计提基准，则产品管理人收取超出部分的【30%】作为超额业绩报酬。</w:t>
            </w:r>
          </w:p>
          <w:p w:rsidR="008C4D74" w:rsidRDefault="008C4D74" w:rsidP="008D10E8">
            <w:pPr>
              <w:spacing w:line="360" w:lineRule="auto"/>
              <w:rPr>
                <w:rFonts w:ascii="黑体" w:eastAsia="黑体" w:hAnsi="黑体"/>
                <w:bCs/>
                <w:sz w:val="18"/>
                <w:szCs w:val="18"/>
              </w:rPr>
            </w:pPr>
            <w:r>
              <w:rPr>
                <w:rFonts w:ascii="宋体" w:hAnsi="宋体"/>
                <w:bCs/>
                <w:sz w:val="18"/>
                <w:szCs w:val="18"/>
              </w:rPr>
              <w:t>8</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hAnsi="宋体"/>
                <w:sz w:val="18"/>
                <w:szCs w:val="18"/>
              </w:rPr>
            </w:pPr>
            <w:r>
              <w:rPr>
                <w:rFonts w:ascii="宋体" w:hAnsi="宋体" w:hint="eastAsia"/>
                <w:b/>
                <w:bCs/>
                <w:kern w:val="0"/>
                <w:sz w:val="18"/>
                <w:szCs w:val="18"/>
              </w:rPr>
              <w:t>税收</w:t>
            </w:r>
          </w:p>
        </w:tc>
        <w:tc>
          <w:tcPr>
            <w:tcW w:w="7704" w:type="dxa"/>
            <w:shd w:val="solid" w:color="FFFFFF" w:fill="FFFFFF"/>
            <w:vAlign w:val="center"/>
          </w:tcPr>
          <w:p w:rsidR="008C4D74" w:rsidRDefault="008C4D74" w:rsidP="008D10E8">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704" w:type="dxa"/>
            <w:shd w:val="solid" w:color="FFFFFF" w:fill="FFFFFF"/>
            <w:vAlign w:val="center"/>
          </w:tcPr>
          <w:p w:rsidR="008C4D74" w:rsidRDefault="008C4D74" w:rsidP="008D10E8">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8C4D74" w:rsidTr="008D10E8">
        <w:trPr>
          <w:trHeight w:val="275"/>
          <w:jc w:val="center"/>
        </w:trPr>
        <w:tc>
          <w:tcPr>
            <w:tcW w:w="1945" w:type="dxa"/>
            <w:shd w:val="solid" w:color="FFFFFF" w:fill="FFFFFF"/>
            <w:vAlign w:val="center"/>
          </w:tcPr>
          <w:p w:rsidR="008C4D74" w:rsidRDefault="008C4D74" w:rsidP="008D10E8">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704" w:type="dxa"/>
            <w:shd w:val="solid" w:color="FFFFFF" w:fill="FFFFFF"/>
            <w:vAlign w:val="center"/>
          </w:tcPr>
          <w:p w:rsidR="008C4D74" w:rsidRDefault="008C4D74" w:rsidP="008D10E8">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tbl>
    <w:p w:rsidR="008C4D74" w:rsidRDefault="008C4D74" w:rsidP="008C4D74">
      <w:pPr>
        <w:pStyle w:val="Default"/>
        <w:spacing w:line="360" w:lineRule="auto"/>
        <w:rPr>
          <w:rFonts w:hAnsi="宋体"/>
          <w:sz w:val="18"/>
          <w:szCs w:val="18"/>
        </w:rPr>
      </w:pPr>
    </w:p>
    <w:p w:rsidR="008C4D74" w:rsidRDefault="008C4D74" w:rsidP="008C4D74">
      <w:pPr>
        <w:widowControl/>
        <w:spacing w:line="360" w:lineRule="auto"/>
        <w:jc w:val="left"/>
        <w:rPr>
          <w:rFonts w:ascii="宋体" w:hAnsi="宋体"/>
          <w:color w:val="000000"/>
          <w:kern w:val="0"/>
          <w:sz w:val="18"/>
          <w:szCs w:val="18"/>
        </w:rPr>
      </w:pPr>
      <w:r>
        <w:rPr>
          <w:rFonts w:hAnsi="宋体"/>
          <w:sz w:val="18"/>
          <w:szCs w:val="18"/>
        </w:rPr>
        <w:br w:type="page"/>
      </w:r>
    </w:p>
    <w:p w:rsidR="008C4D74" w:rsidRDefault="008C4D74" w:rsidP="008C4D74">
      <w:pPr>
        <w:pStyle w:val="1"/>
        <w:spacing w:before="0" w:after="0"/>
        <w:jc w:val="center"/>
        <w:rPr>
          <w:rFonts w:ascii="Times New Roman"/>
          <w:sz w:val="30"/>
        </w:rPr>
      </w:pPr>
      <w:bookmarkStart w:id="79" w:name="_Toc15862"/>
      <w:bookmarkStart w:id="80" w:name="_Toc79154666"/>
      <w:bookmarkStart w:id="81" w:name="_Toc92377132"/>
      <w:r>
        <w:rPr>
          <w:rFonts w:ascii="Times New Roman"/>
          <w:sz w:val="30"/>
        </w:rPr>
        <w:lastRenderedPageBreak/>
        <w:t>第</w:t>
      </w:r>
      <w:r>
        <w:rPr>
          <w:rFonts w:ascii="Times New Roman" w:hint="eastAsia"/>
          <w:sz w:val="30"/>
        </w:rPr>
        <w:t>三条</w:t>
      </w:r>
      <w:r>
        <w:rPr>
          <w:rFonts w:ascii="Times New Roman"/>
          <w:sz w:val="30"/>
        </w:rPr>
        <w:t xml:space="preserve">  </w:t>
      </w:r>
      <w:bookmarkStart w:id="82" w:name="_Toc79392573"/>
      <w:r>
        <w:rPr>
          <w:rFonts w:ascii="Times New Roman" w:hint="eastAsia"/>
          <w:sz w:val="30"/>
        </w:rPr>
        <w:t>理财产品的认购</w:t>
      </w:r>
      <w:bookmarkEnd w:id="79"/>
      <w:bookmarkEnd w:id="80"/>
      <w:bookmarkEnd w:id="81"/>
    </w:p>
    <w:p w:rsidR="008C4D74" w:rsidRDefault="008C4D74" w:rsidP="008C4D74">
      <w:pPr>
        <w:spacing w:line="360" w:lineRule="auto"/>
        <w:ind w:firstLineChars="200" w:firstLine="361"/>
        <w:rPr>
          <w:rFonts w:asciiTheme="minorEastAsia" w:hAnsiTheme="minorEastAsia"/>
          <w:b/>
          <w:bCs/>
          <w:sz w:val="18"/>
          <w:szCs w:val="18"/>
        </w:rPr>
      </w:pPr>
      <w:bookmarkStart w:id="83" w:name="_Hlt88031774"/>
      <w:bookmarkStart w:id="84" w:name="_Hlt88031741"/>
      <w:bookmarkEnd w:id="83"/>
      <w:r>
        <w:rPr>
          <w:rFonts w:asciiTheme="minorEastAsia" w:hAnsiTheme="minorEastAsia" w:hint="eastAsia"/>
          <w:b/>
          <w:bCs/>
          <w:sz w:val="18"/>
          <w:szCs w:val="18"/>
        </w:rPr>
        <w:t>（一）理财产品的认购</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proofErr w:type="gramStart"/>
      <w:r>
        <w:rPr>
          <w:rFonts w:asciiTheme="minorEastAsia" w:eastAsiaTheme="minorEastAsia" w:hAnsiTheme="minorEastAsia" w:hint="eastAsia"/>
          <w:color w:val="auto"/>
          <w:sz w:val="18"/>
          <w:szCs w:val="18"/>
        </w:rPr>
        <w:t>定进行</w:t>
      </w:r>
      <w:proofErr w:type="gramEnd"/>
      <w:r>
        <w:rPr>
          <w:rFonts w:asciiTheme="minorEastAsia" w:eastAsiaTheme="minorEastAsia" w:hAnsiTheme="minorEastAsia" w:hint="eastAsia"/>
          <w:color w:val="auto"/>
          <w:sz w:val="18"/>
          <w:szCs w:val="18"/>
        </w:rPr>
        <w:t>公告。</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w:t>
      </w:r>
      <w:proofErr w:type="gramStart"/>
      <w:r>
        <w:rPr>
          <w:rFonts w:asciiTheme="minorEastAsia" w:eastAsiaTheme="minorEastAsia" w:hAnsiTheme="minorEastAsia" w:hint="eastAsia"/>
          <w:color w:val="auto"/>
          <w:sz w:val="18"/>
          <w:szCs w:val="18"/>
        </w:rPr>
        <w:t>上渠道</w:t>
      </w:r>
      <w:proofErr w:type="gramEnd"/>
      <w:r>
        <w:rPr>
          <w:rFonts w:asciiTheme="minorEastAsia" w:eastAsiaTheme="minorEastAsia" w:hAnsiTheme="minorEastAsia" w:hint="eastAsia"/>
          <w:color w:val="auto"/>
          <w:sz w:val="18"/>
          <w:szCs w:val="18"/>
        </w:rPr>
        <w:t>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8"/>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1984"/>
        <w:gridCol w:w="4267"/>
        <w:gridCol w:w="1610"/>
      </w:tblGrid>
      <w:tr w:rsidR="008C4D74" w:rsidTr="008D10E8">
        <w:trPr>
          <w:jc w:val="center"/>
        </w:trPr>
        <w:tc>
          <w:tcPr>
            <w:tcW w:w="1984" w:type="dxa"/>
            <w:vAlign w:val="center"/>
          </w:tcPr>
          <w:p w:rsidR="008C4D74" w:rsidRDefault="008C4D74" w:rsidP="008D10E8">
            <w:pPr>
              <w:spacing w:line="360" w:lineRule="auto"/>
              <w:ind w:firstLineChars="200" w:firstLine="361"/>
              <w:rPr>
                <w:rFonts w:asciiTheme="minorEastAsia" w:eastAsiaTheme="minorEastAsia" w:hAnsiTheme="minorEastAsia"/>
                <w:b/>
                <w:bCs/>
                <w:sz w:val="18"/>
                <w:szCs w:val="18"/>
              </w:rPr>
            </w:pPr>
            <w:r>
              <w:rPr>
                <w:rFonts w:asciiTheme="minorEastAsia" w:hAnsiTheme="minorEastAsia" w:hint="eastAsia"/>
                <w:b/>
                <w:bCs/>
                <w:sz w:val="18"/>
                <w:szCs w:val="18"/>
              </w:rPr>
              <w:t>认购期/募集期</w:t>
            </w:r>
          </w:p>
        </w:tc>
        <w:tc>
          <w:tcPr>
            <w:tcW w:w="4267" w:type="dxa"/>
            <w:vAlign w:val="center"/>
          </w:tcPr>
          <w:p w:rsidR="008C4D74" w:rsidRDefault="008C4D74" w:rsidP="008D10E8">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hint="eastAsia"/>
                <w:b/>
                <w:bCs/>
                <w:sz w:val="18"/>
                <w:szCs w:val="18"/>
              </w:rPr>
              <w:t>认购确认方式</w:t>
            </w:r>
          </w:p>
        </w:tc>
        <w:tc>
          <w:tcPr>
            <w:tcW w:w="1610" w:type="dxa"/>
            <w:vAlign w:val="center"/>
          </w:tcPr>
          <w:p w:rsidR="008C4D74" w:rsidRDefault="008C4D74" w:rsidP="008D10E8">
            <w:pPr>
              <w:spacing w:line="360" w:lineRule="auto"/>
              <w:rPr>
                <w:rFonts w:asciiTheme="minorEastAsia" w:eastAsiaTheme="minorEastAsia" w:hAnsiTheme="minorEastAsia"/>
                <w:b/>
                <w:bCs/>
                <w:sz w:val="18"/>
                <w:szCs w:val="18"/>
              </w:rPr>
            </w:pPr>
            <w:r>
              <w:rPr>
                <w:rFonts w:asciiTheme="minorEastAsia" w:hAnsiTheme="minorEastAsia" w:hint="eastAsia"/>
                <w:b/>
                <w:bCs/>
                <w:sz w:val="18"/>
                <w:szCs w:val="18"/>
              </w:rPr>
              <w:t>认购确认日</w:t>
            </w:r>
          </w:p>
        </w:tc>
      </w:tr>
      <w:tr w:rsidR="008C4D74" w:rsidTr="008D10E8">
        <w:trPr>
          <w:jc w:val="center"/>
        </w:trPr>
        <w:tc>
          <w:tcPr>
            <w:tcW w:w="1984" w:type="dxa"/>
            <w:vAlign w:val="center"/>
          </w:tcPr>
          <w:p w:rsidR="008C4D74" w:rsidRDefault="008C4D74" w:rsidP="008D10E8">
            <w:pPr>
              <w:spacing w:line="360" w:lineRule="auto"/>
              <w:jc w:val="left"/>
              <w:rPr>
                <w:rFonts w:asciiTheme="minorEastAsia" w:eastAsiaTheme="minorEastAsia" w:hAnsiTheme="minorEastAsia"/>
                <w:bCs/>
                <w:sz w:val="18"/>
                <w:szCs w:val="18"/>
              </w:rPr>
            </w:pPr>
            <w:r>
              <w:rPr>
                <w:rFonts w:asciiTheme="minorEastAsia" w:eastAsiaTheme="minorEastAsia" w:hAnsiTheme="minorEastAsia" w:hint="eastAsia"/>
                <w:bCs/>
                <w:sz w:val="18"/>
                <w:szCs w:val="18"/>
              </w:rPr>
              <w:t>募集期开始日</w:t>
            </w:r>
            <w:r>
              <w:rPr>
                <w:rFonts w:asciiTheme="minorEastAsia" w:eastAsiaTheme="minorEastAsia" w:hAnsiTheme="minorEastAsia"/>
                <w:bCs/>
                <w:sz w:val="18"/>
                <w:szCs w:val="18"/>
              </w:rPr>
              <w:t>至募集期终止日</w:t>
            </w:r>
          </w:p>
        </w:tc>
        <w:tc>
          <w:tcPr>
            <w:tcW w:w="4267" w:type="dxa"/>
            <w:vAlign w:val="center"/>
          </w:tcPr>
          <w:p w:rsidR="008C4D74" w:rsidRDefault="008C4D74" w:rsidP="008D10E8">
            <w:pPr>
              <w:spacing w:line="360" w:lineRule="auto"/>
              <w:rPr>
                <w:rFonts w:asciiTheme="minorEastAsia" w:eastAsiaTheme="minorEastAsia" w:hAnsiTheme="minorEastAsia"/>
                <w:bCs/>
                <w:sz w:val="18"/>
                <w:szCs w:val="18"/>
              </w:rPr>
            </w:pPr>
            <w:r>
              <w:rPr>
                <w:rFonts w:asciiTheme="minorEastAsia" w:hAnsiTheme="minorEastAsia" w:hint="eastAsia"/>
                <w:bCs/>
                <w:sz w:val="18"/>
                <w:szCs w:val="18"/>
              </w:rPr>
              <w:t>产品管理人在产品成立日对投资者的认购申请的有效性进行确认</w:t>
            </w:r>
            <w:r>
              <w:rPr>
                <w:rFonts w:asciiTheme="minorEastAsia" w:eastAsiaTheme="minorEastAsia" w:hAnsiTheme="minorEastAsia" w:hint="eastAsia"/>
                <w:bCs/>
                <w:sz w:val="18"/>
                <w:szCs w:val="18"/>
              </w:rPr>
              <w:t>，并登记理财份额</w:t>
            </w:r>
            <w:r>
              <w:rPr>
                <w:rFonts w:asciiTheme="minorEastAsia" w:hAnsiTheme="minorEastAsia" w:hint="eastAsia"/>
                <w:bCs/>
                <w:sz w:val="18"/>
                <w:szCs w:val="18"/>
              </w:rPr>
              <w:t>。</w:t>
            </w:r>
          </w:p>
        </w:tc>
        <w:tc>
          <w:tcPr>
            <w:tcW w:w="1610" w:type="dxa"/>
            <w:vAlign w:val="center"/>
          </w:tcPr>
          <w:p w:rsidR="008C4D74" w:rsidRDefault="008C4D74" w:rsidP="008D10E8">
            <w:pPr>
              <w:spacing w:line="360" w:lineRule="auto"/>
              <w:rPr>
                <w:rFonts w:asciiTheme="minorEastAsia" w:eastAsiaTheme="minorEastAsia" w:hAnsiTheme="minorEastAsia"/>
                <w:bCs/>
                <w:sz w:val="18"/>
                <w:szCs w:val="18"/>
              </w:rPr>
            </w:pPr>
            <w:r>
              <w:rPr>
                <w:rFonts w:asciiTheme="minorEastAsia" w:hAnsiTheme="minorEastAsia" w:hint="eastAsia"/>
                <w:bCs/>
                <w:sz w:val="18"/>
                <w:szCs w:val="18"/>
              </w:rPr>
              <w:t>产品成立日</w:t>
            </w:r>
          </w:p>
        </w:tc>
      </w:tr>
    </w:tbl>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w:t>
      </w:r>
      <w:r>
        <w:rPr>
          <w:rFonts w:asciiTheme="minorEastAsia" w:hAnsiTheme="minorEastAsia"/>
          <w:bCs/>
          <w:color w:val="auto"/>
          <w:sz w:val="18"/>
          <w:szCs w:val="18"/>
        </w:rPr>
        <w:t>产品管理人</w:t>
      </w:r>
      <w:r>
        <w:rPr>
          <w:rFonts w:asciiTheme="minorEastAsia" w:hAnsiTheme="minorEastAsia" w:hint="eastAsia"/>
          <w:bCs/>
          <w:color w:val="auto"/>
          <w:sz w:val="18"/>
          <w:szCs w:val="18"/>
        </w:rPr>
        <w:t>可受理投资者提交的认购申请。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w:t>
      </w:r>
      <w:proofErr w:type="gramStart"/>
      <w:r>
        <w:rPr>
          <w:rFonts w:asciiTheme="minorEastAsia" w:eastAsiaTheme="minorEastAsia" w:hAnsiTheme="minorEastAsia" w:hint="eastAsia"/>
          <w:bCs/>
          <w:sz w:val="18"/>
          <w:szCs w:val="18"/>
        </w:rPr>
        <w:t>日系统</w:t>
      </w:r>
      <w:proofErr w:type="gramEnd"/>
      <w:r>
        <w:rPr>
          <w:rFonts w:asciiTheme="minorEastAsia" w:eastAsiaTheme="minorEastAsia" w:hAnsiTheme="minorEastAsia" w:hint="eastAsia"/>
          <w:bCs/>
          <w:sz w:val="18"/>
          <w:szCs w:val="18"/>
        </w:rPr>
        <w:t>完成处理后，查询产品份额。</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8C4D74" w:rsidRDefault="008C4D74" w:rsidP="008C4D74">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8C4D74" w:rsidRDefault="008C4D74" w:rsidP="008C4D7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p>
    <w:p w:rsidR="008C4D74" w:rsidRDefault="008C4D74" w:rsidP="008C4D7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8C4D74" w:rsidRDefault="008C4D74" w:rsidP="008C4D7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8C4D74" w:rsidRDefault="008C4D74" w:rsidP="008C4D7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8C4D74" w:rsidRDefault="008C4D74" w:rsidP="008C4D74">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.认购的起点和追加金额</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8C4D74" w:rsidRDefault="008C4D74" w:rsidP="008C4D74">
      <w:pPr>
        <w:spacing w:line="360" w:lineRule="auto"/>
        <w:ind w:firstLineChars="200" w:firstLine="360"/>
        <w:rPr>
          <w:rFonts w:asciiTheme="minorEastAsia" w:hAnsiTheme="minorEastAsia"/>
          <w:bCs/>
          <w:sz w:val="18"/>
          <w:szCs w:val="18"/>
        </w:rPr>
      </w:pPr>
      <w:r>
        <w:rPr>
          <w:rFonts w:asciiTheme="minorEastAsia" w:hAnsiTheme="minorEastAsia" w:hint="eastAsia"/>
          <w:bCs/>
          <w:sz w:val="18"/>
          <w:szCs w:val="18"/>
        </w:rPr>
        <w:t>投资者认购资金在产品认购期内按照活期存款利率计息，但在产品认购期所产生的利息不作为理财</w:t>
      </w:r>
      <w:r>
        <w:rPr>
          <w:rFonts w:asciiTheme="minorEastAsia" w:hAnsiTheme="minorEastAsia"/>
          <w:bCs/>
          <w:sz w:val="18"/>
          <w:szCs w:val="18"/>
        </w:rPr>
        <w:t>资金</w:t>
      </w:r>
      <w:r>
        <w:rPr>
          <w:rFonts w:asciiTheme="minorEastAsia" w:hAnsiTheme="minorEastAsia" w:hint="eastAsia"/>
          <w:bCs/>
          <w:sz w:val="18"/>
          <w:szCs w:val="18"/>
        </w:rPr>
        <w:t>进入理财运作，不计算理财利益。</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8C4D74" w:rsidRDefault="008C4D74" w:rsidP="008C4D7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8C4D74" w:rsidRDefault="008C4D74" w:rsidP="008C4D7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8C4D74" w:rsidRDefault="008C4D74" w:rsidP="008C4D74">
      <w:pPr>
        <w:spacing w:line="360" w:lineRule="auto"/>
        <w:ind w:firstLineChars="200" w:firstLine="360"/>
        <w:rPr>
          <w:rFonts w:asciiTheme="minorEastAsia" w:hAnsiTheme="minorEastAsia"/>
          <w:bCs/>
          <w:sz w:val="18"/>
          <w:szCs w:val="18"/>
        </w:rPr>
      </w:pPr>
    </w:p>
    <w:p w:rsidR="008C4D74" w:rsidRDefault="008C4D74" w:rsidP="008C4D74">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8C4D74" w:rsidRDefault="008C4D74" w:rsidP="008C4D74">
      <w:pPr>
        <w:pStyle w:val="1"/>
        <w:spacing w:before="0" w:after="0"/>
        <w:jc w:val="center"/>
        <w:rPr>
          <w:rFonts w:ascii="Times New Roman"/>
          <w:sz w:val="30"/>
        </w:rPr>
      </w:pPr>
      <w:bookmarkStart w:id="85" w:name="_Toc92377133"/>
      <w:bookmarkStart w:id="86" w:name="_Toc79154667"/>
      <w:bookmarkStart w:id="87" w:name="_Toc28040"/>
      <w:r>
        <w:rPr>
          <w:rFonts w:ascii="Times New Roman" w:hint="eastAsia"/>
          <w:sz w:val="30"/>
        </w:rPr>
        <w:lastRenderedPageBreak/>
        <w:t>第四条</w:t>
      </w:r>
      <w:r>
        <w:rPr>
          <w:rFonts w:ascii="Times New Roman" w:hint="eastAsia"/>
          <w:sz w:val="30"/>
        </w:rPr>
        <w:t xml:space="preserve"> </w:t>
      </w:r>
      <w:r>
        <w:rPr>
          <w:rFonts w:ascii="Times New Roman"/>
          <w:sz w:val="30"/>
        </w:rPr>
        <w:t xml:space="preserve"> </w:t>
      </w:r>
      <w:r>
        <w:rPr>
          <w:rFonts w:ascii="Times New Roman" w:hint="eastAsia"/>
          <w:sz w:val="30"/>
        </w:rPr>
        <w:t>理财产品的申购与赎回</w:t>
      </w:r>
      <w:bookmarkEnd w:id="85"/>
      <w:bookmarkEnd w:id="86"/>
      <w:bookmarkEnd w:id="87"/>
    </w:p>
    <w:bookmarkEnd w:id="84"/>
    <w:p w:rsidR="008C4D74" w:rsidRDefault="008C4D74" w:rsidP="008C4D74">
      <w:pPr>
        <w:spacing w:line="360" w:lineRule="auto"/>
        <w:ind w:firstLineChars="200" w:firstLine="420"/>
      </w:pP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（一）理财产品的申购</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1.</w:t>
      </w:r>
      <w:r>
        <w:rPr>
          <w:rFonts w:asciiTheme="minorEastAsia" w:hAnsiTheme="minorEastAsia" w:hint="eastAsia"/>
          <w:b/>
          <w:bCs/>
          <w:color w:val="auto"/>
          <w:sz w:val="18"/>
          <w:szCs w:val="18"/>
        </w:rPr>
        <w:t>申购的时间</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本产品设置预约申购期，具体的预约申购</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本产品预约申购期内提出预约申购申请。</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2.申购的方式</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投资者可通过</w:t>
      </w:r>
      <w:r>
        <w:rPr>
          <w:rFonts w:asciiTheme="minorEastAsia" w:hAnsiTheme="minorEastAsia" w:hint="eastAsia"/>
          <w:bCs/>
          <w:color w:val="auto"/>
          <w:sz w:val="18"/>
          <w:szCs w:val="18"/>
        </w:rPr>
        <w:t>销售机构的销售</w:t>
      </w:r>
      <w:r>
        <w:rPr>
          <w:rFonts w:asciiTheme="minorEastAsia" w:hAnsiTheme="minorEastAsia"/>
          <w:bCs/>
          <w:color w:val="auto"/>
          <w:sz w:val="18"/>
          <w:szCs w:val="18"/>
        </w:rPr>
        <w:t>渠道</w:t>
      </w:r>
      <w:r>
        <w:rPr>
          <w:rFonts w:asciiTheme="minorEastAsia" w:hAnsiTheme="minorEastAsia" w:hint="eastAsia"/>
          <w:bCs/>
          <w:color w:val="auto"/>
          <w:sz w:val="18"/>
          <w:szCs w:val="18"/>
        </w:rPr>
        <w:t>申购。不同销售机构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渠道，申购确认时效可能存在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bCs/>
          <w:color w:val="auto"/>
          <w:sz w:val="18"/>
          <w:szCs w:val="18"/>
        </w:rPr>
        <w:t>投资者通过</w:t>
      </w:r>
      <w:r>
        <w:rPr>
          <w:rFonts w:asciiTheme="minorEastAsia" w:hAnsiTheme="minorEastAsia" w:hint="eastAsia"/>
          <w:bCs/>
          <w:color w:val="auto"/>
          <w:sz w:val="18"/>
          <w:szCs w:val="18"/>
        </w:rPr>
        <w:t>销售机构线下</w:t>
      </w:r>
      <w:r>
        <w:rPr>
          <w:rFonts w:asciiTheme="minorEastAsia" w:hAnsiTheme="minorEastAsia"/>
          <w:bCs/>
          <w:color w:val="auto"/>
          <w:sz w:val="18"/>
          <w:szCs w:val="18"/>
        </w:rPr>
        <w:t>渠道申购</w:t>
      </w:r>
      <w:r>
        <w:rPr>
          <w:rFonts w:asciiTheme="minorEastAsia" w:hAnsiTheme="minorEastAsia" w:hint="eastAsia"/>
          <w:bCs/>
          <w:color w:val="auto"/>
          <w:sz w:val="18"/>
          <w:szCs w:val="18"/>
        </w:rPr>
        <w:t>的，应签署有关理财产品销售文件。</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投资者通过销售机构线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申购的，应根据销售机构线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申购的确认</w:t>
      </w:r>
    </w:p>
    <w:p w:rsidR="008C4D74" w:rsidRDefault="008C4D74" w:rsidP="008C4D7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inorEastAsia" w:hAnsiTheme="minorEastAsia" w:hint="eastAsia"/>
          <w:bCs/>
          <w:color w:val="auto"/>
          <w:sz w:val="18"/>
          <w:szCs w:val="18"/>
        </w:rPr>
        <w:t>预约申购期内产品管理人可受理投资者提交的预约申购申请。</w:t>
      </w:r>
      <w:r>
        <w:rPr>
          <w:rFonts w:asciiTheme="majorEastAsia" w:eastAsiaTheme="majorEastAsia" w:hAnsiTheme="majorEastAsia" w:hint="eastAsia"/>
          <w:color w:val="auto"/>
          <w:sz w:val="18"/>
          <w:szCs w:val="18"/>
        </w:rPr>
        <w:t>提交预约申购申请并不代表申购成功，产品管理人将在申购确认日确认投资者是否申购成功。申购是否成功以管理人的确认结果为准</w:t>
      </w:r>
      <w:r>
        <w:rPr>
          <w:rFonts w:asciiTheme="minorEastAsia" w:eastAsiaTheme="minorEastAsia" w:hAnsiTheme="minorEastAsia" w:hint="eastAsia"/>
          <w:color w:val="auto"/>
          <w:sz w:val="18"/>
          <w:szCs w:val="18"/>
        </w:rPr>
        <w:t>。</w:t>
      </w:r>
      <w:r>
        <w:rPr>
          <w:rFonts w:asciiTheme="minorEastAsia" w:eastAsiaTheme="minorEastAsia" w:hAnsiTheme="minorEastAsia" w:hint="eastAsia"/>
          <w:bCs/>
          <w:color w:val="auto"/>
          <w:sz w:val="18"/>
          <w:szCs w:val="18"/>
        </w:rPr>
        <w:t>投资者可以在申购确认</w:t>
      </w:r>
      <w:proofErr w:type="gramStart"/>
      <w:r>
        <w:rPr>
          <w:rFonts w:asciiTheme="minorEastAsia" w:eastAsiaTheme="minorEastAsia" w:hAnsiTheme="minorEastAsia" w:hint="eastAsia"/>
          <w:bCs/>
          <w:color w:val="auto"/>
          <w:sz w:val="18"/>
          <w:szCs w:val="18"/>
        </w:rPr>
        <w:t>日系统</w:t>
      </w:r>
      <w:proofErr w:type="gramEnd"/>
      <w:r>
        <w:rPr>
          <w:rFonts w:asciiTheme="minorEastAsia" w:eastAsiaTheme="minorEastAsia" w:hAnsiTheme="minorEastAsia" w:hint="eastAsia"/>
          <w:bCs/>
          <w:color w:val="auto"/>
          <w:sz w:val="18"/>
          <w:szCs w:val="18"/>
        </w:rPr>
        <w:t>完成处理后，查询产品份额。</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.申购</w:t>
      </w:r>
      <w:r>
        <w:rPr>
          <w:rFonts w:asciiTheme="minorEastAsia" w:hAnsiTheme="minorEastAsia"/>
          <w:b/>
          <w:bCs/>
          <w:sz w:val="18"/>
          <w:szCs w:val="18"/>
        </w:rPr>
        <w:t>的价格</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申购价格为申购日的产品份额净值。</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申购的</w:t>
      </w:r>
      <w:r>
        <w:rPr>
          <w:rFonts w:asciiTheme="minorEastAsia" w:hAnsiTheme="minorEastAsia"/>
          <w:b/>
          <w:bCs/>
          <w:sz w:val="18"/>
          <w:szCs w:val="18"/>
        </w:rPr>
        <w:t>费用</w:t>
      </w:r>
    </w:p>
    <w:p w:rsidR="008C4D74" w:rsidRDefault="008C4D74" w:rsidP="008C4D7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sz w:val="18"/>
          <w:szCs w:val="18"/>
        </w:rPr>
        <w:t>申购份额计算</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本产品的申购金额包括申购费用和净申购金额。申购份额的计算公式为：</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净申购金额=申购金额/（1+申购费率）</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申购费用=申购金额－净申购金额</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申购份额=净申购金额/申购日产品份额净值</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上述计算结果均按四舍五入方法，保留到小数点后2位，由此产生的收益或损失由理财产品承担。</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申购的起点和追加金额</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申购</w:t>
      </w:r>
      <w:r>
        <w:rPr>
          <w:rFonts w:asciiTheme="minorEastAsia" w:eastAsiaTheme="minorEastAsia" w:hAnsiTheme="minorEastAsia"/>
          <w:b/>
          <w:color w:val="auto"/>
          <w:sz w:val="18"/>
          <w:szCs w:val="18"/>
        </w:rPr>
        <w:t>的数量限制</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（二）理财产品的赎回</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lastRenderedPageBreak/>
        <w:t>1.</w:t>
      </w:r>
      <w:r>
        <w:rPr>
          <w:rFonts w:asciiTheme="minorEastAsia" w:hAnsiTheme="minorEastAsia" w:hint="eastAsia"/>
          <w:b/>
          <w:bCs/>
          <w:color w:val="auto"/>
          <w:sz w:val="18"/>
          <w:szCs w:val="18"/>
        </w:rPr>
        <w:t>赎回的时间</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本产品设置预约赎回期，具体的预约赎回</w:t>
      </w:r>
      <w:proofErr w:type="gramStart"/>
      <w:r>
        <w:rPr>
          <w:rFonts w:asciiTheme="majorEastAsia" w:eastAsiaTheme="majorEastAsia" w:hAnsiTheme="majorEastAsia" w:hint="eastAsia"/>
          <w:bCs/>
          <w:color w:val="auto"/>
          <w:sz w:val="18"/>
          <w:szCs w:val="18"/>
        </w:rPr>
        <w:t>期时间</w:t>
      </w:r>
      <w:proofErr w:type="gramEnd"/>
      <w:r>
        <w:rPr>
          <w:rFonts w:asciiTheme="majorEastAsia" w:eastAsiaTheme="majorEastAsia" w:hAnsiTheme="majorEastAsia" w:hint="eastAsia"/>
          <w:bCs/>
          <w:color w:val="auto"/>
          <w:sz w:val="18"/>
          <w:szCs w:val="18"/>
        </w:rPr>
        <w:t>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bCs/>
          <w:color w:val="auto"/>
          <w:sz w:val="18"/>
          <w:szCs w:val="18"/>
        </w:rPr>
        <w:t>为准。</w:t>
      </w:r>
      <w:r>
        <w:rPr>
          <w:rFonts w:hAnsi="宋体"/>
          <w:bCs/>
          <w:color w:val="auto"/>
          <w:sz w:val="18"/>
          <w:szCs w:val="18"/>
        </w:rPr>
        <w:t>投资者</w:t>
      </w:r>
      <w:r>
        <w:rPr>
          <w:rFonts w:hAnsi="宋体" w:hint="eastAsia"/>
          <w:bCs/>
          <w:color w:val="auto"/>
          <w:sz w:val="18"/>
          <w:szCs w:val="18"/>
        </w:rPr>
        <w:t>可在</w:t>
      </w:r>
      <w:r>
        <w:rPr>
          <w:rFonts w:asciiTheme="majorEastAsia" w:eastAsiaTheme="majorEastAsia" w:hAnsiTheme="majorEastAsia" w:hint="eastAsia"/>
          <w:bCs/>
          <w:color w:val="auto"/>
          <w:sz w:val="18"/>
          <w:szCs w:val="18"/>
        </w:rPr>
        <w:t>本产品预约赎回期内提出预约赎回申请。</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2.赎回的方式</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投资者可通过</w:t>
      </w:r>
      <w:r>
        <w:rPr>
          <w:rFonts w:asciiTheme="majorEastAsia" w:eastAsiaTheme="majorEastAsia" w:hAnsiTheme="majorEastAsia" w:hint="eastAsia"/>
          <w:color w:val="auto"/>
          <w:sz w:val="18"/>
          <w:szCs w:val="18"/>
        </w:rPr>
        <w:t>销售机构的销售</w:t>
      </w:r>
      <w:r>
        <w:rPr>
          <w:rFonts w:asciiTheme="majorEastAsia" w:eastAsiaTheme="majorEastAsia" w:hAnsiTheme="majorEastAsia"/>
          <w:color w:val="auto"/>
          <w:sz w:val="18"/>
          <w:szCs w:val="18"/>
        </w:rPr>
        <w:t>渠道</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w:t>
      </w:r>
      <w:r>
        <w:rPr>
          <w:rFonts w:asciiTheme="minorEastAsia" w:hAnsiTheme="minorEastAsia" w:hint="eastAsia"/>
          <w:bCs/>
          <w:color w:val="auto"/>
          <w:sz w:val="18"/>
          <w:szCs w:val="18"/>
        </w:rPr>
        <w:t>不同销售机构</w:t>
      </w:r>
      <w:r>
        <w:rPr>
          <w:rFonts w:asciiTheme="minorEastAsia" w:hAnsiTheme="minorEastAsia"/>
          <w:bCs/>
          <w:color w:val="auto"/>
          <w:sz w:val="18"/>
          <w:szCs w:val="18"/>
        </w:rPr>
        <w:t>的销售</w:t>
      </w:r>
      <w:r>
        <w:rPr>
          <w:rFonts w:asciiTheme="minorEastAsia" w:hAnsiTheme="minorEastAsia" w:hint="eastAsia"/>
          <w:bCs/>
          <w:color w:val="auto"/>
          <w:sz w:val="18"/>
          <w:szCs w:val="18"/>
        </w:rPr>
        <w:t>渠道，赎回确认时效可能存在</w:t>
      </w:r>
      <w:r>
        <w:rPr>
          <w:rFonts w:asciiTheme="minorEastAsia" w:hAnsiTheme="minorEastAsia"/>
          <w:bCs/>
          <w:color w:val="auto"/>
          <w:sz w:val="18"/>
          <w:szCs w:val="18"/>
        </w:rPr>
        <w:t>差异</w:t>
      </w:r>
      <w:r>
        <w:rPr>
          <w:rFonts w:asciiTheme="minorEastAsia" w:hAnsiTheme="minorEastAsia" w:hint="eastAsia"/>
          <w:bCs/>
          <w:color w:val="auto"/>
          <w:sz w:val="18"/>
          <w:szCs w:val="18"/>
        </w:rPr>
        <w:t>。</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w:t>
      </w:r>
      <w:r>
        <w:rPr>
          <w:rFonts w:asciiTheme="minorEastAsia" w:eastAsiaTheme="minorEastAsia" w:hAnsiTheme="minorEastAsia"/>
          <w:color w:val="auto"/>
          <w:sz w:val="18"/>
          <w:szCs w:val="18"/>
        </w:rPr>
        <w:t>渠道赎回的</w:t>
      </w:r>
      <w:r>
        <w:rPr>
          <w:rFonts w:asciiTheme="majorEastAsia" w:eastAsiaTheme="majorEastAsia" w:hAnsiTheme="majorEastAsia" w:hint="eastAsia"/>
          <w:color w:val="auto"/>
          <w:sz w:val="18"/>
          <w:szCs w:val="18"/>
        </w:rPr>
        <w:t>，应签署</w:t>
      </w:r>
      <w:r>
        <w:rPr>
          <w:rFonts w:asciiTheme="minorEastAsia" w:hAnsiTheme="minorEastAsia" w:hint="eastAsia"/>
          <w:bCs/>
          <w:color w:val="auto"/>
          <w:sz w:val="18"/>
          <w:szCs w:val="18"/>
        </w:rPr>
        <w:t>有关理财产品销售文件</w:t>
      </w:r>
      <w:r>
        <w:rPr>
          <w:rFonts w:asciiTheme="majorEastAsia" w:eastAsiaTheme="majorEastAsia" w:hAnsiTheme="majorEastAsia" w:hint="eastAsia"/>
          <w:color w:val="auto"/>
          <w:sz w:val="18"/>
          <w:szCs w:val="18"/>
        </w:rPr>
        <w:t>。</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ajorEastAsia" w:eastAsiaTheme="majorEastAsia" w:hAnsiTheme="majorEastAsia" w:hint="eastAsia"/>
          <w:color w:val="auto"/>
          <w:sz w:val="18"/>
          <w:szCs w:val="18"/>
        </w:rPr>
        <w:t>投资者通过销售机构线</w:t>
      </w:r>
      <w:proofErr w:type="gramStart"/>
      <w:r>
        <w:rPr>
          <w:rFonts w:asciiTheme="majorEastAsia" w:eastAsiaTheme="majorEastAsia" w:hAnsiTheme="majorEastAsia" w:hint="eastAsia"/>
          <w:color w:val="auto"/>
          <w:sz w:val="18"/>
          <w:szCs w:val="18"/>
        </w:rPr>
        <w:t>上渠道</w:t>
      </w:r>
      <w:proofErr w:type="gramEnd"/>
      <w:r>
        <w:rPr>
          <w:rFonts w:asciiTheme="minorEastAsia" w:eastAsiaTheme="minorEastAsia" w:hAnsiTheme="minorEastAsia" w:hint="eastAsia"/>
          <w:color w:val="auto"/>
          <w:sz w:val="18"/>
          <w:szCs w:val="18"/>
        </w:rPr>
        <w:t>赎回的，</w:t>
      </w:r>
      <w:r>
        <w:rPr>
          <w:rFonts w:asciiTheme="minorEastAsia" w:hAnsiTheme="minorEastAsia" w:hint="eastAsia"/>
          <w:bCs/>
          <w:color w:val="auto"/>
          <w:sz w:val="18"/>
          <w:szCs w:val="18"/>
        </w:rPr>
        <w:t>应根据销售机构线</w:t>
      </w:r>
      <w:proofErr w:type="gramStart"/>
      <w:r>
        <w:rPr>
          <w:rFonts w:asciiTheme="minorEastAsia" w:hAnsiTheme="minorEastAsia" w:hint="eastAsia"/>
          <w:bCs/>
          <w:color w:val="auto"/>
          <w:sz w:val="18"/>
          <w:szCs w:val="18"/>
        </w:rPr>
        <w:t>上渠道</w:t>
      </w:r>
      <w:proofErr w:type="gramEnd"/>
      <w:r>
        <w:rPr>
          <w:rFonts w:asciiTheme="minorEastAsia" w:hAnsiTheme="minorEastAsia" w:hint="eastAsia"/>
          <w:bCs/>
          <w:color w:val="auto"/>
          <w:sz w:val="18"/>
          <w:szCs w:val="18"/>
        </w:rPr>
        <w:t>的具体要求执行。</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赎回的确认</w:t>
      </w:r>
    </w:p>
    <w:p w:rsidR="008C4D74" w:rsidRDefault="008C4D74" w:rsidP="008C4D74">
      <w:pPr>
        <w:spacing w:line="360" w:lineRule="auto"/>
        <w:ind w:firstLineChars="200" w:firstLine="360"/>
        <w:rPr>
          <w:rFonts w:asciiTheme="minorEastAsia" w:hAnsiTheme="minorEastAsia"/>
          <w:bCs/>
          <w:sz w:val="18"/>
          <w:szCs w:val="18"/>
        </w:rPr>
      </w:pPr>
      <w:r>
        <w:rPr>
          <w:rFonts w:asciiTheme="minorEastAsia" w:hAnsiTheme="minorEastAsia" w:hint="eastAsia"/>
          <w:sz w:val="18"/>
          <w:szCs w:val="18"/>
        </w:rPr>
        <w:t>详见《产品说明书》“第二条 理财产品基本情况”</w:t>
      </w:r>
      <w:r>
        <w:rPr>
          <w:rFonts w:hint="eastAsia"/>
          <w:bCs/>
          <w:sz w:val="18"/>
          <w:szCs w:val="18"/>
        </w:rPr>
        <w:t>。</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预约赎回期内产品管理人可受理投资者提交的预约赎回申请。</w:t>
      </w:r>
      <w:r>
        <w:rPr>
          <w:rFonts w:asciiTheme="majorEastAsia" w:eastAsiaTheme="majorEastAsia" w:hAnsiTheme="majorEastAsia" w:hint="eastAsia"/>
          <w:color w:val="auto"/>
          <w:sz w:val="18"/>
          <w:szCs w:val="18"/>
        </w:rPr>
        <w:t>提交预约赎回申请并不代表赎回成功，产品管理人将在赎回确认日确认投资者是否赎回成功。赎回是否成功以管理人的确认结果为准</w:t>
      </w:r>
      <w:r>
        <w:rPr>
          <w:rFonts w:asciiTheme="minorEastAsia" w:eastAsiaTheme="minorEastAsia" w:hAnsiTheme="minorEastAsia" w:hint="eastAsia"/>
          <w:color w:val="auto"/>
          <w:sz w:val="18"/>
          <w:szCs w:val="18"/>
        </w:rPr>
        <w:t>。</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.赎回</w:t>
      </w:r>
      <w:r>
        <w:rPr>
          <w:rFonts w:asciiTheme="minorEastAsia" w:hAnsiTheme="minorEastAsia"/>
          <w:b/>
          <w:bCs/>
          <w:sz w:val="18"/>
          <w:szCs w:val="18"/>
        </w:rPr>
        <w:t>的价格</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赎回</w:t>
      </w:r>
      <w:r>
        <w:rPr>
          <w:rFonts w:asciiTheme="majorEastAsia" w:eastAsiaTheme="majorEastAsia" w:hAnsiTheme="majorEastAsia"/>
          <w:bCs/>
          <w:color w:val="auto"/>
          <w:sz w:val="18"/>
          <w:szCs w:val="18"/>
        </w:rPr>
        <w:t>价格为赎回日</w:t>
      </w:r>
      <w:r>
        <w:rPr>
          <w:rFonts w:asciiTheme="majorEastAsia" w:eastAsiaTheme="majorEastAsia" w:hAnsiTheme="majorEastAsia" w:hint="eastAsia"/>
          <w:bCs/>
          <w:color w:val="auto"/>
          <w:sz w:val="18"/>
          <w:szCs w:val="18"/>
        </w:rPr>
        <w:t>的</w:t>
      </w:r>
      <w:r>
        <w:rPr>
          <w:rFonts w:asciiTheme="majorEastAsia" w:eastAsiaTheme="majorEastAsia" w:hAnsiTheme="majorEastAsia"/>
          <w:bCs/>
          <w:color w:val="auto"/>
          <w:sz w:val="18"/>
          <w:szCs w:val="18"/>
        </w:rPr>
        <w:t>产品份额净值</w:t>
      </w:r>
      <w:r>
        <w:rPr>
          <w:rFonts w:asciiTheme="majorEastAsia" w:eastAsiaTheme="majorEastAsia" w:hAnsiTheme="majorEastAsia" w:hint="eastAsia"/>
          <w:bCs/>
          <w:color w:val="auto"/>
          <w:sz w:val="18"/>
          <w:szCs w:val="18"/>
        </w:rPr>
        <w:t>。</w:t>
      </w:r>
    </w:p>
    <w:p w:rsidR="008C4D74" w:rsidRDefault="008C4D74" w:rsidP="008C4D74">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5.</w:t>
      </w:r>
      <w:r>
        <w:rPr>
          <w:rFonts w:asciiTheme="minorEastAsia" w:hAnsiTheme="minorEastAsia" w:hint="eastAsia"/>
          <w:b/>
          <w:bCs/>
          <w:sz w:val="18"/>
          <w:szCs w:val="18"/>
        </w:rPr>
        <w:t>赎回的</w:t>
      </w:r>
      <w:r>
        <w:rPr>
          <w:rFonts w:asciiTheme="minorEastAsia" w:hAnsiTheme="minorEastAsia"/>
          <w:b/>
          <w:bCs/>
          <w:sz w:val="18"/>
          <w:szCs w:val="18"/>
        </w:rPr>
        <w:t>费用</w:t>
      </w:r>
    </w:p>
    <w:p w:rsidR="008C4D74" w:rsidRDefault="008C4D74" w:rsidP="008C4D74">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hAnsiTheme="minorEastAsia"/>
          <w:b/>
          <w:bCs/>
          <w:color w:val="auto"/>
          <w:sz w:val="18"/>
          <w:szCs w:val="18"/>
        </w:rPr>
        <w:t>6.</w:t>
      </w:r>
      <w:r>
        <w:rPr>
          <w:rFonts w:asciiTheme="minorEastAsia" w:hAnsiTheme="minorEastAsia" w:hint="eastAsia"/>
          <w:b/>
          <w:bCs/>
          <w:color w:val="auto"/>
          <w:sz w:val="18"/>
          <w:szCs w:val="18"/>
        </w:rPr>
        <w:t>赎回</w:t>
      </w:r>
      <w:r>
        <w:rPr>
          <w:rFonts w:asciiTheme="minorEastAsia" w:hAnsiTheme="minorEastAsia" w:hint="eastAsia"/>
          <w:b/>
          <w:bCs/>
          <w:sz w:val="18"/>
          <w:szCs w:val="18"/>
        </w:rPr>
        <w:t>金额计算</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本产品赎回</w:t>
      </w:r>
      <w:r>
        <w:rPr>
          <w:rFonts w:asciiTheme="minorEastAsia" w:hAnsiTheme="minorEastAsia"/>
          <w:bCs/>
          <w:color w:val="auto"/>
          <w:sz w:val="18"/>
          <w:szCs w:val="18"/>
        </w:rPr>
        <w:t>金额</w:t>
      </w:r>
      <w:r>
        <w:rPr>
          <w:rFonts w:asciiTheme="minorEastAsia" w:hAnsiTheme="minorEastAsia" w:hint="eastAsia"/>
          <w:bCs/>
          <w:color w:val="auto"/>
          <w:sz w:val="18"/>
          <w:szCs w:val="18"/>
        </w:rPr>
        <w:t>的计算公式如下：</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赎回总金额=赎回份额×赎回日该产品份额净值</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赎回费用=赎回总金额×赎回费率</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净赎回金额=赎回总金额-赎回费用</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上述计算结果均按四舍五入方法，保留到小数点后</w:t>
      </w: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位，由此产生的收益或损失由理财产品承担。</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hAnsiTheme="minorEastAsia" w:hint="eastAsia"/>
          <w:b/>
          <w:bCs/>
          <w:color w:val="auto"/>
          <w:sz w:val="18"/>
          <w:szCs w:val="18"/>
        </w:rPr>
        <w:t>赎回</w:t>
      </w:r>
      <w:r>
        <w:rPr>
          <w:rFonts w:asciiTheme="minorEastAsia" w:eastAsiaTheme="minorEastAsia" w:hAnsiTheme="minorEastAsia"/>
          <w:b/>
          <w:color w:val="auto"/>
          <w:sz w:val="18"/>
          <w:szCs w:val="18"/>
        </w:rPr>
        <w:t>的数量限制</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（四）</w:t>
      </w:r>
      <w:r>
        <w:rPr>
          <w:rFonts w:asciiTheme="majorEastAsia" w:eastAsiaTheme="majorEastAsia" w:hAnsiTheme="majorEastAsia" w:hint="eastAsia"/>
          <w:b/>
          <w:color w:val="auto"/>
          <w:sz w:val="18"/>
          <w:szCs w:val="18"/>
        </w:rPr>
        <w:t>申购与赎回的原则</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金额申购、份额赎回</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原则，即申购以金额申请，赎回以份额申请。</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2.</w:t>
      </w:r>
      <w:r>
        <w:rPr>
          <w:rFonts w:asciiTheme="majorEastAsia" w:eastAsiaTheme="majorEastAsia" w:hAnsiTheme="majorEastAsia"/>
          <w:bCs/>
          <w:color w:val="auto"/>
          <w:sz w:val="18"/>
          <w:szCs w:val="18"/>
        </w:rPr>
        <w:t>申购和赎回采用“</w:t>
      </w:r>
      <w:r>
        <w:rPr>
          <w:rFonts w:asciiTheme="majorEastAsia" w:eastAsiaTheme="majorEastAsia" w:hAnsiTheme="majorEastAsia" w:hint="eastAsia"/>
          <w:bCs/>
          <w:color w:val="auto"/>
          <w:sz w:val="18"/>
          <w:szCs w:val="18"/>
        </w:rPr>
        <w:t>未知价</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原则，即本产品申购申请和赎回申请提交时，适用的产品份额净值都是未知的。</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3.</w:t>
      </w:r>
      <w:r>
        <w:rPr>
          <w:rFonts w:asciiTheme="majorEastAsia" w:eastAsiaTheme="majorEastAsia" w:hAnsiTheme="majorEastAsia"/>
          <w:color w:val="auto"/>
          <w:sz w:val="18"/>
          <w:szCs w:val="18"/>
        </w:rPr>
        <w:t>申购、</w:t>
      </w:r>
      <w:r>
        <w:rPr>
          <w:rFonts w:asciiTheme="majorEastAsia" w:eastAsiaTheme="majorEastAsia" w:hAnsiTheme="majorEastAsia" w:hint="eastAsia"/>
          <w:color w:val="auto"/>
          <w:sz w:val="18"/>
          <w:szCs w:val="18"/>
        </w:rPr>
        <w:t>赎回</w:t>
      </w:r>
      <w:r>
        <w:rPr>
          <w:rFonts w:asciiTheme="majorEastAsia" w:eastAsiaTheme="majorEastAsia" w:hAnsiTheme="majorEastAsia"/>
          <w:color w:val="auto"/>
          <w:sz w:val="18"/>
          <w:szCs w:val="18"/>
        </w:rPr>
        <w:t>申请可以在对应申购</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赎回</w:t>
      </w:r>
      <w:r>
        <w:rPr>
          <w:rFonts w:asciiTheme="majorEastAsia" w:eastAsiaTheme="majorEastAsia" w:hAnsiTheme="majorEastAsia" w:hint="eastAsia"/>
          <w:color w:val="auto"/>
          <w:sz w:val="18"/>
          <w:szCs w:val="18"/>
        </w:rPr>
        <w:t>日</w:t>
      </w:r>
      <w:r>
        <w:rPr>
          <w:rFonts w:asciiTheme="majorEastAsia" w:eastAsiaTheme="majorEastAsia" w:hAnsiTheme="majorEastAsia"/>
          <w:color w:val="auto"/>
          <w:sz w:val="18"/>
          <w:szCs w:val="18"/>
        </w:rPr>
        <w:t>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w:t>
      </w:r>
      <w:proofErr w:type="gramStart"/>
      <w:r>
        <w:rPr>
          <w:rFonts w:asciiTheme="majorEastAsia" w:eastAsiaTheme="majorEastAsia" w:hAnsiTheme="majorEastAsia"/>
          <w:color w:val="auto"/>
          <w:sz w:val="18"/>
          <w:szCs w:val="18"/>
        </w:rPr>
        <w:t>上渠道</w:t>
      </w:r>
      <w:proofErr w:type="gramEnd"/>
      <w:r>
        <w:rPr>
          <w:rFonts w:asciiTheme="majorEastAsia" w:eastAsiaTheme="majorEastAsia" w:hAnsiTheme="majorEastAsia"/>
          <w:color w:val="auto"/>
          <w:sz w:val="18"/>
          <w:szCs w:val="18"/>
        </w:rPr>
        <w:t>确认的结果为准。</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赎回遵循“先进先出”原则，即按照投资者认购、申购的先后次序进行顺序赎回。</w:t>
      </w:r>
    </w:p>
    <w:p w:rsidR="008C4D74" w:rsidRDefault="008C4D74" w:rsidP="008C4D74">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lastRenderedPageBreak/>
        <w:t>（五）拒绝或暂停申购的情形</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w:t>
      </w:r>
      <w:r>
        <w:rPr>
          <w:rFonts w:asciiTheme="majorEastAsia" w:eastAsiaTheme="majorEastAsia" w:hAnsiTheme="majorEastAsia"/>
          <w:color w:val="auto"/>
          <w:sz w:val="18"/>
          <w:szCs w:val="18"/>
        </w:rPr>
        <w:t>申购申请：</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.发生暂停理财资产估值情况时，产品管理人可暂停接受投资者的申购申请。</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.本产品出现当日净收益小于零的情形，为保护持有人的权益，产品管理人可暂停本产品的申购。</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.产品管理人认为接受某笔或某些申购申请可能会影响或损害现有理财份额持有人权益时。</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.理财产品规模过大，产品管理人无法找到合适的投资品种，或其他可能对理财业绩产生负面影响，从而损害现有理财份额持有人权益的情形。</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7</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8</w:t>
      </w:r>
      <w:r>
        <w:rPr>
          <w:rFonts w:asciiTheme="majorEastAsia" w:eastAsiaTheme="majorEastAsia" w:hAnsiTheme="majorEastAsia" w:hint="eastAsia"/>
          <w:color w:val="auto"/>
          <w:sz w:val="18"/>
          <w:szCs w:val="18"/>
        </w:rPr>
        <w:t>.法律法规规定或监管机构认定的其他情形。</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如果投资者的申购申请被拒绝，被拒绝的申购款项将退还给投资者。在暂停申购的情况消除时，产品管理人应及时恢复申购业务的办理。</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（六）暂停赎回或延缓支付赎回款项的情形</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发生下列情形时，产品管理人可暂停接受投资者的赎回申请或延缓支付赎回款项：</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.因不可抗力导致产品管理人不能支付赎回款项。</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.发生暂停理财资产估值情况时，产品管理人可暂停接受投资者的赎回申请或延缓支付赎回款项。</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.证券交易所或银行间市场在交易时间非正常停市，导致产品管理人无法计算当日理财资产净值。</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4</w:t>
      </w:r>
      <w:r>
        <w:rPr>
          <w:rFonts w:asciiTheme="majorEastAsia" w:eastAsiaTheme="majorEastAsia" w:hAnsiTheme="majorEastAsia" w:hint="eastAsia"/>
          <w:color w:val="auto"/>
          <w:sz w:val="18"/>
          <w:szCs w:val="18"/>
        </w:rPr>
        <w:t>.</w:t>
      </w:r>
      <w:r>
        <w:rPr>
          <w:rFonts w:asciiTheme="majorEastAsia" w:eastAsiaTheme="majorEastAsia" w:hAnsiTheme="majorEastAsia"/>
          <w:color w:val="auto"/>
          <w:sz w:val="18"/>
          <w:szCs w:val="18"/>
        </w:rPr>
        <w:t>证券交易所或银行间市场出现异常市场情况，管理人无法</w:t>
      </w:r>
      <w:r>
        <w:rPr>
          <w:rFonts w:asciiTheme="majorEastAsia" w:eastAsiaTheme="majorEastAsia" w:hAnsiTheme="majorEastAsia" w:hint="eastAsia"/>
          <w:color w:val="auto"/>
          <w:sz w:val="18"/>
          <w:szCs w:val="18"/>
        </w:rPr>
        <w:t>开展产品的</w:t>
      </w:r>
      <w:r>
        <w:rPr>
          <w:rFonts w:asciiTheme="majorEastAsia" w:eastAsiaTheme="majorEastAsia" w:hAnsiTheme="majorEastAsia"/>
          <w:color w:val="auto"/>
          <w:sz w:val="18"/>
          <w:szCs w:val="18"/>
        </w:rPr>
        <w:t>流动性</w:t>
      </w:r>
      <w:r>
        <w:rPr>
          <w:rFonts w:asciiTheme="majorEastAsia" w:eastAsiaTheme="majorEastAsia" w:hAnsiTheme="majorEastAsia" w:hint="eastAsia"/>
          <w:color w:val="auto"/>
          <w:sz w:val="18"/>
          <w:szCs w:val="18"/>
        </w:rPr>
        <w:t>管理</w:t>
      </w:r>
      <w:r>
        <w:rPr>
          <w:rFonts w:asciiTheme="majorEastAsia" w:eastAsiaTheme="majorEastAsia" w:hAnsiTheme="majorEastAsia"/>
          <w:color w:val="auto"/>
          <w:sz w:val="18"/>
          <w:szCs w:val="18"/>
        </w:rPr>
        <w:t>。</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5</w:t>
      </w:r>
      <w:r>
        <w:rPr>
          <w:rFonts w:asciiTheme="majorEastAsia" w:eastAsiaTheme="majorEastAsia" w:hAnsiTheme="majorEastAsia" w:hint="eastAsia"/>
          <w:color w:val="auto"/>
          <w:sz w:val="18"/>
          <w:szCs w:val="18"/>
        </w:rPr>
        <w:t>.本产品出现当日净收益小于零的情形，为保护持有人的权益，产品管理人可暂停本产品的赎回。</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6</w:t>
      </w:r>
      <w:r>
        <w:rPr>
          <w:rFonts w:asciiTheme="majorEastAsia" w:eastAsiaTheme="majorEastAsia" w:hAnsiTheme="majorEastAsia" w:hint="eastAsia"/>
          <w:color w:val="auto"/>
          <w:sz w:val="18"/>
          <w:szCs w:val="18"/>
        </w:rPr>
        <w:t>.发生单个投资者在赎回日申请赎回的理财产品份额超过限额的。</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7.发生巨额赎回。</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8.产品管理人和产品托管人的技术保障等异常情况导致理财销售系统或会计系统无法正常运行。</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9.证券交易所或银行间市场数据传输延迟、通讯系统故障、银行系统故障或其他非产品管理人及产品托管人所能控制的因素影响了产品运作流程。</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10.法律法规规定或监管机构认定的其他情形。</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bCs/>
          <w:sz w:val="18"/>
          <w:szCs w:val="18"/>
        </w:rPr>
        <w:t>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w:t>
      </w:r>
      <w:r>
        <w:rPr>
          <w:rFonts w:asciiTheme="majorEastAsia" w:eastAsiaTheme="majorEastAsia" w:hAnsiTheme="majorEastAsia" w:hint="eastAsia"/>
          <w:color w:val="auto"/>
          <w:sz w:val="18"/>
          <w:szCs w:val="18"/>
        </w:rPr>
        <w:t>在暂停赎回或延缓支付赎回款项的情况消除时，产品管理人应及时恢复赎回或支付业务赎回款项的办理。</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（七）巨额赎回的情形及</w:t>
      </w:r>
      <w:r>
        <w:rPr>
          <w:rFonts w:asciiTheme="majorEastAsia" w:eastAsiaTheme="majorEastAsia" w:hAnsiTheme="majorEastAsia"/>
          <w:b/>
          <w:color w:val="auto"/>
          <w:sz w:val="18"/>
          <w:szCs w:val="18"/>
        </w:rPr>
        <w:t>处理方式</w:t>
      </w:r>
    </w:p>
    <w:p w:rsidR="008C4D74" w:rsidRDefault="008C4D74" w:rsidP="008C4D7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lastRenderedPageBreak/>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巨额赎回的认定</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8C4D74" w:rsidRDefault="008C4D74" w:rsidP="008C4D7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巨额赎回的处理方式</w:t>
      </w:r>
    </w:p>
    <w:p w:rsidR="008C4D74" w:rsidRDefault="008C4D74" w:rsidP="008C4D7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出现巨额赎回时，产品管理人有权决定：（1）</w:t>
      </w:r>
      <w:r>
        <w:rPr>
          <w:rFonts w:asciiTheme="majorEastAsia" w:eastAsiaTheme="majorEastAsia" w:hAnsiTheme="majorEastAsia"/>
          <w:bCs/>
          <w:sz w:val="18"/>
          <w:szCs w:val="18"/>
        </w:rPr>
        <w:t>不接受</w:t>
      </w:r>
      <w:r>
        <w:rPr>
          <w:rFonts w:asciiTheme="majorEastAsia" w:eastAsiaTheme="majorEastAsia" w:hAnsiTheme="majorEastAsia" w:hint="eastAsia"/>
          <w:bCs/>
          <w:sz w:val="18"/>
          <w:szCs w:val="18"/>
        </w:rPr>
        <w:t>超出部分的净预约赎回申请，但投资者可于下一预约赎回</w:t>
      </w:r>
      <w:proofErr w:type="gramStart"/>
      <w:r>
        <w:rPr>
          <w:rFonts w:asciiTheme="majorEastAsia" w:eastAsiaTheme="majorEastAsia" w:hAnsiTheme="majorEastAsia" w:hint="eastAsia"/>
          <w:bCs/>
          <w:sz w:val="18"/>
          <w:szCs w:val="18"/>
        </w:rPr>
        <w:t>期重新</w:t>
      </w:r>
      <w:proofErr w:type="gramEnd"/>
      <w:r>
        <w:rPr>
          <w:rFonts w:asciiTheme="majorEastAsia" w:eastAsiaTheme="majorEastAsia" w:hAnsiTheme="majorEastAsia" w:hint="eastAsia"/>
          <w:bCs/>
          <w:sz w:val="18"/>
          <w:szCs w:val="18"/>
        </w:rPr>
        <w:t>进行预约赎回申请；（</w:t>
      </w:r>
      <w:r>
        <w:rPr>
          <w:rFonts w:asciiTheme="majorEastAsia" w:eastAsiaTheme="majorEastAsia" w:hAnsiTheme="majorEastAsia"/>
          <w:bCs/>
          <w:sz w:val="18"/>
          <w:szCs w:val="18"/>
        </w:rPr>
        <w:t>2）延缓支付赎回款项</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如产品管理人认为有必要，</w:t>
      </w:r>
      <w:r>
        <w:rPr>
          <w:rFonts w:asciiTheme="majorEastAsia" w:eastAsiaTheme="majorEastAsia" w:hAnsiTheme="majorEastAsia" w:hint="eastAsia"/>
          <w:bCs/>
          <w:sz w:val="18"/>
          <w:szCs w:val="18"/>
        </w:rPr>
        <w:t>针对</w:t>
      </w:r>
      <w:r>
        <w:rPr>
          <w:rFonts w:asciiTheme="majorEastAsia" w:eastAsiaTheme="majorEastAsia" w:hAnsiTheme="majorEastAsia"/>
          <w:bCs/>
          <w:sz w:val="18"/>
          <w:szCs w:val="18"/>
        </w:rPr>
        <w:t>已经</w:t>
      </w:r>
      <w:r>
        <w:rPr>
          <w:rFonts w:asciiTheme="majorEastAsia" w:eastAsiaTheme="majorEastAsia" w:hAnsiTheme="majorEastAsia" w:hint="eastAsia"/>
          <w:bCs/>
          <w:sz w:val="18"/>
          <w:szCs w:val="18"/>
        </w:rPr>
        <w:t>确认</w:t>
      </w:r>
      <w:r>
        <w:rPr>
          <w:rFonts w:asciiTheme="majorEastAsia" w:eastAsiaTheme="majorEastAsia" w:hAnsiTheme="majorEastAsia"/>
          <w:bCs/>
          <w:sz w:val="18"/>
          <w:szCs w:val="18"/>
        </w:rPr>
        <w:t>的赎回申请</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可以延缓支付赎回款项。延缓支付赎回款项</w:t>
      </w:r>
      <w:r>
        <w:rPr>
          <w:rFonts w:asciiTheme="majorEastAsia" w:eastAsiaTheme="majorEastAsia" w:hAnsiTheme="majorEastAsia" w:hint="eastAsia"/>
          <w:bCs/>
          <w:sz w:val="18"/>
          <w:szCs w:val="18"/>
        </w:rPr>
        <w:t>的</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已经确认</w:t>
      </w:r>
      <w:r>
        <w:rPr>
          <w:rFonts w:asciiTheme="majorEastAsia" w:eastAsiaTheme="majorEastAsia" w:hAnsiTheme="majorEastAsia"/>
          <w:bCs/>
          <w:sz w:val="18"/>
          <w:szCs w:val="18"/>
        </w:rPr>
        <w:t>的赎回申请的</w:t>
      </w:r>
      <w:r>
        <w:rPr>
          <w:rFonts w:asciiTheme="majorEastAsia" w:eastAsiaTheme="majorEastAsia" w:hAnsiTheme="majorEastAsia" w:hint="eastAsia"/>
          <w:bCs/>
          <w:sz w:val="18"/>
          <w:szCs w:val="18"/>
        </w:rPr>
        <w:t>相应赎回</w:t>
      </w:r>
      <w:r>
        <w:rPr>
          <w:rFonts w:asciiTheme="majorEastAsia" w:eastAsiaTheme="majorEastAsia" w:hAnsiTheme="majorEastAsia"/>
          <w:bCs/>
          <w:sz w:val="18"/>
          <w:szCs w:val="18"/>
        </w:rPr>
        <w:t>款项将会在不超过20个工作日内支付</w:t>
      </w:r>
      <w:r>
        <w:rPr>
          <w:rFonts w:asciiTheme="majorEastAsia" w:eastAsiaTheme="majorEastAsia" w:hAnsiTheme="majorEastAsia" w:hint="eastAsia"/>
          <w:bCs/>
          <w:sz w:val="18"/>
          <w:szCs w:val="18"/>
        </w:rPr>
        <w:t>至</w:t>
      </w:r>
      <w:r>
        <w:rPr>
          <w:rFonts w:asciiTheme="majorEastAsia" w:eastAsiaTheme="majorEastAsia" w:hAnsiTheme="majorEastAsia"/>
          <w:bCs/>
          <w:sz w:val="18"/>
          <w:szCs w:val="18"/>
        </w:rPr>
        <w:t>投资者</w:t>
      </w:r>
      <w:r>
        <w:rPr>
          <w:rFonts w:asciiTheme="majorEastAsia" w:eastAsiaTheme="majorEastAsia" w:hAnsiTheme="majorEastAsia" w:hint="eastAsia"/>
          <w:bCs/>
          <w:sz w:val="18"/>
          <w:szCs w:val="18"/>
        </w:rPr>
        <w:t>。（3）法律法规规定或监管机构规定的其他措施。</w:t>
      </w:r>
    </w:p>
    <w:p w:rsidR="008C4D74" w:rsidRDefault="008C4D74" w:rsidP="008C4D74">
      <w:pPr>
        <w:widowControl/>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巨额赎回的公告</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在发生巨额赎回产品管理人暂停接受投资者预约赎回申请时，产品管理人将依约</w:t>
      </w:r>
      <w:proofErr w:type="gramStart"/>
      <w:r>
        <w:rPr>
          <w:rFonts w:asciiTheme="majorEastAsia" w:eastAsiaTheme="majorEastAsia" w:hAnsiTheme="majorEastAsia" w:hint="eastAsia"/>
          <w:bCs/>
          <w:color w:val="auto"/>
          <w:sz w:val="18"/>
          <w:szCs w:val="18"/>
        </w:rPr>
        <w:t>定发布</w:t>
      </w:r>
      <w:proofErr w:type="gramEnd"/>
      <w:r>
        <w:rPr>
          <w:rFonts w:asciiTheme="majorEastAsia" w:eastAsiaTheme="majorEastAsia" w:hAnsiTheme="majorEastAsia" w:hint="eastAsia"/>
          <w:bCs/>
          <w:color w:val="auto"/>
          <w:sz w:val="18"/>
          <w:szCs w:val="18"/>
        </w:rPr>
        <w:t>相关公告信息。</w:t>
      </w:r>
    </w:p>
    <w:p w:rsidR="008C4D74" w:rsidRDefault="008C4D74" w:rsidP="008C4D74">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（八）</w:t>
      </w:r>
      <w:proofErr w:type="gramStart"/>
      <w:r>
        <w:rPr>
          <w:rFonts w:asciiTheme="majorEastAsia" w:eastAsiaTheme="majorEastAsia" w:hAnsiTheme="majorEastAsia" w:hint="eastAsia"/>
          <w:b/>
          <w:color w:val="auto"/>
          <w:sz w:val="18"/>
          <w:szCs w:val="18"/>
        </w:rPr>
        <w:t>日期遇非工作日</w:t>
      </w:r>
      <w:proofErr w:type="gramEnd"/>
      <w:r>
        <w:rPr>
          <w:rFonts w:asciiTheme="majorEastAsia" w:eastAsiaTheme="majorEastAsia" w:hAnsiTheme="majorEastAsia" w:hint="eastAsia"/>
          <w:b/>
          <w:color w:val="auto"/>
          <w:sz w:val="18"/>
          <w:szCs w:val="18"/>
        </w:rPr>
        <w:t>的调整</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前述日期（包括但不限于申购日、申购确认日、赎回日以及赎回确认日等）</w:t>
      </w:r>
      <w:proofErr w:type="gramStart"/>
      <w:r>
        <w:rPr>
          <w:rFonts w:asciiTheme="majorEastAsia" w:eastAsiaTheme="majorEastAsia" w:hAnsiTheme="majorEastAsia" w:hint="eastAsia"/>
          <w:color w:val="auto"/>
          <w:sz w:val="18"/>
          <w:szCs w:val="18"/>
        </w:rPr>
        <w:t>如遇非工作日</w:t>
      </w:r>
      <w:proofErr w:type="gramEnd"/>
      <w:r>
        <w:rPr>
          <w:rFonts w:asciiTheme="majorEastAsia" w:eastAsiaTheme="majorEastAsia" w:hAnsiTheme="majorEastAsia" w:hint="eastAsia"/>
          <w:color w:val="auto"/>
          <w:sz w:val="18"/>
          <w:szCs w:val="18"/>
        </w:rPr>
        <w:t>则产品管理人可做相应调整。产品管理人对上述日期保留变更的权利，调整后的日期以产品管理人发布的公告中所载明的日期为准。</w:t>
      </w:r>
    </w:p>
    <w:p w:rsidR="008C4D74" w:rsidRDefault="008C4D74" w:rsidP="008C4D74">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（九）投资者持有理财份额的限额和理财产品总规模限额</w:t>
      </w:r>
    </w:p>
    <w:p w:rsidR="008C4D74" w:rsidRDefault="008C4D74" w:rsidP="008C4D74">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8C4D74" w:rsidRDefault="008C4D74" w:rsidP="008C4D74">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p w:rsidR="008C4D74" w:rsidRDefault="008C4D74" w:rsidP="008C4D74">
      <w:pPr>
        <w:pStyle w:val="1"/>
        <w:spacing w:before="0" w:after="0"/>
        <w:jc w:val="center"/>
        <w:rPr>
          <w:rFonts w:ascii="Times New Roman"/>
          <w:sz w:val="30"/>
        </w:rPr>
      </w:pPr>
      <w:bookmarkStart w:id="88" w:name="_Toc29948"/>
      <w:bookmarkStart w:id="89" w:name="_Toc16265"/>
      <w:bookmarkStart w:id="90" w:name="_Toc22074"/>
      <w:bookmarkStart w:id="91" w:name="_Toc74065741"/>
      <w:bookmarkStart w:id="92" w:name="_Toc29784"/>
      <w:bookmarkStart w:id="93" w:name="_Toc90742321"/>
      <w:bookmarkStart w:id="94" w:name="_Toc24722"/>
      <w:bookmarkStart w:id="95" w:name="_Toc92377134"/>
      <w:bookmarkStart w:id="96" w:name="_Toc27226"/>
      <w:bookmarkStart w:id="97" w:name="_Toc79154668"/>
      <w:bookmarkStart w:id="98" w:name="_Toc3266"/>
      <w:bookmarkStart w:id="99" w:name="_Toc7151"/>
      <w:bookmarkStart w:id="100" w:name="_Toc90742390"/>
      <w:bookmarkStart w:id="101" w:name="_Toc90742688"/>
      <w:bookmarkStart w:id="102" w:name="_Toc6714"/>
      <w:bookmarkStart w:id="103" w:name="_Toc27189"/>
      <w:bookmarkStart w:id="104" w:name="_Toc15203"/>
      <w:bookmarkEnd w:id="82"/>
      <w:r>
        <w:rPr>
          <w:rFonts w:ascii="Times New Roman"/>
          <w:sz w:val="30"/>
        </w:rPr>
        <w:lastRenderedPageBreak/>
        <w:t>第</w:t>
      </w:r>
      <w:r>
        <w:rPr>
          <w:rFonts w:ascii="Times New Roman" w:hint="eastAsia"/>
          <w:sz w:val="30"/>
        </w:rPr>
        <w:t>五条</w:t>
      </w:r>
      <w:r>
        <w:rPr>
          <w:rFonts w:ascii="Times New Roman"/>
          <w:sz w:val="30"/>
        </w:rPr>
        <w:t xml:space="preserve">  </w:t>
      </w:r>
      <w:r>
        <w:rPr>
          <w:rFonts w:ascii="Times New Roman" w:hint="eastAsia"/>
          <w:sz w:val="30"/>
        </w:rPr>
        <w:t>理财产品的投资</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在严格控制组合风险的前提下，通过不断优化组合，力争实现超越业绩比较基准的收益。</w:t>
      </w:r>
    </w:p>
    <w:p w:rsidR="008C4D74" w:rsidRDefault="008C4D74" w:rsidP="008C4D74">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w:t>
      </w:r>
      <w:r>
        <w:rPr>
          <w:rFonts w:asciiTheme="majorEastAsia" w:eastAsiaTheme="majorEastAsia" w:hAnsiTheme="majorEastAsia"/>
          <w:bCs/>
          <w:sz w:val="18"/>
          <w:szCs w:val="18"/>
        </w:rPr>
        <w:t>主要投资范围包括但不限于</w:t>
      </w:r>
      <w:r>
        <w:rPr>
          <w:rFonts w:asciiTheme="majorEastAsia" w:eastAsiaTheme="majorEastAsia" w:hAnsiTheme="majorEastAsia" w:hint="eastAsia"/>
          <w:bCs/>
          <w:sz w:val="18"/>
          <w:szCs w:val="18"/>
        </w:rPr>
        <w:t>（实际投资范围可根据法律法规及监管规定进行调整）</w:t>
      </w:r>
      <w:r>
        <w:rPr>
          <w:rFonts w:asciiTheme="majorEastAsia" w:eastAsiaTheme="majorEastAsia" w:hAnsiTheme="majorEastAsia"/>
          <w:bCs/>
          <w:sz w:val="18"/>
          <w:szCs w:val="18"/>
        </w:rPr>
        <w:t>：</w:t>
      </w:r>
    </w:p>
    <w:p w:rsidR="008C4D74" w:rsidRDefault="008C4D74" w:rsidP="008C4D74">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（1）银行存款、债券逆回购、货币基金等货币市场工具及其它银行间和交易所资金融通工具；</w:t>
      </w:r>
    </w:p>
    <w:p w:rsidR="008C4D74" w:rsidRDefault="008C4D74" w:rsidP="008C4D74">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8C4D74" w:rsidRDefault="008C4D74" w:rsidP="008C4D74">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（3）符合监管要求的债权类资产。</w:t>
      </w:r>
    </w:p>
    <w:p w:rsidR="008C4D74" w:rsidRDefault="008C4D74" w:rsidP="008C4D74">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（4）以套期保值为目的的国债期货、利率互换、</w:t>
      </w:r>
      <w:r>
        <w:rPr>
          <w:rFonts w:asciiTheme="majorEastAsia" w:eastAsiaTheme="majorEastAsia" w:hAnsiTheme="majorEastAsia" w:hint="eastAsia"/>
          <w:bCs/>
          <w:color w:val="000000" w:themeColor="text1"/>
          <w:sz w:val="18"/>
          <w:szCs w:val="18"/>
        </w:rPr>
        <w:t>信用风险缓释工具、</w:t>
      </w:r>
      <w:r>
        <w:rPr>
          <w:rFonts w:asciiTheme="majorEastAsia" w:eastAsiaTheme="majorEastAsia" w:hAnsiTheme="majorEastAsia" w:hint="eastAsia"/>
          <w:bCs/>
          <w:sz w:val="18"/>
          <w:szCs w:val="18"/>
        </w:rPr>
        <w:t>债券借贷。</w:t>
      </w:r>
    </w:p>
    <w:p w:rsidR="008C4D74" w:rsidRDefault="008C4D74" w:rsidP="008C4D74">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rsidR="008C4D74" w:rsidRDefault="008C4D74" w:rsidP="008C4D74">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（6）其他风险不高于前述资产的资产。</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.投资组合比例：</w:t>
      </w:r>
    </w:p>
    <w:p w:rsidR="008C4D74" w:rsidRDefault="008C4D74" w:rsidP="008C4D74">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本产品投资于固定收益类资产的比例不低于产品总资产的</w:t>
      </w:r>
      <w:r>
        <w:rPr>
          <w:rFonts w:asciiTheme="majorEastAsia" w:eastAsiaTheme="majorEastAsia" w:hAnsiTheme="majorEastAsia"/>
          <w:bCs/>
          <w:sz w:val="18"/>
          <w:szCs w:val="18"/>
        </w:rPr>
        <w:t>80%</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p>
    <w:p w:rsidR="008C4D74" w:rsidRDefault="008C4D74" w:rsidP="008C4D74">
      <w:pPr>
        <w:autoSpaceDE w:val="0"/>
        <w:autoSpaceDN w:val="0"/>
        <w:adjustRightInd w:val="0"/>
        <w:spacing w:line="360" w:lineRule="auto"/>
        <w:ind w:firstLineChars="235" w:firstLine="423"/>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bCs/>
          <w:sz w:val="18"/>
          <w:szCs w:val="18"/>
        </w:rPr>
        <w:t>符合监管要求的非标准化债权类资产低于产品总资产的50%。</w:t>
      </w:r>
    </w:p>
    <w:p w:rsidR="008C4D74" w:rsidRDefault="008C4D74" w:rsidP="008C4D74">
      <w:pPr>
        <w:pStyle w:val="Default"/>
        <w:spacing w:line="360" w:lineRule="auto"/>
        <w:ind w:firstLineChars="235" w:firstLine="423"/>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kern w:val="2"/>
          <w:sz w:val="18"/>
          <w:szCs w:val="18"/>
        </w:rPr>
        <w:t>（3）</w:t>
      </w:r>
      <w:r>
        <w:rPr>
          <w:rFonts w:asciiTheme="majorEastAsia" w:eastAsiaTheme="majorEastAsia" w:hAnsiTheme="majorEastAsia" w:hint="eastAsia"/>
          <w:bCs/>
          <w:sz w:val="18"/>
          <w:szCs w:val="18"/>
        </w:rPr>
        <w:t>国债期货、利率互换、信用风险缓释工具等衍生品</w:t>
      </w:r>
      <w:r>
        <w:rPr>
          <w:rFonts w:asciiTheme="majorEastAsia" w:eastAsiaTheme="majorEastAsia" w:hAnsiTheme="majorEastAsia" w:hint="eastAsia"/>
          <w:bCs/>
          <w:color w:val="000000" w:themeColor="text1"/>
          <w:kern w:val="2"/>
          <w:sz w:val="18"/>
          <w:szCs w:val="18"/>
        </w:rPr>
        <w:t>占产品总资产比例低于20%。</w:t>
      </w:r>
    </w:p>
    <w:p w:rsidR="008C4D74" w:rsidRDefault="008C4D74" w:rsidP="008C4D74">
      <w:pPr>
        <w:autoSpaceDE w:val="0"/>
        <w:autoSpaceDN w:val="0"/>
        <w:adjustRightInd w:val="0"/>
        <w:spacing w:line="360" w:lineRule="auto"/>
        <w:ind w:firstLineChars="200" w:firstLine="361"/>
        <w:jc w:val="left"/>
      </w:pPr>
      <w:r>
        <w:rPr>
          <w:rFonts w:asciiTheme="majorEastAsia" w:eastAsiaTheme="majorEastAsia" w:hAnsiTheme="majorEastAsia" w:hint="eastAsia"/>
          <w:b/>
          <w:sz w:val="18"/>
          <w:szCs w:val="18"/>
        </w:rPr>
        <w:t>注：本产品可能投资不存在活跃交易市场，并且需要采用估值技术确定公允价值的资产，且投资上述资产的比例达到理财产品净资产50%以上。</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.如果法律法规对本协议约定投资组合比例限制进行变更的，以变更后的规定为准。</w:t>
      </w:r>
    </w:p>
    <w:p w:rsidR="008C4D74" w:rsidRDefault="008C4D74" w:rsidP="008C4D7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月内</w:t>
      </w:r>
      <w:r>
        <w:rPr>
          <w:rFonts w:asciiTheme="majorEastAsia" w:eastAsiaTheme="majorEastAsia" w:hAnsiTheme="majorEastAsia" w:hint="eastAsia"/>
          <w:bCs/>
          <w:sz w:val="18"/>
          <w:szCs w:val="18"/>
        </w:rPr>
        <w:t>使产品的投资组合比例符合本协议的有关约定，</w:t>
      </w:r>
      <w:r>
        <w:rPr>
          <w:rFonts w:asciiTheme="majorEastAsia" w:eastAsiaTheme="majorEastAsia" w:hAnsiTheme="majorEastAsia"/>
          <w:bCs/>
          <w:sz w:val="18"/>
          <w:szCs w:val="18"/>
        </w:rPr>
        <w:t>上</w:t>
      </w:r>
      <w:r>
        <w:rPr>
          <w:rFonts w:asciiTheme="majorEastAsia" w:eastAsiaTheme="majorEastAsia" w:hAnsiTheme="majorEastAsia"/>
          <w:bCs/>
          <w:sz w:val="18"/>
          <w:szCs w:val="18"/>
        </w:rPr>
        <w:lastRenderedPageBreak/>
        <w:t>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应当符合本协议</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金融市场发生重大变化导致理财产品投资比例暂时超出浮动区间且可能对理财产品收益产生重大影响的，产品管理人依约</w:t>
      </w:r>
      <w:proofErr w:type="gramStart"/>
      <w:r>
        <w:rPr>
          <w:rFonts w:asciiTheme="majorEastAsia" w:eastAsiaTheme="majorEastAsia" w:hAnsiTheme="majorEastAsia" w:hint="eastAsia"/>
          <w:bCs/>
          <w:sz w:val="18"/>
          <w:szCs w:val="18"/>
        </w:rPr>
        <w:t>定及时</w:t>
      </w:r>
      <w:proofErr w:type="gramEnd"/>
      <w:r>
        <w:rPr>
          <w:rFonts w:asciiTheme="majorEastAsia" w:eastAsiaTheme="majorEastAsia" w:hAnsiTheme="majorEastAsia" w:hint="eastAsia"/>
          <w:bCs/>
          <w:sz w:val="18"/>
          <w:szCs w:val="18"/>
        </w:rPr>
        <w:t>向投资者进行信息披露。</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eastAsia="黑体" w:hAnsi="黑体"/>
          <w:bCs/>
          <w:sz w:val="18"/>
          <w:szCs w:val="18"/>
        </w:rPr>
        <w:t>投资者有权不接受变更</w:t>
      </w:r>
      <w:r>
        <w:rPr>
          <w:rFonts w:ascii="黑体" w:eastAsia="黑体" w:hAnsi="黑体" w:hint="eastAsia"/>
          <w:bCs/>
          <w:sz w:val="18"/>
          <w:szCs w:val="18"/>
        </w:rPr>
        <w:t>，并通过赎回退出本产品。</w:t>
      </w:r>
    </w:p>
    <w:p w:rsidR="008C4D74" w:rsidRDefault="008C4D74" w:rsidP="008C4D74">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w:t>
      </w:r>
      <w:proofErr w:type="gramStart"/>
      <w:r>
        <w:rPr>
          <w:rFonts w:ascii="黑体" w:eastAsia="黑体" w:hAnsi="黑体"/>
          <w:bCs/>
          <w:sz w:val="18"/>
          <w:szCs w:val="18"/>
        </w:rPr>
        <w:t>作出</w:t>
      </w:r>
      <w:proofErr w:type="gramEnd"/>
      <w:r>
        <w:rPr>
          <w:rFonts w:ascii="黑体" w:eastAsia="黑体" w:hAnsi="黑体"/>
          <w:bCs/>
          <w:sz w:val="18"/>
          <w:szCs w:val="18"/>
        </w:rPr>
        <w:t>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w:t>
      </w:r>
      <w:r>
        <w:rPr>
          <w:rFonts w:ascii="黑体" w:eastAsia="黑体" w:hAnsi="黑体" w:hint="eastAsia"/>
          <w:bCs/>
          <w:sz w:val="18"/>
          <w:szCs w:val="18"/>
        </w:rPr>
        <w:t>协议</w:t>
      </w:r>
      <w:r>
        <w:rPr>
          <w:rFonts w:ascii="黑体" w:eastAsia="黑体" w:hAnsi="黑体"/>
          <w:bCs/>
          <w:sz w:val="18"/>
          <w:szCs w:val="18"/>
        </w:rPr>
        <w:t>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8C4D74" w:rsidRDefault="008C4D74" w:rsidP="008C4D74">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本</w:t>
      </w:r>
      <w:r>
        <w:rPr>
          <w:rFonts w:asciiTheme="majorEastAsia" w:eastAsiaTheme="majorEastAsia" w:hAnsiTheme="majorEastAsia" w:hint="eastAsia"/>
          <w:color w:val="auto"/>
          <w:sz w:val="18"/>
          <w:szCs w:val="18"/>
        </w:rPr>
        <w:t>产品投资单只证券或者单只公募证券投资基金的市值不得超过该理财产品净资产的</w:t>
      </w:r>
      <w:r>
        <w:rPr>
          <w:rFonts w:asciiTheme="majorEastAsia" w:eastAsiaTheme="majorEastAsia" w:hAnsiTheme="majorEastAsia"/>
          <w:color w:val="auto"/>
          <w:sz w:val="18"/>
          <w:szCs w:val="18"/>
        </w:rPr>
        <w:t>10%</w:t>
      </w:r>
      <w:r>
        <w:rPr>
          <w:rFonts w:asciiTheme="majorEastAsia" w:eastAsiaTheme="majorEastAsia" w:hAnsiTheme="majorEastAsia" w:hint="eastAsia"/>
          <w:color w:val="auto"/>
          <w:sz w:val="18"/>
          <w:szCs w:val="18"/>
        </w:rPr>
        <w:t>。</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（2）本产品管理人全部公募理财产品持有单只证券或单只公募证券投资基金的市值，不得超过该证券市值或该公募证券投资基金市值的30%。</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（3）本产品管理人全部理财产品持有单一上市公司发行的股票，不得超过该上市公司可流通股票的30%。</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（4）本产品管理人全部开放式公募理财产品投资单一上市公司发行的股票不得超过该上市公司可流通股票的15%。</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（5）本产品直接投资于流动性受限资产的市值在开放日不得超过该产品资产净值的15%。</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因证券市场波动、上市公司股票停牌、理财产品规模变动等因素导致理财产品不符合本款规定比例限制的，该理财产品不得主动新增投资流动性受限资产。</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6）每只开放式公募理财产品定期开放周期不低于90天的，在开放日及开放日前7个工作日内持有不低于该产品资产净值5%的现金或者到期日在一年以内的国债、中央银行票据和政策性金融债券。其他开放式公募理财产品均应当持续符合前款比例要求。</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（7）本产品每日确认且需当日支付的净赎回申请不超过前一工作日产品7个工作日可变现资产的可变现价值，银保监会另有规定的除外。在开放日前</w:t>
      </w:r>
      <w:proofErr w:type="gramStart"/>
      <w:r>
        <w:rPr>
          <w:rFonts w:asciiTheme="majorEastAsia" w:eastAsiaTheme="majorEastAsia" w:hAnsiTheme="majorEastAsia" w:hint="eastAsia"/>
          <w:bCs/>
          <w:kern w:val="0"/>
          <w:sz w:val="18"/>
          <w:szCs w:val="18"/>
        </w:rPr>
        <w:t>一</w:t>
      </w:r>
      <w:proofErr w:type="gramEnd"/>
      <w:r>
        <w:rPr>
          <w:rFonts w:asciiTheme="majorEastAsia" w:eastAsiaTheme="majorEastAsia" w:hAnsiTheme="majorEastAsia" w:hint="eastAsia"/>
          <w:bCs/>
          <w:kern w:val="0"/>
          <w:sz w:val="18"/>
          <w:szCs w:val="18"/>
        </w:rPr>
        <w:t>工作日内，本产品7个工作日可变现资产的可变现价</w:t>
      </w:r>
      <w:proofErr w:type="gramStart"/>
      <w:r>
        <w:rPr>
          <w:rFonts w:asciiTheme="majorEastAsia" w:eastAsiaTheme="majorEastAsia" w:hAnsiTheme="majorEastAsia" w:hint="eastAsia"/>
          <w:bCs/>
          <w:kern w:val="0"/>
          <w:sz w:val="18"/>
          <w:szCs w:val="18"/>
        </w:rPr>
        <w:t>值应当</w:t>
      </w:r>
      <w:proofErr w:type="gramEnd"/>
      <w:r>
        <w:rPr>
          <w:rFonts w:asciiTheme="majorEastAsia" w:eastAsiaTheme="majorEastAsia" w:hAnsiTheme="majorEastAsia" w:hint="eastAsia"/>
          <w:bCs/>
          <w:kern w:val="0"/>
          <w:sz w:val="18"/>
          <w:szCs w:val="18"/>
        </w:rPr>
        <w:t>不低于该产品资产净值的10%。</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（8）本产品因为流动性需要可开展存单质押、债券正回购等融资业务，本产品总资产不超过净资产的</w:t>
      </w:r>
      <w:r>
        <w:rPr>
          <w:rFonts w:asciiTheme="majorEastAsia" w:eastAsiaTheme="majorEastAsia" w:hAnsiTheme="majorEastAsia" w:hint="eastAsia"/>
          <w:bCs/>
          <w:kern w:val="0"/>
          <w:sz w:val="18"/>
          <w:szCs w:val="18"/>
        </w:rPr>
        <w:lastRenderedPageBreak/>
        <w:t>140%。</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（9）本产品投资资产</w:t>
      </w:r>
      <w:proofErr w:type="gramStart"/>
      <w:r>
        <w:rPr>
          <w:rFonts w:asciiTheme="majorEastAsia" w:eastAsiaTheme="majorEastAsia" w:hAnsiTheme="majorEastAsia" w:hint="eastAsia"/>
          <w:bCs/>
          <w:kern w:val="0"/>
          <w:sz w:val="18"/>
          <w:szCs w:val="18"/>
        </w:rPr>
        <w:t>组合久期不</w:t>
      </w:r>
      <w:proofErr w:type="gramEnd"/>
      <w:r>
        <w:rPr>
          <w:rFonts w:asciiTheme="majorEastAsia" w:eastAsiaTheme="majorEastAsia" w:hAnsiTheme="majorEastAsia" w:hint="eastAsia"/>
          <w:bCs/>
          <w:kern w:val="0"/>
          <w:sz w:val="18"/>
          <w:szCs w:val="18"/>
        </w:rPr>
        <w:t>超过【5】年。</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（10）本产品投资的各类债券主体（发行人或担保人）</w:t>
      </w:r>
      <w:proofErr w:type="gramStart"/>
      <w:r>
        <w:rPr>
          <w:rFonts w:asciiTheme="majorEastAsia" w:eastAsiaTheme="majorEastAsia" w:hAnsiTheme="majorEastAsia" w:hint="eastAsia"/>
          <w:bCs/>
          <w:kern w:val="0"/>
          <w:sz w:val="18"/>
          <w:szCs w:val="18"/>
        </w:rPr>
        <w:t>或债项</w:t>
      </w:r>
      <w:proofErr w:type="gramEnd"/>
      <w:r>
        <w:rPr>
          <w:rFonts w:asciiTheme="majorEastAsia" w:eastAsiaTheme="majorEastAsia" w:hAnsiTheme="majorEastAsia" w:hint="eastAsia"/>
          <w:bCs/>
          <w:kern w:val="0"/>
          <w:sz w:val="18"/>
          <w:szCs w:val="18"/>
        </w:rPr>
        <w:t>评级达到AA级（含）以上。</w:t>
      </w:r>
    </w:p>
    <w:p w:rsidR="008C4D74" w:rsidRDefault="008C4D74" w:rsidP="008C4D74">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w:t>
      </w:r>
      <w:r>
        <w:rPr>
          <w:rFonts w:asciiTheme="majorEastAsia" w:eastAsiaTheme="majorEastAsia" w:hAnsiTheme="majorEastAsia"/>
          <w:bCs/>
          <w:sz w:val="18"/>
          <w:szCs w:val="18"/>
        </w:rPr>
        <w:t>10个交易日内调整至符合要求，监管机构规定的特殊情形除外。本</w:t>
      </w:r>
      <w:r>
        <w:rPr>
          <w:rFonts w:asciiTheme="majorEastAsia" w:eastAsiaTheme="majorEastAsia" w:hAnsiTheme="majorEastAsia" w:hint="eastAsia"/>
          <w:bCs/>
          <w:kern w:val="0"/>
          <w:sz w:val="18"/>
          <w:szCs w:val="18"/>
        </w:rPr>
        <w:t>产品投资于国债、地方政府债券、中央银行票据、政府机构债券、政策性金融债券以及完全按照有关指数的构成比例进行投资的除外。</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w:t>
      </w:r>
      <w:proofErr w:type="gramStart"/>
      <w:r>
        <w:rPr>
          <w:rFonts w:ascii="宋体" w:hAnsi="宋体" w:hint="eastAsia"/>
          <w:bCs/>
          <w:sz w:val="18"/>
          <w:szCs w:val="18"/>
        </w:rPr>
        <w:t>档</w:t>
      </w:r>
      <w:proofErr w:type="gramEnd"/>
      <w:r>
        <w:rPr>
          <w:rFonts w:ascii="宋体" w:hAnsi="宋体" w:hint="eastAsia"/>
          <w:bCs/>
          <w:sz w:val="18"/>
          <w:szCs w:val="18"/>
        </w:rPr>
        <w:t>信贷资产支持证券。</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投资者发行的理财产品不得直接或间接投资于不良资产、不良资产支持证券，国务院银行业监督管理机构另有规定的除外。</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proofErr w:type="gramStart"/>
      <w:r>
        <w:rPr>
          <w:rFonts w:ascii="宋体" w:hAnsi="宋体" w:hint="eastAsia"/>
          <w:bCs/>
          <w:sz w:val="18"/>
          <w:szCs w:val="18"/>
        </w:rPr>
        <w:t>不</w:t>
      </w:r>
      <w:proofErr w:type="gramEnd"/>
      <w:r>
        <w:rPr>
          <w:rFonts w:ascii="宋体" w:hAnsi="宋体" w:hint="eastAsia"/>
          <w:bCs/>
          <w:sz w:val="18"/>
          <w:szCs w:val="18"/>
        </w:rPr>
        <w:t>持有金融牌照的机构发行的产品或管理的资产，金融资产投资公司的附属机构依法依规设立的私</w:t>
      </w:r>
      <w:proofErr w:type="gramStart"/>
      <w:r>
        <w:rPr>
          <w:rFonts w:ascii="宋体" w:hAnsi="宋体" w:hint="eastAsia"/>
          <w:bCs/>
          <w:sz w:val="18"/>
          <w:szCs w:val="18"/>
        </w:rPr>
        <w:t>募股权投资</w:t>
      </w:r>
      <w:proofErr w:type="gramEnd"/>
      <w:r>
        <w:rPr>
          <w:rFonts w:ascii="宋体" w:hAnsi="宋体" w:hint="eastAsia"/>
          <w:bCs/>
          <w:sz w:val="18"/>
          <w:szCs w:val="18"/>
        </w:rPr>
        <w:t>基金以及国务院银行业监督管理机构另有规定的除外。</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w:t>
      </w:r>
      <w:proofErr w:type="gramStart"/>
      <w:r>
        <w:rPr>
          <w:rFonts w:ascii="宋体" w:hAnsi="宋体" w:hint="eastAsia"/>
          <w:bCs/>
          <w:sz w:val="18"/>
          <w:szCs w:val="18"/>
        </w:rPr>
        <w:t>非机构</w:t>
      </w:r>
      <w:proofErr w:type="gramEnd"/>
      <w:r>
        <w:rPr>
          <w:rFonts w:ascii="宋体" w:hAnsi="宋体" w:hint="eastAsia"/>
          <w:bCs/>
          <w:sz w:val="18"/>
          <w:szCs w:val="18"/>
        </w:rPr>
        <w:t>投资者发行的理财产品不得直接或间接投资于不良资产受（收）益权。</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w:t>
      </w:r>
      <w:r>
        <w:rPr>
          <w:rFonts w:asciiTheme="majorEastAsia" w:eastAsiaTheme="majorEastAsia" w:hAnsiTheme="majorEastAsia" w:hint="eastAsia"/>
          <w:bCs/>
          <w:sz w:val="18"/>
          <w:szCs w:val="18"/>
        </w:rPr>
        <w:t>协议</w:t>
      </w:r>
      <w:r>
        <w:rPr>
          <w:rFonts w:asciiTheme="majorEastAsia" w:eastAsiaTheme="majorEastAsia" w:hAnsiTheme="majorEastAsia"/>
          <w:bCs/>
          <w:sz w:val="18"/>
          <w:szCs w:val="18"/>
        </w:rPr>
        <w:t>约定的投资限制进行变更的，以变更后的规定为准。</w:t>
      </w:r>
    </w:p>
    <w:p w:rsidR="008C4D74" w:rsidRDefault="008C4D74" w:rsidP="008C4D7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通过对经济基本面、企业盈利、无风险利率水平、资金面等因素进行定性和定量分析，根据产品的业绩目标和回撤目标制定各个阶段产品股债投资比例。</w:t>
      </w:r>
    </w:p>
    <w:p w:rsidR="008C4D74" w:rsidRDefault="008C4D74" w:rsidP="008C4D74">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本产品将密切关注股票、债券以及货币市场的运行状况与风险收益特征，综合分析宏观经济基本面、政策面、流动性、估值与供求等因素，判断金融市场运行趋势和不同资产类别的相对投资价值，对各大类资产的风险收益特征进行评估，在符合本产品相关投资比例规定的前提下，确定各类属资产的配置比例，并依据各因素的动态变化进行及时调整。</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 xml:space="preserve">（五）业绩比较基准 </w:t>
      </w:r>
    </w:p>
    <w:p w:rsidR="008C4D74" w:rsidRDefault="008C4D74" w:rsidP="008C4D74">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bCs/>
          <w:sz w:val="18"/>
          <w:szCs w:val="18"/>
        </w:rPr>
        <w:t xml:space="preserve"> 产品管理人</w:t>
      </w:r>
      <w:r>
        <w:rPr>
          <w:rFonts w:asciiTheme="majorEastAsia" w:eastAsiaTheme="majorEastAsia" w:hAnsiTheme="majorEastAsia" w:hint="eastAsia"/>
          <w:sz w:val="18"/>
          <w:szCs w:val="18"/>
        </w:rPr>
        <w:t>设置</w:t>
      </w:r>
      <w:r>
        <w:rPr>
          <w:rFonts w:asciiTheme="majorEastAsia" w:eastAsiaTheme="majorEastAsia" w:hAnsiTheme="majorEastAsia"/>
          <w:sz w:val="18"/>
          <w:szCs w:val="18"/>
        </w:rPr>
        <w:t>业绩比较基准</w:t>
      </w:r>
      <w:r>
        <w:rPr>
          <w:rFonts w:asciiTheme="majorEastAsia" w:eastAsiaTheme="majorEastAsia" w:hAnsiTheme="majorEastAsia" w:hint="eastAsia"/>
          <w:sz w:val="18"/>
          <w:szCs w:val="18"/>
        </w:rPr>
        <w:t>。</w:t>
      </w:r>
    </w:p>
    <w:p w:rsidR="008C4D74" w:rsidRDefault="008C4D74" w:rsidP="008C4D74">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1.产品管理人设置业绩比较基准</w:t>
      </w:r>
      <w:r>
        <w:rPr>
          <w:rFonts w:asciiTheme="majorEastAsia" w:eastAsiaTheme="majorEastAsia" w:hAnsiTheme="majorEastAsia"/>
          <w:sz w:val="18"/>
          <w:szCs w:val="18"/>
        </w:rPr>
        <w:t>并</w:t>
      </w:r>
      <w:r>
        <w:rPr>
          <w:rFonts w:asciiTheme="majorEastAsia" w:eastAsiaTheme="majorEastAsia" w:hAnsiTheme="majorEastAsia" w:hint="eastAsia"/>
          <w:sz w:val="18"/>
          <w:szCs w:val="18"/>
        </w:rPr>
        <w:t>进行</w:t>
      </w:r>
      <w:r>
        <w:rPr>
          <w:rFonts w:asciiTheme="majorEastAsia" w:eastAsiaTheme="majorEastAsia" w:hAnsiTheme="majorEastAsia"/>
          <w:sz w:val="18"/>
          <w:szCs w:val="18"/>
        </w:rPr>
        <w:t>公告，</w:t>
      </w:r>
      <w:r>
        <w:rPr>
          <w:rFonts w:asciiTheme="majorEastAsia" w:eastAsiaTheme="majorEastAsia" w:hAnsiTheme="majorEastAsia" w:hint="eastAsia"/>
          <w:sz w:val="18"/>
          <w:szCs w:val="18"/>
        </w:rPr>
        <w:t>具体以当期《产品说明书》</w:t>
      </w:r>
      <w:r>
        <w:rPr>
          <w:rFonts w:asciiTheme="minorEastAsia" w:eastAsiaTheme="minorEastAsia" w:hAnsiTheme="minorEastAsia" w:hint="eastAsia"/>
          <w:sz w:val="18"/>
          <w:szCs w:val="18"/>
        </w:rPr>
        <w:t xml:space="preserve"> “第二条 理财产品基本情况”</w:t>
      </w:r>
      <w:r>
        <w:rPr>
          <w:rFonts w:asciiTheme="majorEastAsia" w:eastAsiaTheme="majorEastAsia" w:hAnsiTheme="majorEastAsia" w:hint="eastAsia"/>
          <w:sz w:val="18"/>
          <w:szCs w:val="18"/>
        </w:rPr>
        <w:t>为准。</w:t>
      </w:r>
    </w:p>
    <w:p w:rsidR="008C4D74" w:rsidRDefault="008C4D74" w:rsidP="008C4D74">
      <w:pPr>
        <w:pStyle w:val="HTML"/>
        <w:shd w:val="clear" w:color="auto" w:fill="FFFFFF"/>
        <w:spacing w:line="360" w:lineRule="auto"/>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cs="仿宋_GB2312" w:hint="eastAsia"/>
          <w:bCs/>
          <w:sz w:val="18"/>
          <w:szCs w:val="18"/>
        </w:rPr>
        <w:t>★</w:t>
      </w:r>
      <w:r>
        <w:rPr>
          <w:rFonts w:ascii="黑体" w:eastAsia="黑体" w:hAnsi="黑体" w:hint="eastAsia"/>
          <w:sz w:val="18"/>
          <w:szCs w:val="18"/>
        </w:rPr>
        <w:t>业绩比较基准</w:t>
      </w:r>
      <w:r>
        <w:rPr>
          <w:rFonts w:ascii="黑体" w:eastAsia="黑体" w:hAnsi="黑体" w:hint="eastAsia"/>
          <w:bCs/>
          <w:sz w:val="18"/>
          <w:szCs w:val="18"/>
        </w:rPr>
        <w:t>不代表理财产品未来表现，不等于理财产品实际收益，不作为产品收益的业绩保证，投资须谨慎。</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sz w:val="18"/>
          <w:szCs w:val="18"/>
        </w:rPr>
        <w:t>3.</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产品管理人不设置业绩比较基准。</w:t>
      </w:r>
    </w:p>
    <w:p w:rsidR="008C4D74" w:rsidRDefault="008C4D74" w:rsidP="008C4D74">
      <w:pPr>
        <w:autoSpaceDE w:val="0"/>
        <w:autoSpaceDN w:val="0"/>
        <w:adjustRightInd w:val="0"/>
        <w:spacing w:line="360" w:lineRule="auto"/>
        <w:ind w:firstLineChars="200" w:firstLine="361"/>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（六）业绩报酬计提基准</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sz w:val="18"/>
          <w:szCs w:val="18"/>
        </w:rPr>
        <w:t>■</w:t>
      </w:r>
      <w:r>
        <w:rPr>
          <w:rFonts w:asciiTheme="majorEastAsia" w:eastAsiaTheme="majorEastAsia" w:hAnsiTheme="majorEastAsia" w:hint="eastAsia"/>
          <w:kern w:val="0"/>
          <w:sz w:val="18"/>
          <w:szCs w:val="18"/>
        </w:rPr>
        <w:t xml:space="preserve"> 产品管理人设置业绩报酬计提基准。</w:t>
      </w:r>
    </w:p>
    <w:p w:rsidR="008C4D74" w:rsidRDefault="008C4D74" w:rsidP="008C4D74">
      <w:pPr>
        <w:pStyle w:val="HTML"/>
        <w:shd w:val="clear" w:color="auto" w:fill="FFFFFF"/>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hint="eastAsia"/>
          <w:sz w:val="18"/>
          <w:szCs w:val="18"/>
        </w:rPr>
        <w:t>1.产品管理人设置业绩报酬计提基准并进行公告，具体以当期《产品说明书》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8C4D74" w:rsidRDefault="008C4D74" w:rsidP="008C4D74">
      <w:pPr>
        <w:pStyle w:val="HTML"/>
        <w:shd w:val="clear" w:color="auto" w:fill="FFFFFF"/>
        <w:spacing w:line="360" w:lineRule="auto"/>
        <w:ind w:firstLineChars="200" w:firstLine="360"/>
        <w:rPr>
          <w:rFonts w:ascii="黑体" w:eastAsia="黑体" w:hAnsi="黑体"/>
          <w:sz w:val="18"/>
          <w:szCs w:val="18"/>
        </w:rPr>
      </w:pPr>
      <w:r>
        <w:rPr>
          <w:rFonts w:ascii="黑体" w:eastAsia="黑体" w:hAnsi="黑体" w:hint="eastAsia"/>
          <w:sz w:val="18"/>
          <w:szCs w:val="18"/>
        </w:rPr>
        <w:t>2.★业绩报酬计提基准仅作为管理人收取超额业绩报酬的参照，不代表理财产品未来表现，不等于理财产品实际收益，不作为产品收益的业绩保证，投资须谨慎。</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3.如果今后法律法规发生变化，或者有其他代表性更强、更科学客观的业绩报酬计提基准适用于本产品时，经产品管理人和产品托管人协商一致后，本产品可以变更业绩报酬计提基准并及时公告。</w:t>
      </w:r>
    </w:p>
    <w:p w:rsidR="008C4D74" w:rsidRDefault="008C4D74" w:rsidP="008C4D74">
      <w:pPr>
        <w:autoSpaceDE w:val="0"/>
        <w:autoSpaceDN w:val="0"/>
        <w:adjustRightInd w:val="0"/>
        <w:spacing w:line="360" w:lineRule="auto"/>
        <w:ind w:firstLineChars="200" w:firstLine="360"/>
        <w:jc w:val="left"/>
        <w:rPr>
          <w:rFonts w:asciiTheme="majorEastAsia" w:eastAsiaTheme="majorEastAsia" w:hAnsiTheme="majorEastAsia"/>
          <w:kern w:val="0"/>
          <w:sz w:val="18"/>
          <w:szCs w:val="18"/>
        </w:rPr>
      </w:pPr>
      <w:r>
        <w:rPr>
          <w:rFonts w:asciiTheme="majorEastAsia" w:eastAsiaTheme="majorEastAsia" w:hAnsiTheme="majorEastAsia" w:hint="eastAsia"/>
          <w:kern w:val="0"/>
          <w:sz w:val="18"/>
          <w:szCs w:val="18"/>
        </w:rPr>
        <w:t>□ 产品管理人不设置业绩报酬计提基准。</w:t>
      </w:r>
    </w:p>
    <w:p w:rsidR="008C4D74" w:rsidRDefault="008C4D74" w:rsidP="008C4D74">
      <w:pPr>
        <w:pStyle w:val="HTML"/>
        <w:spacing w:line="360" w:lineRule="auto"/>
        <w:ind w:firstLineChars="200" w:firstLine="360"/>
        <w:rPr>
          <w:rFonts w:asciiTheme="majorEastAsia" w:eastAsiaTheme="majorEastAsia" w:hAnsiTheme="majorEastAsia"/>
          <w:sz w:val="18"/>
          <w:szCs w:val="18"/>
        </w:rPr>
      </w:pPr>
      <w:r>
        <w:rPr>
          <w:rFonts w:asciiTheme="majorEastAsia" w:eastAsiaTheme="majorEastAsia" w:hAnsiTheme="majorEastAsia"/>
          <w:sz w:val="18"/>
          <w:szCs w:val="18"/>
        </w:rPr>
        <w:br w:type="page"/>
      </w:r>
    </w:p>
    <w:p w:rsidR="008C4D74" w:rsidRDefault="008C4D74" w:rsidP="008C4D74">
      <w:pPr>
        <w:pStyle w:val="1"/>
        <w:spacing w:before="0" w:after="0"/>
        <w:jc w:val="center"/>
        <w:rPr>
          <w:rFonts w:ascii="Times New Roman"/>
          <w:sz w:val="30"/>
        </w:rPr>
      </w:pPr>
      <w:bookmarkStart w:id="105" w:name="_Toc1823"/>
      <w:bookmarkStart w:id="106" w:name="_Toc14893"/>
      <w:bookmarkStart w:id="107" w:name="_Toc92377135"/>
      <w:bookmarkStart w:id="108" w:name="_Toc79154669"/>
      <w:bookmarkStart w:id="109" w:name="_Toc27357"/>
      <w:bookmarkStart w:id="110" w:name="_Toc18526"/>
      <w:bookmarkStart w:id="111" w:name="_Toc18329"/>
      <w:bookmarkStart w:id="112" w:name="_Toc17912"/>
      <w:bookmarkStart w:id="113" w:name="_Toc7848"/>
      <w:bookmarkStart w:id="114" w:name="_Toc139991735"/>
      <w:bookmarkStart w:id="115" w:name="_Toc18797"/>
      <w:bookmarkStart w:id="116" w:name="_Toc4741"/>
      <w:bookmarkStart w:id="117" w:name="_Toc141703885"/>
      <w:bookmarkStart w:id="118" w:name="_Toc26986"/>
      <w:bookmarkStart w:id="119" w:name="_Toc74065742"/>
      <w:bookmarkStart w:id="120" w:name="_Toc21988"/>
      <w:r>
        <w:rPr>
          <w:rFonts w:ascii="Times New Roman"/>
          <w:sz w:val="30"/>
        </w:rPr>
        <w:lastRenderedPageBreak/>
        <w:t>第</w:t>
      </w:r>
      <w:r>
        <w:rPr>
          <w:rFonts w:ascii="Times New Roman" w:hint="eastAsia"/>
          <w:sz w:val="30"/>
        </w:rPr>
        <w:t>六条</w:t>
      </w:r>
      <w:r>
        <w:rPr>
          <w:rFonts w:ascii="Times New Roman"/>
          <w:sz w:val="30"/>
        </w:rPr>
        <w:t xml:space="preserve">  </w:t>
      </w:r>
      <w:r>
        <w:rPr>
          <w:rFonts w:ascii="Times New Roman" w:hint="eastAsia"/>
          <w:sz w:val="30"/>
        </w:rPr>
        <w:t>理财产品的资产</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bookmarkStart w:id="121" w:name="_Hlk490214295"/>
      <w:r>
        <w:rPr>
          <w:rFonts w:asciiTheme="majorEastAsia" w:eastAsiaTheme="majorEastAsia" w:hAnsiTheme="majorEastAsia" w:hint="eastAsia"/>
          <w:b/>
          <w:color w:val="auto"/>
          <w:sz w:val="18"/>
          <w:szCs w:val="18"/>
        </w:rPr>
        <w:t>（一）理财产品的资产的保管和处分</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w:t>
      </w:r>
      <w:proofErr w:type="gramStart"/>
      <w:r>
        <w:rPr>
          <w:rFonts w:asciiTheme="majorEastAsia" w:eastAsiaTheme="majorEastAsia" w:hAnsiTheme="majorEastAsia" w:hint="eastAsia"/>
          <w:color w:val="auto"/>
          <w:sz w:val="18"/>
          <w:szCs w:val="18"/>
        </w:rPr>
        <w:t>律法规</w:t>
      </w:r>
      <w:proofErr w:type="gramEnd"/>
      <w:r>
        <w:rPr>
          <w:rFonts w:asciiTheme="majorEastAsia" w:eastAsiaTheme="majorEastAsia" w:hAnsiTheme="majorEastAsia" w:hint="eastAsia"/>
          <w:color w:val="auto"/>
          <w:sz w:val="18"/>
          <w:szCs w:val="18"/>
        </w:rPr>
        <w:t>规定的处分外，理财产品的资产不得被处分。</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；产品管理人管理运作不同产品的理财财产所产生的债权债务不得相互</w:t>
      </w:r>
      <w:proofErr w:type="gramStart"/>
      <w:r>
        <w:rPr>
          <w:rFonts w:asciiTheme="majorEastAsia" w:eastAsiaTheme="majorEastAsia" w:hAnsiTheme="majorEastAsia" w:hint="eastAsia"/>
          <w:color w:val="auto"/>
          <w:sz w:val="18"/>
          <w:szCs w:val="18"/>
        </w:rPr>
        <w:t>抵销</w:t>
      </w:r>
      <w:proofErr w:type="gramEnd"/>
      <w:r>
        <w:rPr>
          <w:rFonts w:asciiTheme="majorEastAsia" w:eastAsiaTheme="majorEastAsia" w:hAnsiTheme="majorEastAsia" w:hint="eastAsia"/>
          <w:color w:val="auto"/>
          <w:sz w:val="18"/>
          <w:szCs w:val="18"/>
        </w:rPr>
        <w:t>。</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8C4D74" w:rsidRDefault="008C4D74" w:rsidP="008C4D74">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8C4D74" w:rsidRDefault="008C4D74" w:rsidP="008C4D74">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8C4D74" w:rsidRDefault="008C4D74" w:rsidP="008C4D74">
      <w:pPr>
        <w:pStyle w:val="1"/>
        <w:spacing w:before="0" w:after="0"/>
        <w:jc w:val="center"/>
        <w:rPr>
          <w:rFonts w:ascii="Times New Roman"/>
          <w:sz w:val="28"/>
          <w:szCs w:val="28"/>
        </w:rPr>
      </w:pPr>
      <w:bookmarkStart w:id="122" w:name="_Toc10162"/>
      <w:bookmarkStart w:id="123" w:name="_Toc83391971"/>
      <w:bookmarkStart w:id="124" w:name="_Toc92377136"/>
      <w:bookmarkStart w:id="125" w:name="_Toc1270"/>
      <w:bookmarkStart w:id="126" w:name="_Toc23822"/>
      <w:bookmarkStart w:id="127" w:name="_Toc10463"/>
      <w:bookmarkStart w:id="128" w:name="_Toc123112234"/>
      <w:bookmarkStart w:id="129" w:name="_Toc4003"/>
      <w:bookmarkStart w:id="130" w:name="_Toc74065743"/>
      <w:bookmarkStart w:id="131" w:name="_Toc98560352"/>
      <w:bookmarkStart w:id="132" w:name="_Toc79392606"/>
      <w:bookmarkStart w:id="133" w:name="_Toc141703886"/>
      <w:bookmarkStart w:id="134" w:name="_Toc123051452"/>
      <w:bookmarkStart w:id="135" w:name="_Toc17244"/>
      <w:bookmarkStart w:id="136" w:name="_Toc20733"/>
      <w:bookmarkStart w:id="137" w:name="_Toc139991736"/>
      <w:bookmarkStart w:id="138" w:name="_Toc48649707"/>
      <w:bookmarkStart w:id="139" w:name="_Toc610"/>
      <w:bookmarkStart w:id="140" w:name="_Toc123102453"/>
      <w:bookmarkStart w:id="141" w:name="_Toc23261"/>
      <w:bookmarkStart w:id="142" w:name="_Toc79154670"/>
      <w:bookmarkStart w:id="143" w:name="_Toc1427"/>
      <w:bookmarkStart w:id="144" w:name="_Toc7920"/>
      <w:bookmarkEnd w:id="121"/>
      <w:r>
        <w:rPr>
          <w:rFonts w:ascii="Times New Roman" w:hint="eastAsia"/>
          <w:sz w:val="28"/>
          <w:szCs w:val="28"/>
        </w:rPr>
        <w:lastRenderedPageBreak/>
        <w:t>第七条</w:t>
      </w:r>
      <w:r>
        <w:rPr>
          <w:rFonts w:ascii="Times New Roman"/>
          <w:sz w:val="28"/>
          <w:szCs w:val="28"/>
        </w:rPr>
        <w:t xml:space="preserve">  </w:t>
      </w:r>
      <w:r>
        <w:rPr>
          <w:rFonts w:ascii="Times New Roman" w:hint="eastAsia"/>
          <w:sz w:val="28"/>
          <w:szCs w:val="28"/>
        </w:rPr>
        <w:t>理财产品项下资产的估值</w:t>
      </w:r>
      <w:bookmarkEnd w:id="122"/>
      <w:bookmarkEnd w:id="123"/>
      <w:bookmarkEnd w:id="124"/>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（一）估值目的</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理财资产估值的目的是客观、准确地反映理财资产是否保值、增值。</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（二）估值频率</w:t>
      </w:r>
    </w:p>
    <w:p w:rsidR="008C4D74" w:rsidRDefault="008C4D74" w:rsidP="008C4D74">
      <w:pPr>
        <w:pStyle w:val="HTML"/>
        <w:spacing w:line="360" w:lineRule="auto"/>
        <w:ind w:firstLineChars="200" w:firstLine="360"/>
        <w:rPr>
          <w:rFonts w:asciiTheme="minorEastAsia" w:eastAsiaTheme="minorEastAsia" w:hAnsiTheme="minorEastAsia"/>
          <w:color w:val="2E3033"/>
          <w:sz w:val="18"/>
          <w:szCs w:val="18"/>
        </w:rPr>
      </w:pPr>
      <w:r>
        <w:rPr>
          <w:rFonts w:asciiTheme="minorEastAsia" w:eastAsiaTheme="minorEastAsia" w:hAnsiTheme="minorEastAsia" w:hint="eastAsia"/>
          <w:sz w:val="18"/>
          <w:szCs w:val="18"/>
        </w:rPr>
        <w:t>本产品存续期间</w:t>
      </w:r>
      <w:r>
        <w:rPr>
          <w:rFonts w:asciiTheme="minorEastAsia" w:eastAsiaTheme="minorEastAsia" w:hAnsiTheme="minorEastAsia" w:cs="Times New Roman" w:hint="eastAsia"/>
          <w:sz w:val="18"/>
          <w:szCs w:val="18"/>
        </w:rPr>
        <w:t>，每周进行一次估值。如</w:t>
      </w:r>
      <w:proofErr w:type="gramStart"/>
      <w:r>
        <w:rPr>
          <w:rFonts w:asciiTheme="minorEastAsia" w:eastAsiaTheme="minorEastAsia" w:hAnsiTheme="minorEastAsia" w:cs="Times New Roman" w:hint="eastAsia"/>
          <w:sz w:val="18"/>
          <w:szCs w:val="18"/>
        </w:rPr>
        <w:t>遇产品</w:t>
      </w:r>
      <w:proofErr w:type="gramEnd"/>
      <w:r>
        <w:rPr>
          <w:rFonts w:asciiTheme="minorEastAsia" w:eastAsiaTheme="minorEastAsia" w:hAnsiTheme="minorEastAsia" w:cs="Times New Roman"/>
          <w:sz w:val="18"/>
          <w:szCs w:val="18"/>
        </w:rPr>
        <w:t>申购</w:t>
      </w:r>
      <w:r>
        <w:rPr>
          <w:rFonts w:asciiTheme="minorEastAsia" w:eastAsiaTheme="minorEastAsia" w:hAnsiTheme="minorEastAsia" w:cs="Times New Roman" w:hint="eastAsia"/>
          <w:sz w:val="18"/>
          <w:szCs w:val="18"/>
        </w:rPr>
        <w:t>日</w:t>
      </w:r>
      <w:r>
        <w:rPr>
          <w:rFonts w:asciiTheme="minorEastAsia" w:eastAsiaTheme="minorEastAsia" w:hAnsiTheme="minorEastAsia" w:cs="Times New Roman"/>
          <w:sz w:val="18"/>
          <w:szCs w:val="18"/>
        </w:rPr>
        <w:t>/赎回</w:t>
      </w:r>
      <w:r>
        <w:rPr>
          <w:rFonts w:asciiTheme="minorEastAsia" w:eastAsiaTheme="minorEastAsia" w:hAnsiTheme="minorEastAsia" w:cs="Times New Roman" w:hint="eastAsia"/>
          <w:sz w:val="18"/>
          <w:szCs w:val="18"/>
        </w:rPr>
        <w:t>日、季度</w:t>
      </w:r>
      <w:r>
        <w:rPr>
          <w:rFonts w:asciiTheme="minorEastAsia" w:eastAsiaTheme="minorEastAsia" w:hAnsiTheme="minorEastAsia" w:cs="Times New Roman"/>
          <w:sz w:val="18"/>
          <w:szCs w:val="18"/>
        </w:rPr>
        <w:t>、半年度、年度</w:t>
      </w:r>
      <w:r>
        <w:rPr>
          <w:rFonts w:asciiTheme="minorEastAsia" w:eastAsiaTheme="minorEastAsia" w:hAnsiTheme="minorEastAsia" w:cs="Times New Roman" w:hint="eastAsia"/>
          <w:sz w:val="18"/>
          <w:szCs w:val="18"/>
        </w:rPr>
        <w:t>末等时间节点管理</w:t>
      </w:r>
      <w:r>
        <w:rPr>
          <w:rFonts w:asciiTheme="minorEastAsia" w:eastAsiaTheme="minorEastAsia" w:hAnsiTheme="minorEastAsia" w:cs="Times New Roman"/>
          <w:sz w:val="18"/>
          <w:szCs w:val="18"/>
        </w:rPr>
        <w:t>人将</w:t>
      </w:r>
      <w:r>
        <w:rPr>
          <w:rFonts w:asciiTheme="minorEastAsia" w:eastAsiaTheme="minorEastAsia" w:hAnsiTheme="minorEastAsia" w:cs="Times New Roman" w:hint="eastAsia"/>
          <w:sz w:val="18"/>
          <w:szCs w:val="18"/>
        </w:rPr>
        <w:t>增加估值日</w:t>
      </w:r>
      <w:r>
        <w:rPr>
          <w:rFonts w:asciiTheme="minorEastAsia" w:eastAsiaTheme="minorEastAsia" w:hAnsiTheme="minorEastAsia" w:hint="eastAsia"/>
          <w:color w:val="2E3033"/>
          <w:sz w:val="18"/>
          <w:szCs w:val="18"/>
        </w:rPr>
        <w:t>。</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（三）估值对象</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本产品所拥有的各类证券、资产管理产品、银行存款、应收款项、其它投资等资产及负债。</w:t>
      </w:r>
    </w:p>
    <w:p w:rsidR="008C4D74" w:rsidRDefault="008C4D74" w:rsidP="008C4D74">
      <w:pPr>
        <w:pStyle w:val="Default"/>
        <w:spacing w:line="360" w:lineRule="auto"/>
        <w:ind w:firstLineChars="200" w:firstLine="361"/>
        <w:rPr>
          <w:rFonts w:asciiTheme="minorEastAsia" w:eastAsiaTheme="minorEastAsia" w:hAnsiTheme="minorEastAsia"/>
          <w:b/>
          <w:sz w:val="18"/>
          <w:szCs w:val="18"/>
        </w:rPr>
      </w:pPr>
      <w:r>
        <w:rPr>
          <w:rFonts w:asciiTheme="minorEastAsia" w:eastAsiaTheme="minorEastAsia" w:hAnsiTheme="minorEastAsia" w:hint="eastAsia"/>
          <w:b/>
          <w:sz w:val="18"/>
          <w:szCs w:val="18"/>
        </w:rPr>
        <w:t>（四）估值方法</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w:t>
      </w:r>
      <w:r>
        <w:rPr>
          <w:rFonts w:asciiTheme="minorEastAsia" w:eastAsiaTheme="minorEastAsia" w:hAnsiTheme="minorEastAsia" w:hint="eastAsia"/>
          <w:b/>
          <w:color w:val="auto"/>
          <w:sz w:val="18"/>
          <w:szCs w:val="18"/>
        </w:rPr>
        <w:t>标准化债权类资产估值</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1）债券类资产以公允价值计量，主要依据为第三方估值机构提供的价格数据。</w:t>
      </w:r>
      <w:r>
        <w:rPr>
          <w:rFonts w:asciiTheme="majorEastAsia" w:eastAsiaTheme="majorEastAsia" w:hAnsiTheme="majorEastAsia" w:hint="eastAsia"/>
          <w:bCs/>
          <w:color w:val="auto"/>
          <w:sz w:val="18"/>
          <w:szCs w:val="18"/>
        </w:rPr>
        <w:t>第三方估值机构包括：中央国债登记结算公司和中证指数有限公司。</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2）在证券交易所上市的债券，如第三方估值机构提供的估值价格与市场收盘价存在差异，且管理人认为收盘价更能体现其公允价值，可与托管人协商一致后采用收盘价进行估值。</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对在交易所上市的资产支持证券和私募债，鉴于其不存在活跃市场，或未来现金</w:t>
      </w:r>
      <w:proofErr w:type="gramStart"/>
      <w:r>
        <w:rPr>
          <w:rFonts w:asciiTheme="majorEastAsia" w:eastAsiaTheme="majorEastAsia" w:hAnsiTheme="majorEastAsia" w:hint="eastAsia"/>
          <w:bCs/>
          <w:color w:val="auto"/>
          <w:sz w:val="18"/>
          <w:szCs w:val="18"/>
        </w:rPr>
        <w:t>流难以</w:t>
      </w:r>
      <w:proofErr w:type="gramEnd"/>
      <w:r>
        <w:rPr>
          <w:rFonts w:asciiTheme="majorEastAsia" w:eastAsiaTheme="majorEastAsia" w:hAnsiTheme="majorEastAsia" w:hint="eastAsia"/>
          <w:bCs/>
          <w:color w:val="auto"/>
          <w:sz w:val="18"/>
          <w:szCs w:val="18"/>
        </w:rPr>
        <w:t>确定，导致第三方估值数据和市场收盘价均无法准确反映其公允价值的，可采用估值技术对其进行估值，管理人会对估值模型的有效性进行持续有效评估，并尽可能地予以修正。</w:t>
      </w:r>
      <w:r>
        <w:rPr>
          <w:rFonts w:asciiTheme="majorEastAsia" w:eastAsiaTheme="majorEastAsia" w:hAnsiTheme="majorEastAsia"/>
          <w:bCs/>
          <w:color w:val="auto"/>
          <w:sz w:val="18"/>
          <w:szCs w:val="18"/>
        </w:rPr>
        <w:t xml:space="preserve"> </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(4)</w:t>
      </w:r>
      <w:r>
        <w:rPr>
          <w:rFonts w:asciiTheme="majorEastAsia" w:eastAsiaTheme="majorEastAsia" w:hAnsiTheme="majorEastAsia" w:hint="eastAsia"/>
          <w:bCs/>
          <w:color w:val="auto"/>
          <w:sz w:val="18"/>
          <w:szCs w:val="18"/>
        </w:rPr>
        <w:t>对在银行间市场或交易所市场已发行未上市流通的债券，且第三方估值机构未提供估值数据，采用估值技术确定其公允价值。</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5）同一债券同时在两个或两个以上市场交易的，按债券所处的市场及相应的估值标准，分别进行估值。</w:t>
      </w:r>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3.非标准化债权类资产</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非标准化债权类资产，是指不满足中国人民银行制定的标准化债权类资产认定标准的债权类资产。可选取第三方估值机构的价格数据或采用估值技术进行估值。</w:t>
      </w:r>
    </w:p>
    <w:p w:rsidR="008C4D74" w:rsidRDefault="008C4D74" w:rsidP="008C4D74">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lastRenderedPageBreak/>
        <w:t>4.上市公司股票</w:t>
      </w:r>
      <w:r>
        <w:rPr>
          <w:rFonts w:asciiTheme="majorEastAsia" w:eastAsiaTheme="majorEastAsia" w:hAnsiTheme="majorEastAsia" w:hint="eastAsia"/>
          <w:b/>
          <w:bCs/>
          <w:color w:val="auto"/>
          <w:sz w:val="18"/>
          <w:szCs w:val="18"/>
        </w:rPr>
        <w:t>估值</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上市公司股票包括正常流通普通股、流通受限股票、长期停牌股票和新发行未上市股票。具体估值方法如下：</w:t>
      </w:r>
    </w:p>
    <w:p w:rsidR="008C4D74" w:rsidRDefault="008C4D74" w:rsidP="008C4D74">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2）送股、转增股、配股和公开增发新股等发行未上市的股票，按估值日在证券交易所上市的同一股票的收盘价或最近交易日的收盘价确定公允价值。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3）通过公开、非公开等方式取得且有明确限售期的股票，在限售期内，应以证券交易所上市交易的同一股票的公允价值为基础，引入流动性折扣进行估值。</w:t>
      </w:r>
      <w:r>
        <w:rPr>
          <w:rFonts w:asciiTheme="minorEastAsia" w:eastAsiaTheme="minorEastAsia" w:hAnsiTheme="minorEastAsia" w:hint="eastAsia"/>
          <w:color w:val="auto"/>
          <w:sz w:val="18"/>
          <w:szCs w:val="18"/>
        </w:rPr>
        <w:t>流动性折扣可依据第三方估值机构提供的数据，或采用看跌期权法以及其他合理的估值方法分析确定。</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4）长期停牌股票，</w:t>
      </w:r>
      <w:r>
        <w:rPr>
          <w:rFonts w:asciiTheme="minorEastAsia" w:eastAsiaTheme="minorEastAsia" w:hAnsiTheme="minorEastAsia" w:hint="eastAsia"/>
          <w:color w:val="auto"/>
          <w:sz w:val="18"/>
          <w:szCs w:val="18"/>
        </w:rPr>
        <w:t>根据停牌原因、停牌时间及停牌公司公告等信息，采用估值技术确定公允价值。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5）</w:t>
      </w:r>
      <w:r>
        <w:rPr>
          <w:rFonts w:asciiTheme="minorEastAsia" w:eastAsiaTheme="minorEastAsia" w:hAnsiTheme="minorEastAsia" w:hint="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5.未上市公司股权</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以公允价值计量，应综合考虑被评估企业实际情况、市场交易情况及其他可获得的信息，采用市场法、收益法、重置成本法等估值技术，结合流动性折扣等因素评估公允价值。</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6.</w:t>
      </w:r>
      <w:r>
        <w:rPr>
          <w:rFonts w:asciiTheme="minorEastAsia" w:eastAsiaTheme="minorEastAsia" w:hAnsiTheme="minorEastAsia" w:hint="eastAsia"/>
          <w:b/>
          <w:color w:val="auto"/>
          <w:sz w:val="18"/>
          <w:szCs w:val="18"/>
        </w:rPr>
        <w:t>优先股</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7.</w:t>
      </w:r>
      <w:r>
        <w:rPr>
          <w:rFonts w:asciiTheme="minorEastAsia" w:eastAsiaTheme="minorEastAsia" w:hAnsiTheme="minorEastAsia" w:hint="eastAsia"/>
          <w:b/>
          <w:color w:val="auto"/>
          <w:sz w:val="18"/>
          <w:szCs w:val="18"/>
        </w:rPr>
        <w:t>证券投资基金估值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1）非上市基金估值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1)本产品投资的境内非货币市场基金，按所投资基金估值日的基金份额净值估值；估值日基金净值未公布的，以基金管理人公布的最近一个工作日基金份额净值计算。</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2)本产品投资的境内货币市场基金，按所投资基金前一估值日后至估值日期间（含节假日）的万份收益计提估值日基金收益。</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2）上市基金估值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1)本产品投资的ETF基金、境内上市定期开放式基金、封闭式基金，按照所投资基金估值日的收盘价</w:t>
      </w:r>
      <w:r>
        <w:rPr>
          <w:rFonts w:asciiTheme="minorEastAsia" w:eastAsiaTheme="minorEastAsia" w:hAnsiTheme="minorEastAsia"/>
          <w:color w:val="auto"/>
          <w:sz w:val="18"/>
          <w:szCs w:val="18"/>
        </w:rPr>
        <w:lastRenderedPageBreak/>
        <w:t>估</w:t>
      </w:r>
      <w:r>
        <w:rPr>
          <w:rFonts w:asciiTheme="minorEastAsia" w:eastAsiaTheme="minorEastAsia" w:hAnsiTheme="minorEastAsia" w:hint="eastAsia"/>
          <w:color w:val="auto"/>
          <w:sz w:val="18"/>
          <w:szCs w:val="18"/>
        </w:rPr>
        <w:t>值；估值日无交易的，以最近交易日的收盘价估值。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2)本产品投资的境内上市开放式基金（LOF），按所投资基金估值日的基金份额净值估值；估值日基金净值未公布的，以基金管理人公布的最近一个工作日基金份额净值计算。</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w:t>
      </w:r>
      <w:r>
        <w:rPr>
          <w:rFonts w:asciiTheme="minorEastAsia" w:eastAsiaTheme="minorEastAsia" w:hAnsiTheme="minorEastAsia" w:hint="eastAsia"/>
          <w:b/>
          <w:color w:val="auto"/>
          <w:sz w:val="18"/>
          <w:szCs w:val="18"/>
        </w:rPr>
        <w:t>其他资产管理产品的估值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其他资产管理产品，指理财产品投资的除证券投资基金以外的其他资产管理产品，主要包括：</w:t>
      </w:r>
      <w:r>
        <w:rPr>
          <w:rFonts w:asciiTheme="minorEastAsia" w:eastAsiaTheme="minorEastAsia" w:hAnsiTheme="minorEastAsia" w:hint="eastAsia"/>
          <w:bCs/>
          <w:sz w:val="18"/>
          <w:szCs w:val="18"/>
        </w:rPr>
        <w:t>资金信托，证券公司、证券公司子公司、基金管理公司、基金管理子公司、期货公司、期货公司子公司、保险资产管理机构、金融资产投资公司发行的资产管理产品。其他资产管理产品以估值</w:t>
      </w:r>
      <w:proofErr w:type="gramStart"/>
      <w:r>
        <w:rPr>
          <w:rFonts w:asciiTheme="minorEastAsia" w:eastAsiaTheme="minorEastAsia" w:hAnsiTheme="minorEastAsia" w:hint="eastAsia"/>
          <w:bCs/>
          <w:sz w:val="18"/>
          <w:szCs w:val="18"/>
        </w:rPr>
        <w:t>日资产</w:t>
      </w:r>
      <w:proofErr w:type="gramEnd"/>
      <w:r>
        <w:rPr>
          <w:rFonts w:asciiTheme="minorEastAsia" w:eastAsiaTheme="minorEastAsia" w:hAnsiTheme="minorEastAsia" w:hint="eastAsia"/>
          <w:bCs/>
          <w:sz w:val="18"/>
          <w:szCs w:val="18"/>
        </w:rPr>
        <w:t>管理人提供的单位净值进行估值，估值</w:t>
      </w:r>
      <w:proofErr w:type="gramStart"/>
      <w:r>
        <w:rPr>
          <w:rFonts w:asciiTheme="minorEastAsia" w:eastAsiaTheme="minorEastAsia" w:hAnsiTheme="minorEastAsia" w:hint="eastAsia"/>
          <w:bCs/>
          <w:sz w:val="18"/>
          <w:szCs w:val="18"/>
        </w:rPr>
        <w:t>日产品</w:t>
      </w:r>
      <w:proofErr w:type="gramEnd"/>
      <w:r>
        <w:rPr>
          <w:rFonts w:asciiTheme="minorEastAsia" w:eastAsiaTheme="minorEastAsia" w:hAnsiTheme="minorEastAsia" w:hint="eastAsia"/>
          <w:bCs/>
          <w:sz w:val="18"/>
          <w:szCs w:val="18"/>
        </w:rPr>
        <w:t>单位净值未提供的，可参考最近可获取的净值确定公允价值。</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9.衍生金融工具估值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w:t>
      </w:r>
      <w:r>
        <w:rPr>
          <w:rFonts w:asciiTheme="minorEastAsia" w:eastAsiaTheme="minorEastAsia" w:hAnsiTheme="minorEastAsia"/>
          <w:color w:val="auto"/>
          <w:sz w:val="18"/>
          <w:szCs w:val="18"/>
        </w:rPr>
        <w:t xml:space="preserve"> </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10.</w:t>
      </w:r>
      <w:r>
        <w:rPr>
          <w:rFonts w:asciiTheme="minorEastAsia" w:eastAsiaTheme="minorEastAsia" w:hAnsiTheme="minorEastAsia" w:hint="eastAsia"/>
          <w:b/>
          <w:color w:val="auto"/>
          <w:sz w:val="18"/>
          <w:szCs w:val="18"/>
        </w:rPr>
        <w:t>存款、拆借、回购等货币市场工具的估值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sz w:val="18"/>
          <w:szCs w:val="18"/>
        </w:rPr>
        <w:t>以本金列示，按商定利率在实际持有期间内逐日计提利息。如有估值技术能更准确反映其公允价值的，采用估值技术进行估值。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11.</w:t>
      </w:r>
      <w:r>
        <w:rPr>
          <w:rFonts w:asciiTheme="minorEastAsia" w:eastAsiaTheme="minorEastAsia" w:hAnsiTheme="minorEastAsia" w:hint="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rsidR="008C4D74" w:rsidRDefault="008C4D74" w:rsidP="008C4D74">
      <w:pPr>
        <w:pStyle w:val="Default"/>
        <w:spacing w:line="360" w:lineRule="auto"/>
        <w:ind w:firstLineChars="200" w:firstLine="360"/>
        <w:rPr>
          <w:rFonts w:ascii="黑体" w:eastAsia="黑体" w:hAnsi="黑体"/>
          <w:color w:val="auto"/>
          <w:sz w:val="18"/>
          <w:szCs w:val="18"/>
        </w:rPr>
      </w:pPr>
      <w:r>
        <w:rPr>
          <w:rFonts w:ascii="黑体" w:eastAsia="黑体" w:hAnsi="黑体"/>
          <w:color w:val="auto"/>
          <w:sz w:val="18"/>
          <w:szCs w:val="18"/>
        </w:rPr>
        <w:t>1</w:t>
      </w:r>
      <w:r>
        <w:rPr>
          <w:rFonts w:ascii="黑体" w:eastAsia="黑体" w:hAnsi="黑体" w:hint="eastAsia"/>
          <w:color w:val="auto"/>
          <w:sz w:val="18"/>
          <w:szCs w:val="18"/>
        </w:rPr>
        <w:t>3</w:t>
      </w:r>
      <w:r>
        <w:rPr>
          <w:rFonts w:ascii="黑体" w:eastAsia="黑体" w:hAnsi="黑体"/>
          <w:color w:val="auto"/>
          <w:sz w:val="18"/>
          <w:szCs w:val="18"/>
        </w:rPr>
        <w:t>.</w:t>
      </w:r>
      <w:r>
        <w:rPr>
          <w:rFonts w:ascii="黑体" w:eastAsia="黑体" w:hAnsi="黑体" w:hint="eastAsia"/>
          <w:color w:val="auto"/>
          <w:sz w:val="18"/>
          <w:szCs w:val="18"/>
        </w:rPr>
        <w:t>★估值方法的调整</w:t>
      </w:r>
    </w:p>
    <w:p w:rsidR="008C4D74" w:rsidRDefault="008C4D74" w:rsidP="008C4D74">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若因相关法律法规以及监管部门有规定，需要调整估值方法的，管理人应按相关规定要求使用调整后的估值方法进行估值。</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（五）估值程序</w:t>
      </w:r>
    </w:p>
    <w:p w:rsidR="008C4D74" w:rsidRDefault="008C4D74" w:rsidP="008C4D74">
      <w:pPr>
        <w:pStyle w:val="Default"/>
        <w:spacing w:line="360" w:lineRule="auto"/>
        <w:ind w:firstLineChars="200" w:firstLine="360"/>
        <w:rPr>
          <w:rFonts w:asciiTheme="minorEastAsia" w:eastAsiaTheme="minorEastAsia" w:hAnsiTheme="minorEastAsia"/>
          <w:bCs/>
          <w:color w:val="auto"/>
          <w:sz w:val="18"/>
          <w:szCs w:val="18"/>
        </w:rPr>
      </w:pPr>
      <w:r>
        <w:rPr>
          <w:rFonts w:asciiTheme="minorEastAsia" w:eastAsiaTheme="minorEastAsia" w:hAnsiTheme="minorEastAsia"/>
          <w:color w:val="auto"/>
          <w:sz w:val="18"/>
          <w:szCs w:val="18"/>
        </w:rPr>
        <w:t>1.</w:t>
      </w:r>
      <w:r>
        <w:rPr>
          <w:rFonts w:asciiTheme="minorEastAsia" w:eastAsiaTheme="minorEastAsia" w:hAnsiTheme="minorEastAsia" w:hint="eastAsia"/>
          <w:color w:val="auto"/>
          <w:sz w:val="18"/>
          <w:szCs w:val="18"/>
        </w:rPr>
        <w:t>产品份额净值是按照估值</w:t>
      </w:r>
      <w:proofErr w:type="gramStart"/>
      <w:r>
        <w:rPr>
          <w:rFonts w:asciiTheme="minorEastAsia" w:eastAsiaTheme="minorEastAsia" w:hAnsiTheme="minorEastAsia" w:hint="eastAsia"/>
          <w:color w:val="auto"/>
          <w:sz w:val="18"/>
          <w:szCs w:val="18"/>
        </w:rPr>
        <w:t>日产品</w:t>
      </w:r>
      <w:proofErr w:type="gramEnd"/>
      <w:r>
        <w:rPr>
          <w:rFonts w:asciiTheme="minorEastAsia" w:eastAsiaTheme="minorEastAsia" w:hAnsiTheme="minorEastAsia" w:hint="eastAsia"/>
          <w:color w:val="auto"/>
          <w:sz w:val="18"/>
          <w:szCs w:val="18"/>
        </w:rPr>
        <w:t>资产净值除以当日产品总份额计算，</w:t>
      </w:r>
      <w:r>
        <w:rPr>
          <w:rFonts w:asciiTheme="minorEastAsia" w:eastAsiaTheme="minorEastAsia" w:hAnsiTheme="minorEastAsia"/>
          <w:bCs/>
          <w:color w:val="auto"/>
          <w:sz w:val="18"/>
          <w:szCs w:val="18"/>
        </w:rPr>
        <w:t>四舍五入保留5位小数</w:t>
      </w:r>
      <w:r>
        <w:rPr>
          <w:rFonts w:asciiTheme="minorEastAsia" w:eastAsiaTheme="minorEastAsia" w:hAnsiTheme="minorEastAsia" w:hint="eastAsia"/>
          <w:color w:val="auto"/>
          <w:sz w:val="18"/>
          <w:szCs w:val="18"/>
        </w:rPr>
        <w:t>。国家另有规定的，从其规定。</w:t>
      </w:r>
      <w:r>
        <w:rPr>
          <w:rFonts w:asciiTheme="minorEastAsia" w:eastAsiaTheme="minorEastAsia" w:hAnsiTheme="minorEastAsia" w:hint="eastAsia"/>
          <w:bCs/>
          <w:color w:val="auto"/>
          <w:sz w:val="18"/>
          <w:szCs w:val="18"/>
        </w:rPr>
        <w:t>发生巨额赎回时，为保护投资者利益，产品管理人可提高单位产品净值的精度。</w:t>
      </w:r>
    </w:p>
    <w:p w:rsidR="008C4D74" w:rsidRDefault="008C4D74" w:rsidP="008C4D74">
      <w:pPr>
        <w:pStyle w:val="Default"/>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sz w:val="18"/>
          <w:szCs w:val="18"/>
        </w:rPr>
        <w:lastRenderedPageBreak/>
        <w:t xml:space="preserve">2.产品管理人对理财资产估值后，将产品份额净值发送产品托管人，经产品托管人复核无误后，由产品管理人按规定对外公布。 </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 xml:space="preserve">3. </w:t>
      </w:r>
      <w:r>
        <w:rPr>
          <w:rFonts w:asciiTheme="minorEastAsia" w:eastAsiaTheme="minorEastAsia" w:hAnsiTheme="minorEastAsia" w:hint="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rsidR="008C4D74" w:rsidRDefault="008C4D74" w:rsidP="008C4D74">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hint="eastAsia"/>
          <w:b/>
          <w:color w:val="auto"/>
          <w:sz w:val="18"/>
          <w:szCs w:val="18"/>
        </w:rPr>
        <w:t>（六）估值主体</w:t>
      </w:r>
    </w:p>
    <w:p w:rsidR="008C4D74" w:rsidRDefault="008C4D74" w:rsidP="008C4D74">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8C4D74" w:rsidRDefault="008C4D74" w:rsidP="008C4D7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8C4D74" w:rsidRDefault="008C4D74" w:rsidP="008C4D7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8C4D74" w:rsidRDefault="008C4D74" w:rsidP="008C4D7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8C4D74" w:rsidRDefault="008C4D74" w:rsidP="008C4D7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8C4D74" w:rsidRDefault="008C4D74" w:rsidP="008C4D7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8C4D74" w:rsidRDefault="008C4D74" w:rsidP="008C4D74">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8C4D74" w:rsidRDefault="008C4D74" w:rsidP="008C4D74">
      <w:pPr>
        <w:widowControl/>
        <w:spacing w:line="360" w:lineRule="auto"/>
        <w:jc w:val="left"/>
        <w:rPr>
          <w:rFonts w:ascii="宋体" w:hAnsi="宋体"/>
          <w:kern w:val="0"/>
          <w:sz w:val="18"/>
          <w:szCs w:val="18"/>
        </w:rPr>
      </w:pPr>
      <w:r>
        <w:rPr>
          <w:rFonts w:hAnsi="宋体"/>
          <w:sz w:val="18"/>
          <w:szCs w:val="18"/>
        </w:rPr>
        <w:br w:type="page"/>
      </w:r>
    </w:p>
    <w:p w:rsidR="008C4D74" w:rsidRDefault="008C4D74" w:rsidP="008C4D74">
      <w:pPr>
        <w:pStyle w:val="1"/>
        <w:spacing w:before="0" w:after="0"/>
        <w:ind w:left="60" w:firstLine="10"/>
        <w:jc w:val="center"/>
        <w:rPr>
          <w:rFonts w:ascii="Times New Roman"/>
          <w:sz w:val="30"/>
        </w:rPr>
      </w:pPr>
      <w:bookmarkStart w:id="145" w:name="_Hlt70481650"/>
      <w:bookmarkStart w:id="146" w:name="_Toc139991737"/>
      <w:bookmarkStart w:id="147" w:name="_Toc123102454"/>
      <w:bookmarkStart w:id="148" w:name="_Toc98560353"/>
      <w:bookmarkStart w:id="149" w:name="_Toc26207"/>
      <w:bookmarkStart w:id="150" w:name="_Toc123051453"/>
      <w:bookmarkStart w:id="151" w:name="_Toc3138"/>
      <w:bookmarkStart w:id="152" w:name="_Toc31644"/>
      <w:bookmarkStart w:id="153" w:name="_Toc6405"/>
      <w:bookmarkStart w:id="154" w:name="_Toc31235"/>
      <w:bookmarkStart w:id="155" w:name="_Toc14835"/>
      <w:bookmarkStart w:id="156" w:name="_Toc3601"/>
      <w:bookmarkStart w:id="157" w:name="_Toc12245"/>
      <w:bookmarkStart w:id="158" w:name="_Toc31653"/>
      <w:bookmarkStart w:id="159" w:name="_Toc123112235"/>
      <w:bookmarkStart w:id="160" w:name="_Toc79154671"/>
      <w:bookmarkStart w:id="161" w:name="_Toc92377137"/>
      <w:bookmarkStart w:id="162" w:name="_Toc29251"/>
      <w:bookmarkStart w:id="163" w:name="_Toc74065744"/>
      <w:bookmarkStart w:id="164" w:name="_Toc15143"/>
      <w:bookmarkStart w:id="165" w:name="_Toc141703887"/>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Pr>
          <w:rFonts w:ascii="Times New Roman"/>
          <w:sz w:val="30"/>
        </w:rPr>
        <w:lastRenderedPageBreak/>
        <w:t>第</w:t>
      </w:r>
      <w:r>
        <w:rPr>
          <w:rFonts w:ascii="Times New Roman" w:hint="eastAsia"/>
          <w:sz w:val="30"/>
        </w:rPr>
        <w:t>八条</w:t>
      </w:r>
      <w:r>
        <w:rPr>
          <w:rFonts w:ascii="Times New Roman"/>
          <w:sz w:val="30"/>
        </w:rPr>
        <w:t xml:space="preserve">  </w:t>
      </w:r>
      <w:r>
        <w:rPr>
          <w:rFonts w:ascii="Times New Roman" w:hint="eastAsia"/>
          <w:sz w:val="30"/>
        </w:rPr>
        <w:t>理财产品的利益分配</w:t>
      </w:r>
      <w:bookmarkStart w:id="166" w:name="_Hlt55355235"/>
      <w:bookmarkStart w:id="167" w:name="_Toc523711668"/>
      <w:bookmarkStart w:id="168" w:name="_Toc79392580"/>
      <w:bookmarkStart w:id="169" w:name="_Toc57530239"/>
      <w:bookmarkStart w:id="170" w:name="_Toc15118234"/>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8C4D74" w:rsidRDefault="008C4D74" w:rsidP="008C4D74">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8C4D74" w:rsidRDefault="008C4D74" w:rsidP="008C4D74">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8C4D74" w:rsidRDefault="008C4D74" w:rsidP="008C4D74">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8C4D74" w:rsidRDefault="008C4D74" w:rsidP="008C4D74">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8C4D74" w:rsidRDefault="008C4D74" w:rsidP="008C4D74">
      <w:pPr>
        <w:pStyle w:val="Default"/>
        <w:spacing w:line="360" w:lineRule="auto"/>
        <w:ind w:firstLineChars="200" w:firstLine="361"/>
        <w:rPr>
          <w:rFonts w:hAnsi="宋体"/>
          <w:b/>
          <w:bCs/>
          <w:color w:val="auto"/>
          <w:sz w:val="18"/>
          <w:szCs w:val="18"/>
        </w:rPr>
      </w:pPr>
      <w:r>
        <w:rPr>
          <w:rFonts w:hAnsi="宋体" w:hint="eastAsia"/>
          <w:b/>
          <w:bCs/>
          <w:color w:val="auto"/>
          <w:sz w:val="18"/>
          <w:szCs w:val="18"/>
        </w:rPr>
        <w:t>1.分配方案要点：</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8C4D74" w:rsidRDefault="008C4D74" w:rsidP="008C4D74">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3.产品管理人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 w:rsidR="008C4D74" w:rsidRDefault="008C4D74" w:rsidP="008C4D74">
      <w:pPr>
        <w:spacing w:line="360" w:lineRule="auto"/>
        <w:ind w:firstLine="360"/>
        <w:rPr>
          <w:rFonts w:ascii="宋体" w:hAnsi="宋体"/>
          <w:b/>
          <w:sz w:val="18"/>
          <w:szCs w:val="18"/>
        </w:rPr>
      </w:pPr>
      <w:r>
        <w:rPr>
          <w:rFonts w:ascii="宋体" w:hAnsi="宋体" w:hint="eastAsia"/>
          <w:b/>
          <w:kern w:val="0"/>
          <w:sz w:val="18"/>
          <w:szCs w:val="18"/>
        </w:rPr>
        <w:t>（四）理财利益的分配</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1.理财利益的分配日</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8C4D74" w:rsidRDefault="008C4D74" w:rsidP="008C4D74">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w:t>
      </w:r>
      <w:r>
        <w:rPr>
          <w:rFonts w:hAnsi="宋体" w:hint="eastAsia"/>
          <w:color w:val="auto"/>
          <w:sz w:val="18"/>
          <w:szCs w:val="18"/>
        </w:rPr>
        <w:t>具体的理财利益分配以实际情况为准。</w:t>
      </w:r>
    </w:p>
    <w:p w:rsidR="008C4D74" w:rsidRDefault="008C4D74" w:rsidP="008C4D74">
      <w:pPr>
        <w:widowControl/>
        <w:spacing w:line="360" w:lineRule="auto"/>
        <w:jc w:val="left"/>
        <w:rPr>
          <w:rFonts w:ascii="宋体" w:hAnsi="宋体"/>
          <w:kern w:val="0"/>
          <w:sz w:val="18"/>
          <w:szCs w:val="18"/>
        </w:rPr>
      </w:pPr>
      <w:r>
        <w:rPr>
          <w:rFonts w:hAnsi="宋体"/>
          <w:sz w:val="18"/>
          <w:szCs w:val="18"/>
        </w:rPr>
        <w:br w:type="page"/>
      </w:r>
    </w:p>
    <w:p w:rsidR="008C4D74" w:rsidRDefault="008C4D74" w:rsidP="008C4D74">
      <w:pPr>
        <w:pStyle w:val="1"/>
        <w:spacing w:before="0" w:after="0"/>
        <w:jc w:val="center"/>
        <w:rPr>
          <w:rFonts w:ascii="Times New Roman"/>
          <w:sz w:val="30"/>
        </w:rPr>
      </w:pPr>
      <w:bookmarkStart w:id="171" w:name="_Hlt88897298"/>
      <w:bookmarkStart w:id="172" w:name="_Hlt88825574"/>
      <w:bookmarkStart w:id="173" w:name="_Toc7058"/>
      <w:bookmarkStart w:id="174" w:name="_Toc79392583"/>
      <w:bookmarkStart w:id="175" w:name="_Toc123102455"/>
      <w:bookmarkStart w:id="176" w:name="_Toc17110"/>
      <w:bookmarkStart w:id="177" w:name="_Toc139991738"/>
      <w:bookmarkStart w:id="178" w:name="_Toc6447"/>
      <w:bookmarkStart w:id="179" w:name="_Toc123051454"/>
      <w:bookmarkStart w:id="180" w:name="_Toc92377138"/>
      <w:bookmarkStart w:id="181" w:name="_Toc79154672"/>
      <w:bookmarkStart w:id="182" w:name="_Toc74065745"/>
      <w:bookmarkStart w:id="183" w:name="_Toc11030"/>
      <w:bookmarkStart w:id="184" w:name="_Toc123112236"/>
      <w:bookmarkStart w:id="185" w:name="_Toc3321"/>
      <w:bookmarkStart w:id="186" w:name="_Toc98560354"/>
      <w:bookmarkStart w:id="187" w:name="_Toc4559"/>
      <w:bookmarkStart w:id="188" w:name="_Toc25783"/>
      <w:bookmarkStart w:id="189" w:name="_Toc141703888"/>
      <w:bookmarkStart w:id="190" w:name="_Toc18567"/>
      <w:bookmarkStart w:id="191" w:name="_Toc3771"/>
      <w:bookmarkStart w:id="192" w:name="_Toc10650"/>
      <w:bookmarkStart w:id="193" w:name="_Toc9706"/>
      <w:bookmarkEnd w:id="167"/>
      <w:bookmarkEnd w:id="168"/>
      <w:bookmarkEnd w:id="169"/>
      <w:bookmarkEnd w:id="170"/>
      <w:bookmarkEnd w:id="171"/>
      <w:bookmarkEnd w:id="172"/>
      <w:r>
        <w:rPr>
          <w:rFonts w:ascii="Times New Roman"/>
          <w:sz w:val="30"/>
        </w:rPr>
        <w:lastRenderedPageBreak/>
        <w:t>第</w:t>
      </w:r>
      <w:r>
        <w:rPr>
          <w:rFonts w:ascii="Times New Roman" w:hint="eastAsia"/>
          <w:sz w:val="30"/>
        </w:rPr>
        <w:t>九条</w:t>
      </w:r>
      <w:r>
        <w:rPr>
          <w:rFonts w:ascii="Times New Roman"/>
          <w:sz w:val="30"/>
        </w:rPr>
        <w:t xml:space="preserve">  </w:t>
      </w:r>
      <w:r>
        <w:rPr>
          <w:rFonts w:ascii="Times New Roman" w:hint="eastAsia"/>
          <w:sz w:val="30"/>
        </w:rPr>
        <w:t>理财产品的费用与税收</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8C4D74" w:rsidRDefault="008C4D74" w:rsidP="008C4D74">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8C4D74" w:rsidRDefault="008C4D74" w:rsidP="008C4D7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1）理财产品的认购费、申购费、赎回费</w:t>
      </w:r>
      <w:r>
        <w:rPr>
          <w:rFonts w:ascii="宋体" w:hAnsi="宋体" w:hint="eastAsia"/>
          <w:kern w:val="0"/>
          <w:sz w:val="18"/>
          <w:szCs w:val="18"/>
        </w:rPr>
        <w:t>；</w:t>
      </w:r>
    </w:p>
    <w:p w:rsidR="008C4D74" w:rsidRDefault="008C4D74" w:rsidP="008C4D7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8C4D74" w:rsidRDefault="008C4D74" w:rsidP="008C4D7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8C4D74" w:rsidRDefault="008C4D74" w:rsidP="008C4D7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8C4D74" w:rsidRDefault="008C4D74" w:rsidP="008C4D7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）理财产品的证券交易费用；</w:t>
      </w:r>
    </w:p>
    <w:p w:rsidR="008C4D74" w:rsidRDefault="008C4D74" w:rsidP="008C4D7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w:t>
      </w:r>
      <w:proofErr w:type="gramStart"/>
      <w:r>
        <w:rPr>
          <w:rFonts w:ascii="宋体" w:hAnsi="宋体" w:hint="eastAsia"/>
          <w:kern w:val="0"/>
          <w:sz w:val="18"/>
          <w:szCs w:val="18"/>
        </w:rPr>
        <w:t>验</w:t>
      </w:r>
      <w:proofErr w:type="gramEnd"/>
      <w:r>
        <w:rPr>
          <w:rFonts w:ascii="宋体" w:hAnsi="宋体" w:hint="eastAsia"/>
          <w:kern w:val="0"/>
          <w:sz w:val="18"/>
          <w:szCs w:val="18"/>
        </w:rPr>
        <w:t>资费、审计费、律师费、信息披露费、清算费、执行费用等相关费用；</w:t>
      </w:r>
    </w:p>
    <w:p w:rsidR="008C4D74" w:rsidRDefault="008C4D74" w:rsidP="008C4D74">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）理财产品的认购费、申购费、赎回费</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1）认购费：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2）申购费：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8C4D74" w:rsidRDefault="008C4D74" w:rsidP="008C4D74">
      <w:pPr>
        <w:widowControl/>
        <w:spacing w:line="360" w:lineRule="auto"/>
        <w:ind w:firstLineChars="200" w:firstLine="360"/>
        <w:jc w:val="left"/>
        <w:rPr>
          <w:rStyle w:val="af4"/>
          <w:rFonts w:ascii="宋体" w:hAnsi="宋体"/>
          <w:kern w:val="0"/>
        </w:rPr>
      </w:pPr>
      <w:r>
        <w:rPr>
          <w:rFonts w:ascii="宋体" w:hAnsi="宋体"/>
          <w:kern w:val="0"/>
          <w:sz w:val="18"/>
          <w:szCs w:val="18"/>
        </w:rPr>
        <w:t>3</w:t>
      </w:r>
      <w:r>
        <w:rPr>
          <w:rFonts w:ascii="宋体" w:hAnsi="宋体" w:hint="eastAsia"/>
          <w:kern w:val="0"/>
          <w:sz w:val="18"/>
          <w:szCs w:val="18"/>
        </w:rPr>
        <w:t>）赎回费：</w:t>
      </w: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hint="eastAsia"/>
          <w:kern w:val="0"/>
          <w:sz w:val="18"/>
          <w:szCs w:val="18"/>
        </w:rPr>
        <w:t>。</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8C4D74" w:rsidRDefault="008C4D74" w:rsidP="008C4D74">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lastRenderedPageBreak/>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kern w:val="0"/>
          <w:sz w:val="18"/>
          <w:szCs w:val="18"/>
        </w:rPr>
        <w:t>（4）超额业绩报酬</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每份产品份额在超额业绩报酬计提日时，若理财资产扣除销售服务费、产品托管费和投资管理费等相关费用后，超额业绩报酬计提日产品份额净值折算</w:t>
      </w:r>
      <w:proofErr w:type="gramStart"/>
      <w:r>
        <w:rPr>
          <w:rFonts w:ascii="宋体" w:hAnsi="宋体" w:hint="eastAsia"/>
          <w:kern w:val="0"/>
          <w:sz w:val="18"/>
          <w:szCs w:val="18"/>
        </w:rPr>
        <w:t>的年化收益率</w:t>
      </w:r>
      <w:proofErr w:type="gramEnd"/>
      <w:r>
        <w:rPr>
          <w:rFonts w:ascii="宋体" w:hAnsi="宋体" w:hint="eastAsia"/>
          <w:kern w:val="0"/>
          <w:sz w:val="18"/>
          <w:szCs w:val="18"/>
        </w:rPr>
        <w:t>超过业绩报酬计提基准，则产品管理人收取超出部分的一定比例作为超额业绩报酬。由此造成超额业绩报酬计提日产品份额净值调整的，以调整后的数值为准进行利益分配。</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超额业绩报酬的具体比例数值以《产品说明书》“第二条 理财产品基本情况”为准。</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1）收取超额业绩报酬的原则：</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①按投资者每份产品份额分别</w:t>
      </w:r>
      <w:proofErr w:type="gramStart"/>
      <w:r>
        <w:rPr>
          <w:rFonts w:ascii="宋体" w:hAnsi="宋体" w:hint="eastAsia"/>
          <w:kern w:val="0"/>
          <w:sz w:val="18"/>
          <w:szCs w:val="18"/>
        </w:rPr>
        <w:t>计算年化收益率</w:t>
      </w:r>
      <w:proofErr w:type="gramEnd"/>
      <w:r>
        <w:rPr>
          <w:rFonts w:ascii="宋体" w:hAnsi="宋体" w:hint="eastAsia"/>
          <w:kern w:val="0"/>
          <w:sz w:val="18"/>
          <w:szCs w:val="18"/>
        </w:rPr>
        <w:t>并计提超额业绩报酬；</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②在超额业绩报酬计提日，本产品对符合超额业绩报酬提取条件的产品份额计提超额业绩报酬；</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③在每个赎回日提取超额业绩报酬的，超额业绩报酬从理财资金中扣除；在产品终止日提取超额业绩报酬的，超额业绩报酬从清算资金中扣除。</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2）超额业绩报酬计提方法</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①超额业绩报酬计提日</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每份产品份额超额业绩报酬计提日为每个赎回日或产品终止日。</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②超额业绩报酬的计算</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产品管理人对每份产品</w:t>
      </w:r>
      <w:proofErr w:type="gramStart"/>
      <w:r>
        <w:rPr>
          <w:rFonts w:ascii="宋体" w:hAnsi="宋体" w:hint="eastAsia"/>
          <w:kern w:val="0"/>
          <w:sz w:val="18"/>
          <w:szCs w:val="18"/>
        </w:rPr>
        <w:t>份额年化收益率</w:t>
      </w:r>
      <w:proofErr w:type="gramEnd"/>
      <w:r>
        <w:rPr>
          <w:rFonts w:ascii="宋体" w:hAnsi="宋体" w:hint="eastAsia"/>
          <w:kern w:val="0"/>
          <w:sz w:val="18"/>
          <w:szCs w:val="18"/>
        </w:rPr>
        <w:t>（R）超过当期业绩报酬计提基准的部分，按比例（N）以及该份产品份额当期投资周期天数（D）提取超额业绩报酬，计算方法如下：</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当R≤当期业绩报酬计提基准，超额业绩报酬=0；</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当R＞当期业绩报酬计提基准，超额业绩报酬=投资者持有的产品份额数量×产品成立日或当期投资周期产品份额申购日的产品份额净值×（R-当期业绩报酬计提基准）×N×D/365；</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若该投资周期期间，超额业绩报酬计提规则有所调整，以该投资周期期间的每个计提规则分别计算整个份额投资周期期间应收取的超额业绩报酬数值，以较小的数值来收取超额业绩报酬。</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w:t>
      </w:r>
      <w:proofErr w:type="gramStart"/>
      <w:r>
        <w:rPr>
          <w:rFonts w:ascii="宋体" w:hAnsi="宋体" w:hint="eastAsia"/>
          <w:kern w:val="0"/>
          <w:sz w:val="18"/>
          <w:szCs w:val="18"/>
        </w:rPr>
        <w:t>托管费</w:t>
      </w:r>
      <w:r>
        <w:rPr>
          <w:rFonts w:ascii="宋体" w:hAnsi="宋体"/>
          <w:kern w:val="0"/>
          <w:sz w:val="18"/>
          <w:szCs w:val="18"/>
        </w:rPr>
        <w:t>年费率</w:t>
      </w:r>
      <w:proofErr w:type="gramEnd"/>
      <w:r>
        <w:rPr>
          <w:rFonts w:ascii="宋体" w:hAnsi="宋体"/>
          <w:kern w:val="0"/>
          <w:sz w:val="18"/>
          <w:szCs w:val="18"/>
        </w:rPr>
        <w:t>÷</w:t>
      </w:r>
      <w:r>
        <w:rPr>
          <w:rFonts w:ascii="宋体" w:hAnsi="宋体" w:hint="eastAsia"/>
          <w:kern w:val="0"/>
          <w:sz w:val="18"/>
          <w:szCs w:val="18"/>
        </w:rPr>
        <w:t>3</w:t>
      </w:r>
      <w:r>
        <w:rPr>
          <w:rFonts w:ascii="宋体" w:hAnsi="宋体"/>
          <w:kern w:val="0"/>
          <w:sz w:val="18"/>
          <w:szCs w:val="18"/>
        </w:rPr>
        <w:t>65</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8C4D74" w:rsidRDefault="008C4D74" w:rsidP="008C4D74">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proofErr w:type="gramStart"/>
      <w:r>
        <w:rPr>
          <w:rFonts w:ascii="宋体" w:hAnsi="宋体"/>
          <w:kern w:val="0"/>
          <w:sz w:val="18"/>
          <w:szCs w:val="18"/>
        </w:rPr>
        <w:t>验</w:t>
      </w:r>
      <w:proofErr w:type="gramEnd"/>
      <w:r>
        <w:rPr>
          <w:rFonts w:ascii="宋体" w:hAnsi="宋体"/>
          <w:kern w:val="0"/>
          <w:sz w:val="18"/>
          <w:szCs w:val="18"/>
        </w:rPr>
        <w:t>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8C4D74" w:rsidRDefault="008C4D74" w:rsidP="008C4D74">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8C4D74" w:rsidRDefault="008C4D74" w:rsidP="008C4D74">
      <w:pPr>
        <w:pStyle w:val="Default"/>
        <w:spacing w:line="360" w:lineRule="auto"/>
        <w:ind w:firstLineChars="200" w:firstLine="360"/>
        <w:rPr>
          <w:rFonts w:ascii="黑体" w:eastAsia="黑体" w:hAnsi="黑体"/>
          <w:color w:val="auto"/>
          <w:sz w:val="18"/>
        </w:rPr>
      </w:pPr>
      <w:r>
        <w:rPr>
          <w:rFonts w:ascii="黑体" w:eastAsia="黑体" w:hAnsi="黑体" w:hint="eastAsia"/>
          <w:color w:val="auto"/>
          <w:sz w:val="18"/>
        </w:rPr>
        <w:t>（1）发生巨额赎回时，为保护投资者利益，产品管理人有权对赎回日至赎回确认日之间的各项费用进行减免。</w:t>
      </w:r>
    </w:p>
    <w:p w:rsidR="008C4D74" w:rsidRDefault="008C4D74" w:rsidP="008C4D74">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（2）产品管理人有权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w:t>
      </w:r>
      <w:proofErr w:type="gramStart"/>
      <w:r>
        <w:rPr>
          <w:rFonts w:ascii="黑体" w:eastAsia="黑体" w:hAnsi="黑体" w:hint="eastAsia"/>
          <w:bCs/>
          <w:color w:val="auto"/>
          <w:sz w:val="18"/>
        </w:rPr>
        <w:t>定进行</w:t>
      </w:r>
      <w:proofErr w:type="gramEnd"/>
      <w:r>
        <w:rPr>
          <w:rFonts w:ascii="黑体" w:eastAsia="黑体" w:hAnsi="黑体" w:hint="eastAsia"/>
          <w:bCs/>
          <w:color w:val="auto"/>
          <w:sz w:val="18"/>
        </w:rPr>
        <w:t>公告。</w:t>
      </w:r>
    </w:p>
    <w:p w:rsidR="008C4D74" w:rsidRDefault="008C4D74" w:rsidP="008C4D74">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8C4D74" w:rsidRDefault="008C4D74" w:rsidP="008C4D74">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8C4D74" w:rsidRDefault="008C4D74" w:rsidP="008C4D74">
      <w:pPr>
        <w:pStyle w:val="1"/>
        <w:jc w:val="center"/>
      </w:pPr>
      <w:bookmarkStart w:id="194" w:name="_Toc3963"/>
      <w:bookmarkStart w:id="195" w:name="_Toc1745"/>
      <w:r>
        <w:br w:type="page"/>
      </w:r>
      <w:bookmarkStart w:id="196" w:name="_Toc10398"/>
      <w:bookmarkStart w:id="197" w:name="_Toc725"/>
      <w:bookmarkStart w:id="198" w:name="_Toc123051455"/>
      <w:bookmarkStart w:id="199" w:name="_Toc3080"/>
      <w:bookmarkStart w:id="200" w:name="_Toc141703889"/>
      <w:bookmarkStart w:id="201" w:name="_Toc16164"/>
      <w:bookmarkStart w:id="202" w:name="_Toc4606"/>
      <w:bookmarkStart w:id="203" w:name="_Toc74065746"/>
      <w:bookmarkStart w:id="204" w:name="_Toc21735"/>
      <w:bookmarkStart w:id="205" w:name="_Toc139991739"/>
      <w:bookmarkStart w:id="206" w:name="_Toc98560355"/>
      <w:bookmarkStart w:id="207" w:name="_Toc92377139"/>
      <w:bookmarkStart w:id="208" w:name="_Toc18206"/>
      <w:bookmarkStart w:id="209" w:name="_Toc31821"/>
      <w:bookmarkStart w:id="210" w:name="_Toc79154673"/>
      <w:bookmarkStart w:id="211" w:name="_Toc123112237"/>
      <w:bookmarkStart w:id="212" w:name="_Toc3572"/>
      <w:bookmarkStart w:id="213" w:name="_Toc123102456"/>
      <w:r>
        <w:rPr>
          <w:rFonts w:hint="eastAsia"/>
          <w:sz w:val="30"/>
        </w:rPr>
        <w:lastRenderedPageBreak/>
        <w:t>第十条</w:t>
      </w:r>
      <w:r>
        <w:rPr>
          <w:sz w:val="30"/>
        </w:rPr>
        <w:t xml:space="preserve">  </w:t>
      </w:r>
      <w:r>
        <w:rPr>
          <w:rFonts w:hint="eastAsia"/>
          <w:sz w:val="30"/>
        </w:rPr>
        <w:t>理财产品的终止与清算</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rsidR="008C4D74" w:rsidRDefault="008C4D74" w:rsidP="008C4D74">
      <w:pPr>
        <w:spacing w:line="360" w:lineRule="auto"/>
        <w:ind w:firstLineChars="200" w:firstLine="361"/>
        <w:rPr>
          <w:rFonts w:asciiTheme="majorEastAsia" w:eastAsiaTheme="majorEastAsia" w:hAnsiTheme="majorEastAsia"/>
          <w:b/>
          <w:bCs/>
          <w:sz w:val="18"/>
          <w:szCs w:val="18"/>
        </w:rPr>
      </w:pPr>
      <w:bookmarkStart w:id="214" w:name="_Toc79392593"/>
      <w:bookmarkStart w:id="215" w:name="_Toc57530252"/>
      <w:bookmarkStart w:id="216" w:name="_Toc15118245"/>
      <w:r>
        <w:rPr>
          <w:rFonts w:asciiTheme="majorEastAsia" w:eastAsiaTheme="majorEastAsia" w:hAnsiTheme="majorEastAsia" w:hint="eastAsia"/>
          <w:b/>
          <w:bCs/>
          <w:sz w:val="18"/>
          <w:szCs w:val="18"/>
        </w:rPr>
        <w:t>（一）理财产品的终止</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w:t>
      </w:r>
      <w:proofErr w:type="gramStart"/>
      <w:r>
        <w:rPr>
          <w:rFonts w:asciiTheme="majorEastAsia" w:eastAsiaTheme="majorEastAsia" w:hAnsiTheme="majorEastAsia" w:hint="eastAsia"/>
          <w:bCs/>
          <w:sz w:val="18"/>
          <w:szCs w:val="18"/>
        </w:rPr>
        <w:t>方主体</w:t>
      </w:r>
      <w:proofErr w:type="gramEnd"/>
      <w:r>
        <w:rPr>
          <w:rFonts w:asciiTheme="majorEastAsia" w:eastAsiaTheme="majorEastAsia" w:hAnsiTheme="majorEastAsia" w:hint="eastAsia"/>
          <w:bCs/>
          <w:sz w:val="18"/>
          <w:szCs w:val="18"/>
        </w:rPr>
        <w:t>实施符合法律法规规定或协议等相关文件约定的行为导致理财产品被动提前终止。</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因法律法规变化或国家金融政策调整、紧急措施出台影响产品继续正常运作。</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法律法规规定或监管部门认定的其他情形。</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因市场成交量不足、资产限制赎回、暂停交易、缺乏意愿交易对手等原因，导致产品项下对应的投资标的无法及时变现；</w:t>
      </w:r>
      <w:r>
        <w:rPr>
          <w:rFonts w:ascii="黑体" w:eastAsia="黑体" w:hAnsi="黑体"/>
          <w:bCs/>
          <w:sz w:val="18"/>
          <w:szCs w:val="18"/>
        </w:rPr>
        <w:t xml:space="preserve"> </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因不可抗力等原因，导致产品管理人接受赎回申请后无法分配；</w:t>
      </w:r>
      <w:r>
        <w:rPr>
          <w:rFonts w:ascii="黑体" w:eastAsia="黑体" w:hAnsi="黑体"/>
          <w:bCs/>
          <w:sz w:val="18"/>
          <w:szCs w:val="18"/>
        </w:rPr>
        <w:t xml:space="preserve"> </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8C4D74" w:rsidRDefault="008C4D74" w:rsidP="008C4D74">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理财产品到期日为理财产品终止日（含提前终止）。产品到期后，理财产品终止运作，进入清算期，清算期不计算投资收益。理财资产清算后扣除理财相关费用、缴纳所欠税款并清偿理财产品负债后，理财</w:t>
      </w:r>
      <w:r>
        <w:rPr>
          <w:rFonts w:asciiTheme="majorEastAsia" w:eastAsiaTheme="majorEastAsia" w:hAnsiTheme="majorEastAsia" w:hint="eastAsia"/>
          <w:bCs/>
          <w:sz w:val="18"/>
          <w:szCs w:val="18"/>
        </w:rPr>
        <w:lastRenderedPageBreak/>
        <w:t>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工作日的，</w:t>
      </w:r>
      <w:r>
        <w:rPr>
          <w:rFonts w:asciiTheme="majorEastAsia" w:eastAsiaTheme="majorEastAsia" w:hAnsiTheme="majorEastAsia"/>
          <w:bCs/>
          <w:sz w:val="18"/>
          <w:szCs w:val="18"/>
        </w:rPr>
        <w:t>将依约</w:t>
      </w:r>
      <w:proofErr w:type="gramStart"/>
      <w:r>
        <w:rPr>
          <w:rFonts w:asciiTheme="majorEastAsia" w:eastAsiaTheme="majorEastAsia" w:hAnsiTheme="majorEastAsia" w:hint="eastAsia"/>
          <w:bCs/>
          <w:sz w:val="18"/>
          <w:szCs w:val="18"/>
        </w:rPr>
        <w:t>定进行</w:t>
      </w:r>
      <w:proofErr w:type="gramEnd"/>
      <w:r>
        <w:rPr>
          <w:rFonts w:asciiTheme="majorEastAsia" w:eastAsiaTheme="majorEastAsia" w:hAnsiTheme="majorEastAsia" w:hint="eastAsia"/>
          <w:bCs/>
          <w:sz w:val="18"/>
          <w:szCs w:val="18"/>
        </w:rPr>
        <w:t>公告。</w:t>
      </w:r>
      <w:r>
        <w:rPr>
          <w:rFonts w:asciiTheme="majorEastAsia" w:eastAsiaTheme="majorEastAsia" w:hAnsiTheme="majorEastAsia"/>
          <w:bCs/>
          <w:sz w:val="18"/>
          <w:szCs w:val="18"/>
        </w:rPr>
        <w:t xml:space="preserve"> </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部分提前终止的利益分配：产品管理人将依照协议约定公布部分提前终止日并指定利益分配日（一般为部分提前终止日之后的【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w:t>
      </w:r>
      <w:proofErr w:type="gramStart"/>
      <w:r>
        <w:rPr>
          <w:rFonts w:asciiTheme="majorEastAsia" w:eastAsiaTheme="majorEastAsia" w:hAnsiTheme="majorEastAsia" w:hint="eastAsia"/>
          <w:bCs/>
          <w:sz w:val="18"/>
          <w:szCs w:val="18"/>
        </w:rPr>
        <w:t>个</w:t>
      </w:r>
      <w:proofErr w:type="gramEnd"/>
      <w:r>
        <w:rPr>
          <w:rFonts w:asciiTheme="majorEastAsia" w:eastAsiaTheme="majorEastAsia" w:hAnsiTheme="majorEastAsia" w:hint="eastAsia"/>
          <w:bCs/>
          <w:sz w:val="18"/>
          <w:szCs w:val="18"/>
        </w:rPr>
        <w:t>工作日内将已变现资产按投资者持有理财产品份额比例分配。理财产品终止</w:t>
      </w:r>
      <w:proofErr w:type="gramStart"/>
      <w:r>
        <w:rPr>
          <w:rFonts w:asciiTheme="majorEastAsia" w:eastAsiaTheme="majorEastAsia" w:hAnsiTheme="majorEastAsia" w:hint="eastAsia"/>
          <w:bCs/>
          <w:sz w:val="18"/>
          <w:szCs w:val="18"/>
        </w:rPr>
        <w:t>日相应</w:t>
      </w:r>
      <w:proofErr w:type="gramEnd"/>
      <w:r>
        <w:rPr>
          <w:rFonts w:asciiTheme="majorEastAsia" w:eastAsiaTheme="majorEastAsia" w:hAnsiTheme="majorEastAsia" w:hint="eastAsia"/>
          <w:bCs/>
          <w:sz w:val="18"/>
          <w:szCs w:val="18"/>
        </w:rPr>
        <w:t>顺延至理财产品全部变现之日。待全部资产变现后，产品管理人依照清算条款分配理财利益至投资者账户。</w:t>
      </w:r>
    </w:p>
    <w:p w:rsidR="008C4D74" w:rsidRDefault="008C4D74" w:rsidP="008C4D74">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此外，在投资者与管理人另行协商一致延期终止本产品的情况下，相应延期期间理财产品的投资运作，费用等事宜由双方另行约定。</w:t>
      </w:r>
    </w:p>
    <w:bookmarkEnd w:id="214"/>
    <w:bookmarkEnd w:id="215"/>
    <w:bookmarkEnd w:id="216"/>
    <w:p w:rsidR="008C4D74" w:rsidRDefault="008C4D74" w:rsidP="008C4D74">
      <w:pPr>
        <w:pStyle w:val="1"/>
        <w:spacing w:before="0" w:after="0"/>
        <w:jc w:val="center"/>
        <w:rPr>
          <w:rFonts w:ascii="Times New Roman"/>
          <w:sz w:val="18"/>
          <w:szCs w:val="18"/>
        </w:rPr>
      </w:pPr>
      <w:r>
        <w:rPr>
          <w:rFonts w:ascii="Times New Roman"/>
          <w:b w:val="0"/>
          <w:kern w:val="2"/>
        </w:rPr>
        <w:br w:type="page"/>
      </w:r>
      <w:bookmarkStart w:id="217" w:name="_Toc11469"/>
      <w:bookmarkStart w:id="218" w:name="_Toc92377140"/>
      <w:bookmarkStart w:id="219" w:name="_Toc17198"/>
      <w:bookmarkStart w:id="220" w:name="_Toc123112238"/>
      <w:bookmarkStart w:id="221" w:name="_Toc32584"/>
      <w:bookmarkStart w:id="222" w:name="_Toc74065747"/>
      <w:bookmarkStart w:id="223" w:name="_Toc123102457"/>
      <w:bookmarkStart w:id="224" w:name="_Toc3329"/>
      <w:bookmarkStart w:id="225" w:name="_Toc141703890"/>
      <w:bookmarkStart w:id="226" w:name="_Toc123051456"/>
      <w:bookmarkStart w:id="227" w:name="_Toc17920"/>
      <w:bookmarkStart w:id="228" w:name="_Toc79392622"/>
      <w:bookmarkStart w:id="229" w:name="_Toc79154674"/>
      <w:bookmarkStart w:id="230" w:name="_Toc8791"/>
      <w:bookmarkStart w:id="231" w:name="_Toc739"/>
      <w:bookmarkStart w:id="232" w:name="_Toc32092"/>
      <w:bookmarkStart w:id="233" w:name="_Toc139991740"/>
      <w:bookmarkStart w:id="234" w:name="_Toc5170"/>
      <w:bookmarkStart w:id="235" w:name="_Toc29408"/>
      <w:bookmarkStart w:id="236" w:name="_Toc48649708"/>
      <w:bookmarkStart w:id="237" w:name="_Toc83391975"/>
      <w:bookmarkStart w:id="238" w:name="_Toc98560356"/>
      <w:bookmarkStart w:id="239" w:name="_Toc21237"/>
      <w:r>
        <w:rPr>
          <w:rFonts w:ascii="Times New Roman" w:hint="eastAsia"/>
          <w:sz w:val="28"/>
          <w:szCs w:val="28"/>
        </w:rPr>
        <w:lastRenderedPageBreak/>
        <w:t>第十一条</w:t>
      </w:r>
      <w:r>
        <w:rPr>
          <w:rFonts w:ascii="Times New Roman"/>
          <w:sz w:val="28"/>
          <w:szCs w:val="28"/>
        </w:rPr>
        <w:t xml:space="preserve">  </w:t>
      </w:r>
      <w:r>
        <w:rPr>
          <w:rFonts w:ascii="Times New Roman" w:hint="eastAsia"/>
          <w:sz w:val="28"/>
          <w:szCs w:val="28"/>
        </w:rPr>
        <w:t>理财产品的信息披露</w:t>
      </w:r>
      <w:bookmarkEnd w:id="217"/>
      <w:bookmarkEnd w:id="218"/>
    </w:p>
    <w:p w:rsidR="008C4D74" w:rsidRDefault="008C4D74" w:rsidP="008C4D74">
      <w:pPr>
        <w:spacing w:line="360" w:lineRule="auto"/>
        <w:ind w:firstLineChars="200"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8C4D74" w:rsidRDefault="008C4D74" w:rsidP="008C4D74">
      <w:pPr>
        <w:spacing w:line="360" w:lineRule="auto"/>
        <w:ind w:firstLineChars="200"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8C4D74" w:rsidRDefault="008C4D74" w:rsidP="008C4D74">
      <w:pPr>
        <w:spacing w:line="360" w:lineRule="auto"/>
        <w:ind w:firstLineChars="200" w:firstLine="361"/>
        <w:rPr>
          <w:rFonts w:ascii="宋体" w:hAnsi="宋体"/>
          <w:b/>
          <w:bCs/>
          <w:sz w:val="18"/>
          <w:szCs w:val="18"/>
        </w:rPr>
      </w:pPr>
      <w:r>
        <w:rPr>
          <w:rFonts w:ascii="宋体" w:hAnsi="宋体" w:hint="eastAsia"/>
          <w:b/>
          <w:bCs/>
          <w:sz w:val="18"/>
          <w:szCs w:val="18"/>
        </w:rPr>
        <w:t>（二）信息披露的渠道</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1.产品管理人将以兴业银行或销售机构的信息披露渠道（包括但不限于兴业银行或销售机构的营业网点、门户网站、电子销售渠道等）作为本理财产品的信息披露渠道。本理财产品认购期和存续期间，产品管理人将通过兴业银行或销售机构的信息披露渠道开展理财产品的信息披露工作。请投资者及时关注。</w:t>
      </w:r>
    </w:p>
    <w:p w:rsidR="008C4D74" w:rsidRDefault="008C4D74" w:rsidP="008C4D74">
      <w:pPr>
        <w:spacing w:line="360" w:lineRule="auto"/>
        <w:ind w:firstLineChars="200"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通过兴业银行或销售机构的信息披露渠道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w:t>
      </w:r>
      <w:proofErr w:type="gramStart"/>
      <w:r>
        <w:rPr>
          <w:rFonts w:ascii="黑体" w:eastAsia="黑体" w:hAnsi="黑体"/>
          <w:bCs/>
          <w:sz w:val="18"/>
          <w:szCs w:val="18"/>
        </w:rPr>
        <w:t>已适当</w:t>
      </w:r>
      <w:proofErr w:type="gramEnd"/>
      <w:r>
        <w:rPr>
          <w:rFonts w:ascii="黑体" w:eastAsia="黑体" w:hAnsi="黑体"/>
          <w:bCs/>
          <w:sz w:val="18"/>
          <w:szCs w:val="18"/>
        </w:rPr>
        <w:t>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proofErr w:type="gramStart"/>
      <w:r>
        <w:rPr>
          <w:rFonts w:ascii="宋体" w:hAnsi="宋体" w:hint="eastAsia"/>
          <w:bCs/>
          <w:sz w:val="18"/>
          <w:szCs w:val="18"/>
        </w:rPr>
        <w:t>已适当</w:t>
      </w:r>
      <w:proofErr w:type="gramEnd"/>
      <w:r>
        <w:rPr>
          <w:rFonts w:ascii="宋体" w:hAnsi="宋体" w:hint="eastAsia"/>
          <w:bCs/>
          <w:sz w:val="18"/>
          <w:szCs w:val="18"/>
        </w:rPr>
        <w:t>披露理财产品相关信息。投资者承诺将及时接收、浏览和阅读该等信息。如投资者对本产品的运作状况有任何疑问，可向产品管理人或销售机构进行咨询。</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8C4D74" w:rsidRDefault="008C4D74" w:rsidP="008C4D74">
      <w:pPr>
        <w:spacing w:line="360" w:lineRule="auto"/>
        <w:ind w:firstLineChars="200" w:firstLine="361"/>
        <w:rPr>
          <w:rFonts w:ascii="宋体" w:hAnsi="宋体"/>
          <w:b/>
          <w:bCs/>
          <w:sz w:val="18"/>
          <w:szCs w:val="18"/>
        </w:rPr>
      </w:pPr>
      <w:r>
        <w:rPr>
          <w:rFonts w:ascii="宋体" w:hAnsi="宋体" w:hint="eastAsia"/>
          <w:b/>
          <w:bCs/>
          <w:sz w:val="18"/>
          <w:szCs w:val="18"/>
        </w:rPr>
        <w:t>（三）信息披露的内容</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募集信息、产品份额净值、暂停申购或赎回、投资对象和比例、产品组合资产情况及其流动性风险分析、杠杆水平、利益分配、托管安排、投资账户信息、主要投资风险、估值方法变更、收费标准变更等信息。</w:t>
      </w:r>
    </w:p>
    <w:p w:rsidR="008C4D74" w:rsidRDefault="008C4D74" w:rsidP="008C4D74">
      <w:pPr>
        <w:spacing w:line="360" w:lineRule="auto"/>
        <w:ind w:firstLineChars="200" w:firstLine="361"/>
        <w:rPr>
          <w:rFonts w:ascii="宋体" w:hAnsi="宋体"/>
          <w:b/>
          <w:bCs/>
          <w:sz w:val="18"/>
          <w:szCs w:val="18"/>
        </w:rPr>
      </w:pPr>
      <w:r>
        <w:rPr>
          <w:rFonts w:ascii="宋体" w:hAnsi="宋体" w:hint="eastAsia"/>
          <w:b/>
          <w:bCs/>
          <w:sz w:val="18"/>
          <w:szCs w:val="18"/>
        </w:rPr>
        <w:t>（四）信息披露的频率和时间</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1.产品成立公告</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3.定期报告</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4.到期公告</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5.开放日公告</w:t>
      </w:r>
    </w:p>
    <w:p w:rsidR="008C4D74" w:rsidRDefault="008C4D74" w:rsidP="008C4D74">
      <w:pPr>
        <w:spacing w:line="360" w:lineRule="auto"/>
        <w:ind w:firstLineChars="200" w:firstLine="360"/>
        <w:rPr>
          <w:rFonts w:ascii="宋体" w:hAnsi="宋体"/>
          <w:bCs/>
          <w:sz w:val="18"/>
          <w:szCs w:val="18"/>
        </w:rPr>
      </w:pPr>
      <w:r>
        <w:rPr>
          <w:rFonts w:ascii="宋体" w:hAnsi="宋体" w:hint="eastAsia"/>
          <w:sz w:val="18"/>
          <w:szCs w:val="18"/>
        </w:rPr>
        <w:t>产品管理人</w:t>
      </w:r>
      <w:r>
        <w:rPr>
          <w:rFonts w:ascii="宋体" w:hAnsi="宋体" w:hint="eastAsia"/>
          <w:bCs/>
          <w:sz w:val="18"/>
          <w:szCs w:val="18"/>
        </w:rPr>
        <w:t>在申购日</w:t>
      </w:r>
      <w:r>
        <w:rPr>
          <w:rFonts w:ascii="宋体" w:hAnsi="宋体"/>
          <w:bCs/>
          <w:sz w:val="18"/>
          <w:szCs w:val="18"/>
        </w:rPr>
        <w:t>/赎回日结束后2个工作日内披露开放日公告，公告内容包括申购日/赎回日</w:t>
      </w:r>
      <w:r>
        <w:rPr>
          <w:rFonts w:ascii="宋体" w:hAnsi="宋体" w:hint="eastAsia"/>
          <w:bCs/>
          <w:sz w:val="18"/>
          <w:szCs w:val="18"/>
        </w:rPr>
        <w:t>的产品份额净值、产品份额累计净值、业绩比较基准（如有）、业绩报酬计提基准（如有）等。</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6</w:t>
      </w:r>
      <w:r>
        <w:rPr>
          <w:rFonts w:ascii="宋体" w:hAnsi="宋体"/>
          <w:bCs/>
          <w:sz w:val="18"/>
          <w:szCs w:val="18"/>
        </w:rPr>
        <w:t>.估值日公告</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期间，每周向投资者披露一次估值日公告，估值日公告披露的内容包括估值日的产品份额净值、产品份额累计净值、业绩比较基准（如有）、</w:t>
      </w:r>
      <w:r>
        <w:rPr>
          <w:rFonts w:ascii="宋体" w:hAnsi="宋体"/>
          <w:bCs/>
          <w:sz w:val="18"/>
          <w:szCs w:val="18"/>
        </w:rPr>
        <w:t>业绩报酬计提</w:t>
      </w:r>
      <w:r>
        <w:rPr>
          <w:rFonts w:ascii="宋体" w:hAnsi="宋体" w:hint="eastAsia"/>
          <w:bCs/>
          <w:sz w:val="18"/>
          <w:szCs w:val="18"/>
        </w:rPr>
        <w:t>基准</w:t>
      </w:r>
      <w:r>
        <w:rPr>
          <w:rFonts w:ascii="宋体" w:hAnsi="宋体"/>
          <w:bCs/>
          <w:sz w:val="18"/>
          <w:szCs w:val="18"/>
        </w:rPr>
        <w:t>（</w:t>
      </w:r>
      <w:r>
        <w:rPr>
          <w:rFonts w:ascii="宋体" w:hAnsi="宋体" w:hint="eastAsia"/>
          <w:bCs/>
          <w:sz w:val="18"/>
          <w:szCs w:val="18"/>
        </w:rPr>
        <w:t>如有</w:t>
      </w:r>
      <w:r>
        <w:rPr>
          <w:rFonts w:ascii="宋体" w:hAnsi="宋体"/>
          <w:bCs/>
          <w:sz w:val="18"/>
          <w:szCs w:val="18"/>
        </w:rPr>
        <w:t>）</w:t>
      </w:r>
      <w:r>
        <w:rPr>
          <w:rFonts w:ascii="宋体" w:hAnsi="宋体" w:hint="eastAsia"/>
          <w:bCs/>
          <w:sz w:val="18"/>
          <w:szCs w:val="18"/>
        </w:rPr>
        <w:t>等。如遇法定节假日顺延。此外，如遇其他特殊情况，以产品管理人信息披露为准。</w:t>
      </w:r>
      <w:r>
        <w:rPr>
          <w:rFonts w:ascii="宋体" w:hAnsi="宋体"/>
          <w:bCs/>
          <w:sz w:val="18"/>
          <w:szCs w:val="18"/>
        </w:rPr>
        <w:t xml:space="preserve"> </w:t>
      </w:r>
    </w:p>
    <w:p w:rsidR="008C4D74" w:rsidRDefault="008C4D74" w:rsidP="008C4D74">
      <w:pPr>
        <w:spacing w:line="360" w:lineRule="auto"/>
        <w:ind w:firstLineChars="200" w:firstLine="360"/>
        <w:rPr>
          <w:rFonts w:ascii="宋体" w:hAnsi="宋体"/>
          <w:bCs/>
          <w:sz w:val="18"/>
          <w:szCs w:val="18"/>
        </w:rPr>
      </w:pPr>
      <w:r>
        <w:rPr>
          <w:rFonts w:ascii="宋体" w:hAnsi="宋体"/>
          <w:bCs/>
          <w:sz w:val="18"/>
          <w:szCs w:val="18"/>
        </w:rPr>
        <w:t>7.临时公告</w:t>
      </w:r>
    </w:p>
    <w:p w:rsidR="008C4D74" w:rsidRDefault="008C4D74" w:rsidP="008C4D7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8C4D74" w:rsidRDefault="008C4D74" w:rsidP="008C4D7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特别提示：在一个完整投资周期结束前，管理人有权通过更新产品说明书中的业绩比较基准（如有）、业绩报酬计提基准（如有），以明确列示下一个完整投资周期对应的业绩比较基准（如有）、业绩报酬计提基准（如有），</w:t>
      </w:r>
      <w:proofErr w:type="gramStart"/>
      <w:r>
        <w:rPr>
          <w:rFonts w:ascii="黑体" w:eastAsia="黑体" w:hAnsi="黑体" w:hint="eastAsia"/>
          <w:b/>
          <w:bCs/>
          <w:sz w:val="18"/>
          <w:szCs w:val="18"/>
        </w:rPr>
        <w:t>若相关</w:t>
      </w:r>
      <w:proofErr w:type="gramEnd"/>
      <w:r>
        <w:rPr>
          <w:rFonts w:ascii="黑体" w:eastAsia="黑体" w:hAnsi="黑体" w:hint="eastAsia"/>
          <w:b/>
          <w:bCs/>
          <w:sz w:val="18"/>
          <w:szCs w:val="18"/>
        </w:rPr>
        <w:t>基准数值发生变更的，不再另行发布公告。</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w:t>
      </w:r>
      <w:r>
        <w:rPr>
          <w:rFonts w:ascii="宋体" w:hAnsi="宋体"/>
          <w:bCs/>
          <w:sz w:val="18"/>
          <w:szCs w:val="18"/>
        </w:rPr>
        <w:t>/申购</w:t>
      </w:r>
      <w:r>
        <w:rPr>
          <w:rFonts w:ascii="宋体" w:hAnsi="宋体" w:hint="eastAsia"/>
          <w:bCs/>
          <w:sz w:val="18"/>
          <w:szCs w:val="18"/>
        </w:rPr>
        <w:t>申请、暂停接受</w:t>
      </w:r>
      <w:r>
        <w:rPr>
          <w:rFonts w:ascii="宋体" w:hAnsi="宋体"/>
          <w:bCs/>
          <w:sz w:val="18"/>
          <w:szCs w:val="18"/>
        </w:rPr>
        <w:t>投资者</w:t>
      </w:r>
      <w:r>
        <w:rPr>
          <w:rFonts w:ascii="宋体" w:hAnsi="宋体" w:hint="eastAsia"/>
          <w:bCs/>
          <w:sz w:val="18"/>
          <w:szCs w:val="18"/>
        </w:rPr>
        <w:t>赎回申请、延缓支付赎回款项、</w:t>
      </w:r>
      <w:r>
        <w:rPr>
          <w:rFonts w:ascii="宋体" w:hAnsi="宋体"/>
          <w:bCs/>
          <w:sz w:val="18"/>
          <w:szCs w:val="18"/>
        </w:rPr>
        <w:t>巨额赎回</w:t>
      </w:r>
      <w:r>
        <w:rPr>
          <w:rFonts w:ascii="宋体" w:hAnsi="宋体" w:hint="eastAsia"/>
          <w:bCs/>
          <w:sz w:val="18"/>
          <w:szCs w:val="18"/>
        </w:rPr>
        <w:t>、暂停理财产品估值、采用摆动定价</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w:t>
      </w:r>
      <w:proofErr w:type="gramStart"/>
      <w:r>
        <w:rPr>
          <w:rFonts w:ascii="宋体" w:hAnsi="宋体" w:hint="eastAsia"/>
          <w:bCs/>
          <w:sz w:val="18"/>
          <w:szCs w:val="18"/>
        </w:rPr>
        <w:t>拟采取</w:t>
      </w:r>
      <w:proofErr w:type="gramEnd"/>
      <w:r>
        <w:rPr>
          <w:rFonts w:ascii="宋体" w:hAnsi="宋体" w:hint="eastAsia"/>
          <w:bCs/>
          <w:sz w:val="18"/>
          <w:szCs w:val="18"/>
        </w:rPr>
        <w:t>的应对安排等</w:t>
      </w:r>
      <w:r>
        <w:rPr>
          <w:rFonts w:ascii="宋体" w:hAnsi="宋体"/>
          <w:bCs/>
          <w:sz w:val="18"/>
          <w:szCs w:val="18"/>
        </w:rPr>
        <w:t>。</w:t>
      </w:r>
      <w:r>
        <w:rPr>
          <w:rFonts w:ascii="宋体" w:hAnsi="宋体" w:hint="eastAsia"/>
          <w:bCs/>
          <w:sz w:val="18"/>
          <w:szCs w:val="18"/>
        </w:rPr>
        <w:t>在发生涉及产品认购、申购或赎回事项调整或潜在影响投资者赎回等事项时，管理人将发布临时公告。</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8C4D74" w:rsidRDefault="008C4D74" w:rsidP="008C4D74">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8C4D74" w:rsidRDefault="008C4D74" w:rsidP="008C4D74">
      <w:pPr>
        <w:spacing w:line="360" w:lineRule="auto"/>
        <w:ind w:firstLineChars="200" w:firstLine="361"/>
        <w:rPr>
          <w:bCs/>
          <w:sz w:val="24"/>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w:t>
      </w:r>
      <w:proofErr w:type="gramStart"/>
      <w:r>
        <w:rPr>
          <w:rFonts w:ascii="黑体" w:eastAsia="黑体" w:hAnsi="黑体" w:hint="eastAsia"/>
          <w:b/>
          <w:bCs/>
          <w:sz w:val="18"/>
          <w:szCs w:val="18"/>
        </w:rPr>
        <w:t>若构成</w:t>
      </w:r>
      <w:proofErr w:type="gramEnd"/>
      <w:r>
        <w:rPr>
          <w:rFonts w:ascii="黑体" w:eastAsia="黑体" w:hAnsi="黑体" w:hint="eastAsia"/>
          <w:b/>
          <w:bCs/>
          <w:sz w:val="18"/>
          <w:szCs w:val="18"/>
        </w:rPr>
        <w:t>对投资者利益产生实质性不利影响或涉及当事人权利义务的重大变更的，投资者有权不接受变更，并可按照理财产品销售文件约定的方式退出（若为封闭式理</w:t>
      </w:r>
      <w:r>
        <w:rPr>
          <w:rFonts w:ascii="黑体" w:eastAsia="黑体" w:hAnsi="黑体" w:hint="eastAsia"/>
          <w:b/>
          <w:bCs/>
          <w:sz w:val="18"/>
          <w:szCs w:val="18"/>
        </w:rPr>
        <w:lastRenderedPageBreak/>
        <w:t>财产品的，在符合法律法规及监管政策的前提下，可由管理人另行决定投资者的退出方式）。若投资者未选择退出本产品的，则视为已理解并接受管理人的相应变更。</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sz w:val="24"/>
        </w:rPr>
        <w:br w:type="page"/>
      </w:r>
    </w:p>
    <w:p w:rsidR="008C4D74" w:rsidRDefault="008C4D74" w:rsidP="008C4D74">
      <w:pPr>
        <w:pStyle w:val="1"/>
        <w:spacing w:before="0" w:after="0"/>
        <w:jc w:val="center"/>
        <w:rPr>
          <w:rFonts w:ascii="Times New Roman"/>
          <w:b w:val="0"/>
          <w:sz w:val="30"/>
        </w:rPr>
      </w:pPr>
      <w:bookmarkStart w:id="240" w:name="_Toc92377141"/>
      <w:bookmarkStart w:id="241" w:name="_Toc79154675"/>
      <w:bookmarkStart w:id="242" w:name="_Toc24766"/>
      <w:r>
        <w:rPr>
          <w:rFonts w:ascii="Times New Roman" w:hint="eastAsia"/>
          <w:sz w:val="30"/>
        </w:rPr>
        <w:lastRenderedPageBreak/>
        <w:t>第十二条</w:t>
      </w:r>
      <w:r>
        <w:rPr>
          <w:rFonts w:ascii="Times New Roman"/>
          <w:sz w:val="30"/>
        </w:rPr>
        <w:t xml:space="preserve">  </w:t>
      </w:r>
      <w:r>
        <w:rPr>
          <w:rFonts w:ascii="Times New Roman" w:hint="eastAsia"/>
          <w:sz w:val="30"/>
        </w:rPr>
        <w:t>理财产品</w:t>
      </w:r>
      <w:r>
        <w:rPr>
          <w:rFonts w:ascii="Times New Roman"/>
          <w:sz w:val="30"/>
        </w:rPr>
        <w:t>的风险揭示</w:t>
      </w:r>
      <w:bookmarkEnd w:id="240"/>
      <w:bookmarkEnd w:id="241"/>
      <w:bookmarkEnd w:id="242"/>
    </w:p>
    <w:p w:rsidR="008C4D74" w:rsidRDefault="008C4D74" w:rsidP="008C4D74">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1.拟投资市场和资产的风险：</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（1）投资固定收益类资产的风险</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1）投资标准化债权类资产的风险</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本产品投资债券、资产支持证券等固定收益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2）投资非标准化债权类资产的风险</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本产品投资非标债权类资产时可能面临以下风险：由于融资主体/增</w:t>
      </w:r>
      <w:proofErr w:type="gramStart"/>
      <w:r>
        <w:rPr>
          <w:rFonts w:ascii="宋体" w:hAnsi="宋体" w:hint="eastAsia"/>
          <w:bCs/>
          <w:sz w:val="18"/>
          <w:szCs w:val="18"/>
        </w:rPr>
        <w:t>信主体</w:t>
      </w:r>
      <w:proofErr w:type="gramEnd"/>
      <w:r>
        <w:rPr>
          <w:rFonts w:ascii="宋体" w:hAnsi="宋体" w:hint="eastAsia"/>
          <w:bCs/>
          <w:sz w:val="18"/>
          <w:szCs w:val="18"/>
        </w:rPr>
        <w:t>/其他义务人还款履约能力可能的变化导致的信用风险（包括但不限于：融资主体提前还款、延期还款或逾期还款的风险；增</w:t>
      </w:r>
      <w:proofErr w:type="gramStart"/>
      <w:r>
        <w:rPr>
          <w:rFonts w:ascii="宋体" w:hAnsi="宋体" w:hint="eastAsia"/>
          <w:bCs/>
          <w:sz w:val="18"/>
          <w:szCs w:val="18"/>
        </w:rPr>
        <w:t>信主体</w:t>
      </w:r>
      <w:proofErr w:type="gramEnd"/>
      <w:r>
        <w:rPr>
          <w:rFonts w:ascii="宋体" w:hAnsi="宋体" w:hint="eastAsia"/>
          <w:bCs/>
          <w:sz w:val="18"/>
          <w:szCs w:val="18"/>
        </w:rPr>
        <w:t>未能履行增信义务（例如：保证担保、差额补足、远期回购、流动性</w:t>
      </w:r>
      <w:proofErr w:type="gramStart"/>
      <w:r>
        <w:rPr>
          <w:rFonts w:ascii="宋体" w:hAnsi="宋体" w:hint="eastAsia"/>
          <w:bCs/>
          <w:sz w:val="18"/>
          <w:szCs w:val="18"/>
        </w:rPr>
        <w:t>支持等增信</w:t>
      </w:r>
      <w:proofErr w:type="gramEnd"/>
      <w:r>
        <w:rPr>
          <w:rFonts w:ascii="宋体" w:hAnsi="宋体" w:hint="eastAsia"/>
          <w:bCs/>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 xml:space="preserve">（2）投资权益类资产的风险 </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1）投资股票类资产的风险</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2）投资股权类资产的风险</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 xml:space="preserve">（3）投资商品和金融衍生品类资产的风险 </w:t>
      </w:r>
    </w:p>
    <w:p w:rsidR="008C4D74" w:rsidRDefault="008C4D74" w:rsidP="008C4D74">
      <w:pPr>
        <w:spacing w:line="360" w:lineRule="auto"/>
        <w:ind w:firstLineChars="200" w:firstLine="360"/>
        <w:rPr>
          <w:rFonts w:ascii="宋体" w:hAnsi="宋体"/>
          <w:bCs/>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w:t>
      </w:r>
      <w:r>
        <w:rPr>
          <w:rFonts w:ascii="宋体" w:hAnsi="宋体" w:hint="eastAsia"/>
          <w:bCs/>
          <w:sz w:val="18"/>
          <w:szCs w:val="18"/>
        </w:rPr>
        <w:lastRenderedPageBreak/>
        <w:t>失以及交易成本损失的情况，对投资产生不利影响；当本产品投资的衍生品保证金不足时，可能使所持有的头寸面临被强制平仓的风险。</w:t>
      </w:r>
    </w:p>
    <w:p w:rsidR="008C4D74" w:rsidRDefault="008C4D74" w:rsidP="008C4D74">
      <w:pPr>
        <w:spacing w:line="360" w:lineRule="auto"/>
        <w:ind w:firstLineChars="200" w:firstLine="361"/>
        <w:rPr>
          <w:rFonts w:ascii="宋体" w:hAnsi="宋体"/>
          <w:b/>
          <w:sz w:val="18"/>
          <w:szCs w:val="18"/>
        </w:rPr>
      </w:pPr>
      <w:r>
        <w:rPr>
          <w:rFonts w:ascii="宋体" w:hAnsi="宋体" w:hint="eastAsia"/>
          <w:b/>
          <w:sz w:val="18"/>
          <w:szCs w:val="18"/>
        </w:rPr>
        <w:t>★注：以上特定风险仅为列举性质，未能详尽列明投资本产品可能面临的全部风险和可能导致投资者投资本金及收益损失的所有因素。</w:t>
      </w:r>
    </w:p>
    <w:p w:rsidR="008C4D74" w:rsidRDefault="008C4D74" w:rsidP="008C4D74">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.市场</w:t>
      </w:r>
      <w:r>
        <w:rPr>
          <w:rFonts w:ascii="宋体" w:hAnsi="宋体"/>
          <w:sz w:val="18"/>
          <w:szCs w:val="18"/>
        </w:rPr>
        <w:t>风险：</w:t>
      </w: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hint="eastAsia"/>
          <w:sz w:val="18"/>
          <w:szCs w:val="18"/>
        </w:rPr>
        <w:t>品投资</w:t>
      </w:r>
      <w:proofErr w:type="gramEnd"/>
      <w:r>
        <w:rPr>
          <w:rFonts w:ascii="宋体" w:hAnsi="宋体" w:hint="eastAsia"/>
          <w:sz w:val="18"/>
          <w:szCs w:val="18"/>
        </w:rPr>
        <w:t>风险等。</w:t>
      </w:r>
    </w:p>
    <w:p w:rsidR="008C4D74" w:rsidRDefault="008C4D74" w:rsidP="008C4D74">
      <w:pPr>
        <w:spacing w:line="360" w:lineRule="auto"/>
        <w:ind w:firstLineChars="200" w:firstLine="360"/>
        <w:rPr>
          <w:rFonts w:ascii="宋体" w:hAnsi="宋体"/>
          <w:sz w:val="18"/>
          <w:szCs w:val="18"/>
        </w:rPr>
      </w:pPr>
      <w:r>
        <w:rPr>
          <w:rFonts w:ascii="宋体" w:hAnsi="宋体" w:hint="eastAsia"/>
          <w:sz w:val="18"/>
          <w:szCs w:val="18"/>
        </w:rPr>
        <w:t>4.流动性风险：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hint="eastAsia"/>
          <w:sz w:val="18"/>
          <w:szCs w:val="18"/>
        </w:rPr>
        <w:t>现及其</w:t>
      </w:r>
      <w:proofErr w:type="gramEnd"/>
      <w:r>
        <w:rPr>
          <w:rFonts w:ascii="宋体" w:hAnsi="宋体" w:hint="eastAsia"/>
          <w:sz w:val="18"/>
          <w:szCs w:val="18"/>
        </w:rPr>
        <w:t>他流动性风险。</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5</w:t>
      </w:r>
      <w:r>
        <w:rPr>
          <w:rFonts w:ascii="宋体" w:hAnsi="宋体" w:hint="eastAsia"/>
          <w:sz w:val="18"/>
          <w:szCs w:val="18"/>
        </w:rPr>
        <w:t>.</w:t>
      </w:r>
      <w:r>
        <w:rPr>
          <w:rFonts w:ascii="宋体" w:hAnsi="宋体"/>
          <w:sz w:val="18"/>
          <w:szCs w:val="18"/>
        </w:rPr>
        <w:t>法律与政策风险：</w:t>
      </w: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w:t>
      </w:r>
      <w:r>
        <w:rPr>
          <w:rFonts w:ascii="宋体" w:hAnsi="宋体"/>
          <w:sz w:val="18"/>
          <w:szCs w:val="18"/>
        </w:rPr>
        <w:t>延期</w:t>
      </w:r>
      <w:r>
        <w:rPr>
          <w:rFonts w:ascii="宋体" w:hAnsi="宋体" w:hint="eastAsia"/>
          <w:sz w:val="18"/>
          <w:szCs w:val="18"/>
        </w:rPr>
        <w:t>分配</w:t>
      </w:r>
      <w:r>
        <w:rPr>
          <w:rFonts w:ascii="宋体" w:hAnsi="宋体"/>
          <w:sz w:val="18"/>
          <w:szCs w:val="18"/>
        </w:rPr>
        <w:t>风险：</w:t>
      </w: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w:t>
      </w:r>
      <w:proofErr w:type="gramStart"/>
      <w:r>
        <w:rPr>
          <w:rFonts w:ascii="宋体" w:hAnsi="宋体"/>
          <w:sz w:val="18"/>
          <w:szCs w:val="18"/>
        </w:rPr>
        <w:t>早偿风险</w:t>
      </w:r>
      <w:proofErr w:type="gramEnd"/>
      <w:r>
        <w:rPr>
          <w:rFonts w:ascii="宋体" w:hAnsi="宋体"/>
          <w:sz w:val="18"/>
          <w:szCs w:val="18"/>
        </w:rPr>
        <w:t>：</w:t>
      </w:r>
      <w:r>
        <w:rPr>
          <w:rFonts w:ascii="宋体" w:hAnsi="宋体" w:hint="eastAsia"/>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8C4D74" w:rsidRDefault="008C4D74" w:rsidP="008C4D74">
      <w:pPr>
        <w:spacing w:line="360" w:lineRule="auto"/>
        <w:ind w:firstLineChars="200" w:firstLine="360"/>
        <w:rPr>
          <w:rFonts w:ascii="黑体" w:eastAsia="黑体" w:hAnsi="黑体"/>
          <w:sz w:val="18"/>
          <w:szCs w:val="18"/>
        </w:rPr>
      </w:pPr>
      <w:r>
        <w:rPr>
          <w:rFonts w:ascii="黑体" w:eastAsia="黑体" w:hAnsi="黑体"/>
          <w:sz w:val="18"/>
          <w:szCs w:val="18"/>
        </w:rPr>
        <w:t>8. ★信息传递风险：</w:t>
      </w:r>
      <w:r>
        <w:rPr>
          <w:rFonts w:ascii="黑体" w:eastAsia="黑体" w:hAnsi="黑体" w:hint="eastAsia"/>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w:t>
      </w:r>
      <w:r>
        <w:rPr>
          <w:rFonts w:ascii="黑体" w:eastAsia="黑体" w:hAnsi="黑体"/>
          <w:sz w:val="18"/>
          <w:szCs w:val="18"/>
        </w:rPr>
        <w:lastRenderedPageBreak/>
        <w:t>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w:t>
      </w:r>
      <w:r>
        <w:rPr>
          <w:rFonts w:ascii="宋体" w:hAnsi="宋体"/>
          <w:sz w:val="18"/>
          <w:szCs w:val="18"/>
        </w:rPr>
        <w:t>不可抗力及意外事件风险：</w:t>
      </w:r>
      <w:r>
        <w:rPr>
          <w:rFonts w:ascii="宋体" w:hAnsi="宋体" w:hint="eastAsia"/>
          <w:sz w:val="18"/>
          <w:szCs w:val="18"/>
        </w:rPr>
        <w:t>因战争、自然灾害、重大政治事件等不可抗力以及其他不可预见的意外事件可能致使理财产品面临损失的风险。</w:t>
      </w:r>
    </w:p>
    <w:p w:rsidR="008C4D74" w:rsidRDefault="008C4D74" w:rsidP="008C4D74">
      <w:pPr>
        <w:spacing w:line="360" w:lineRule="auto"/>
        <w:ind w:firstLineChars="200" w:firstLine="360"/>
        <w:rPr>
          <w:rFonts w:ascii="宋体" w:hAnsi="宋体"/>
          <w:bCs/>
          <w:sz w:val="18"/>
          <w:szCs w:val="18"/>
        </w:rPr>
      </w:pPr>
      <w:r>
        <w:rPr>
          <w:rFonts w:ascii="宋体" w:hAnsi="宋体"/>
          <w:sz w:val="18"/>
          <w:szCs w:val="18"/>
        </w:rPr>
        <w:t>10</w:t>
      </w:r>
      <w:r>
        <w:rPr>
          <w:rFonts w:ascii="宋体" w:hAnsi="宋体" w:hint="eastAsia"/>
          <w:sz w:val="18"/>
          <w:szCs w:val="18"/>
        </w:rPr>
        <w:t>.</w:t>
      </w:r>
      <w:r>
        <w:rPr>
          <w:rFonts w:ascii="宋体" w:hAnsi="宋体"/>
          <w:sz w:val="18"/>
          <w:szCs w:val="18"/>
        </w:rPr>
        <w:t>管理人风险：</w:t>
      </w:r>
      <w:r>
        <w:rPr>
          <w:rFonts w:ascii="宋体" w:hAnsi="宋体" w:hint="eastAsia"/>
          <w:sz w:val="18"/>
          <w:szCs w:val="18"/>
        </w:rPr>
        <w:t>理财产品管理人或理财投资资产相关服务机构受经验、技能等因素的限制，或者上述主体处理事务不当等，可能导致投资者遭受损失。</w:t>
      </w:r>
      <w:r>
        <w:rPr>
          <w:rFonts w:ascii="宋体" w:hAnsi="宋体"/>
          <w:bCs/>
          <w:sz w:val="18"/>
          <w:szCs w:val="18"/>
        </w:rPr>
        <w:t xml:space="preserve"> </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.理财产品不成立风险：如自本产品开始募集至认购期结束</w:t>
      </w:r>
      <w:proofErr w:type="gramStart"/>
      <w:r>
        <w:rPr>
          <w:rFonts w:ascii="宋体" w:hAnsi="宋体" w:hint="eastAsia"/>
          <w:sz w:val="18"/>
          <w:szCs w:val="18"/>
        </w:rPr>
        <w:t>认购总</w:t>
      </w:r>
      <w:proofErr w:type="gramEnd"/>
      <w:r>
        <w:rPr>
          <w:rFonts w:ascii="宋体" w:hAnsi="宋体" w:hint="eastAsia"/>
          <w:sz w:val="18"/>
          <w:szCs w:val="18"/>
        </w:rPr>
        <w:t>金额未达到产品最小成立规模（如有约定），或</w:t>
      </w:r>
      <w:r>
        <w:rPr>
          <w:rFonts w:ascii="宋体" w:hAnsi="宋体"/>
          <w:sz w:val="18"/>
          <w:szCs w:val="18"/>
        </w:rPr>
        <w:t>融资人取消</w:t>
      </w:r>
      <w:r>
        <w:rPr>
          <w:rFonts w:ascii="宋体" w:hAnsi="宋体" w:hint="eastAsia"/>
          <w:sz w:val="18"/>
          <w:szCs w:val="18"/>
        </w:rPr>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w:t>
      </w:r>
      <w:r>
        <w:rPr>
          <w:rFonts w:ascii="宋体" w:hAnsi="宋体"/>
          <w:sz w:val="18"/>
          <w:szCs w:val="18"/>
        </w:rPr>
        <w:t>操作风险：</w:t>
      </w: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13.估值</w:t>
      </w:r>
      <w:r>
        <w:rPr>
          <w:rFonts w:ascii="宋体" w:hAnsi="宋体" w:hint="eastAsia"/>
          <w:sz w:val="18"/>
          <w:szCs w:val="18"/>
        </w:rPr>
        <w:t>波动</w:t>
      </w:r>
      <w:r>
        <w:rPr>
          <w:rFonts w:ascii="宋体" w:hAnsi="宋体"/>
          <w:sz w:val="18"/>
          <w:szCs w:val="18"/>
        </w:rPr>
        <w:t>风险：</w:t>
      </w: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14</w:t>
      </w:r>
      <w:r>
        <w:rPr>
          <w:rFonts w:ascii="宋体" w:hAnsi="宋体" w:hint="eastAsia"/>
          <w:sz w:val="18"/>
          <w:szCs w:val="18"/>
        </w:rPr>
        <w:t>.</w:t>
      </w:r>
      <w:r>
        <w:rPr>
          <w:rFonts w:ascii="宋体" w:hAnsi="宋体"/>
          <w:sz w:val="18"/>
          <w:szCs w:val="18"/>
        </w:rPr>
        <w:t>估值差错风险：</w:t>
      </w: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t>15</w:t>
      </w:r>
      <w:r>
        <w:rPr>
          <w:rFonts w:ascii="宋体" w:hAnsi="宋体" w:hint="eastAsia"/>
          <w:sz w:val="18"/>
          <w:szCs w:val="18"/>
        </w:rPr>
        <w:t>.★</w:t>
      </w:r>
      <w:r>
        <w:rPr>
          <w:rFonts w:ascii="黑体" w:eastAsia="黑体" w:hAnsi="黑体" w:hint="eastAsia"/>
          <w:sz w:val="18"/>
          <w:szCs w:val="18"/>
        </w:rPr>
        <w:t>代销风险：本理财产品若通过非产品管理人自有渠道进行销售的属于代理销售，认购</w:t>
      </w:r>
      <w:r>
        <w:rPr>
          <w:rFonts w:ascii="黑体" w:eastAsia="黑体" w:hAnsi="黑体"/>
          <w:sz w:val="18"/>
          <w:szCs w:val="18"/>
        </w:rPr>
        <w:t>/</w:t>
      </w:r>
      <w:r>
        <w:rPr>
          <w:rFonts w:ascii="黑体" w:eastAsia="黑体" w:hAnsi="黑体" w:hint="eastAsia"/>
          <w:sz w:val="18"/>
          <w:szCs w:val="18"/>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sz w:val="18"/>
          <w:szCs w:val="18"/>
        </w:rPr>
        <w:t>申购/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sz w:val="18"/>
          <w:szCs w:val="18"/>
        </w:rPr>
        <w:t>不</w:t>
      </w:r>
      <w:proofErr w:type="gramEnd"/>
      <w:r>
        <w:rPr>
          <w:rFonts w:ascii="黑体" w:eastAsia="黑体" w:hAnsi="黑体" w:hint="eastAsia"/>
          <w:sz w:val="18"/>
          <w:szCs w:val="18"/>
        </w:rPr>
        <w:t>免除因代理销售机构过错依法应由代理销售机构承担的责任。</w:t>
      </w:r>
    </w:p>
    <w:p w:rsidR="008C4D74" w:rsidRDefault="008C4D74" w:rsidP="008C4D74">
      <w:pPr>
        <w:spacing w:line="360" w:lineRule="auto"/>
        <w:ind w:firstLineChars="200" w:firstLine="360"/>
        <w:rPr>
          <w:rFonts w:ascii="黑体" w:eastAsia="黑体" w:hAnsi="黑体"/>
          <w:sz w:val="18"/>
          <w:szCs w:val="18"/>
        </w:rPr>
      </w:pPr>
      <w:r>
        <w:rPr>
          <w:rFonts w:ascii="黑体" w:eastAsia="黑体" w:hAnsi="黑体"/>
          <w:sz w:val="18"/>
          <w:szCs w:val="18"/>
        </w:rPr>
        <w:t>16.</w:t>
      </w:r>
      <w:r>
        <w:rPr>
          <w:rFonts w:ascii="黑体" w:eastAsia="黑体" w:hAnsi="黑体" w:hint="eastAsia"/>
          <w:sz w:val="18"/>
          <w:szCs w:val="18"/>
        </w:rPr>
        <w:t>★不同理财产品份额类别存在差异的风险：理财产品管理人可根据投资者购买理财产品的金额、销售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8C4D74" w:rsidRDefault="008C4D74" w:rsidP="008C4D74">
      <w:pPr>
        <w:spacing w:line="360" w:lineRule="auto"/>
        <w:ind w:firstLineChars="200" w:firstLine="360"/>
        <w:rPr>
          <w:rFonts w:ascii="宋体" w:hAnsi="宋体"/>
          <w:sz w:val="18"/>
          <w:szCs w:val="18"/>
        </w:rPr>
      </w:pPr>
      <w:r>
        <w:rPr>
          <w:rFonts w:ascii="宋体" w:hAnsi="宋体"/>
          <w:sz w:val="18"/>
          <w:szCs w:val="18"/>
        </w:rPr>
        <w:lastRenderedPageBreak/>
        <w:t>17.</w:t>
      </w:r>
      <w:r>
        <w:rPr>
          <w:rFonts w:ascii="黑体" w:eastAsia="黑体" w:hAnsi="黑体" w:hint="eastAsia"/>
          <w:sz w:val="18"/>
          <w:szCs w:val="18"/>
        </w:rPr>
        <w:t xml:space="preserve"> 关联交易风险</w:t>
      </w: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不利影响和投资</w:t>
      </w:r>
      <w:r>
        <w:rPr>
          <w:rFonts w:ascii="宋体" w:hAnsi="宋体" w:hint="eastAsia"/>
          <w:sz w:val="18"/>
          <w:szCs w:val="18"/>
        </w:rPr>
        <w:t>风险，进而可能影响投资者的利益。</w:t>
      </w:r>
    </w:p>
    <w:p w:rsidR="008C4D74" w:rsidRDefault="008C4D74" w:rsidP="008C4D74">
      <w:pPr>
        <w:spacing w:line="360" w:lineRule="auto"/>
        <w:ind w:firstLineChars="200" w:firstLine="361"/>
        <w:rPr>
          <w:rFonts w:ascii="黑体" w:eastAsia="黑体" w:hAnsi="黑体"/>
          <w:b/>
          <w:sz w:val="18"/>
          <w:szCs w:val="18"/>
        </w:rPr>
      </w:pPr>
      <w:r>
        <w:rPr>
          <w:rFonts w:ascii="黑体" w:eastAsia="黑体" w:hAnsi="黑体" w:hint="eastAsia"/>
          <w:b/>
          <w:sz w:val="18"/>
          <w:szCs w:val="18"/>
        </w:rPr>
        <w:t>（</w:t>
      </w:r>
      <w:r>
        <w:rPr>
          <w:rFonts w:ascii="黑体" w:eastAsia="黑体" w:hAnsi="黑体"/>
          <w:b/>
          <w:sz w:val="18"/>
          <w:szCs w:val="18"/>
        </w:rPr>
        <w:t>三</w:t>
      </w:r>
      <w:r>
        <w:rPr>
          <w:rFonts w:ascii="黑体" w:eastAsia="黑体" w:hAnsi="黑体" w:hint="eastAsia"/>
          <w:b/>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8C4D74" w:rsidRDefault="008C4D74" w:rsidP="008C4D74">
      <w:pPr>
        <w:spacing w:line="360" w:lineRule="auto"/>
        <w:ind w:firstLineChars="200" w:firstLine="360"/>
        <w:rPr>
          <w:rFonts w:ascii="宋体" w:hAnsi="宋体"/>
          <w:sz w:val="18"/>
          <w:szCs w:val="18"/>
        </w:rPr>
      </w:pPr>
    </w:p>
    <w:p w:rsidR="008C4D74" w:rsidRDefault="008C4D74" w:rsidP="008C4D74">
      <w:pPr>
        <w:pStyle w:val="Default"/>
        <w:spacing w:line="360" w:lineRule="auto"/>
        <w:rPr>
          <w:rFonts w:hAnsi="宋体"/>
          <w:sz w:val="18"/>
          <w:szCs w:val="18"/>
        </w:rPr>
      </w:pPr>
    </w:p>
    <w:p w:rsidR="008C4D74" w:rsidRDefault="008C4D74">
      <w:pPr>
        <w:sectPr w:rsidR="008C4D74">
          <w:headerReference w:type="default" r:id="rId18"/>
          <w:footerReference w:type="default" r:id="rId19"/>
          <w:pgSz w:w="11906" w:h="16838"/>
          <w:pgMar w:top="1276" w:right="1800" w:bottom="1418" w:left="1800" w:header="567" w:footer="850" w:gutter="0"/>
          <w:pgNumType w:start="1"/>
          <w:cols w:space="425"/>
          <w:docGrid w:type="lines" w:linePitch="312"/>
        </w:sectPr>
      </w:pPr>
    </w:p>
    <w:p w:rsidR="008C4D74" w:rsidRDefault="008C4D74" w:rsidP="008C4D74">
      <w:pPr>
        <w:widowControl/>
        <w:spacing w:before="156"/>
        <w:jc w:val="center"/>
        <w:rPr>
          <w:rFonts w:ascii="黑体" w:eastAsia="黑体" w:hAnsi="黑体"/>
          <w:b/>
          <w:sz w:val="28"/>
          <w:szCs w:val="28"/>
        </w:rPr>
      </w:pPr>
      <w:r>
        <w:rPr>
          <w:rFonts w:ascii="黑体" w:eastAsia="黑体" w:hAnsi="黑体" w:hint="eastAsia"/>
          <w:b/>
          <w:sz w:val="28"/>
          <w:szCs w:val="28"/>
        </w:rPr>
        <w:lastRenderedPageBreak/>
        <w:t>兴银理财【天天万利宝稳利】净值型理财产品</w:t>
      </w:r>
    </w:p>
    <w:p w:rsidR="008C4D74" w:rsidRDefault="008C4D74" w:rsidP="008C4D74">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8C4D74" w:rsidRDefault="008C4D74" w:rsidP="008C4D74">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8C4D74" w:rsidRDefault="008C4D74" w:rsidP="008C4D74">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8C4D74" w:rsidRDefault="008C4D74" w:rsidP="008C4D7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8C4D74" w:rsidTr="008D10E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8C4D74" w:rsidRDefault="008C4D74" w:rsidP="008D10E8">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8C4D74" w:rsidRDefault="008C4D74" w:rsidP="008D10E8">
            <w:pPr>
              <w:pStyle w:val="a4"/>
              <w:spacing w:line="320" w:lineRule="exact"/>
              <w:rPr>
                <w:rFonts w:ascii="宋体" w:hAnsi="宋体"/>
                <w:b/>
                <w:bCs/>
                <w:sz w:val="28"/>
                <w:szCs w:val="28"/>
              </w:rPr>
            </w:pPr>
          </w:p>
        </w:tc>
      </w:tr>
      <w:tr w:rsidR="008C4D74" w:rsidTr="008D10E8">
        <w:trPr>
          <w:cantSplit/>
          <w:trHeight w:hRule="exact" w:val="170"/>
          <w:jc w:val="center"/>
        </w:trPr>
        <w:tc>
          <w:tcPr>
            <w:tcW w:w="7598" w:type="dxa"/>
            <w:gridSpan w:val="6"/>
            <w:shd w:val="pct10" w:color="A6A6A6" w:themeColor="background1" w:themeShade="A6" w:fill="A6A6A6" w:themeFill="background1" w:themeFillShade="A6"/>
            <w:vAlign w:val="center"/>
          </w:tcPr>
          <w:p w:rsidR="008C4D74" w:rsidRDefault="008C4D74" w:rsidP="008D10E8">
            <w:pPr>
              <w:pStyle w:val="a4"/>
              <w:spacing w:line="320" w:lineRule="exact"/>
              <w:rPr>
                <w:rFonts w:ascii="宋体" w:hAnsi="宋体"/>
                <w:b/>
                <w:bCs/>
                <w:sz w:val="28"/>
                <w:szCs w:val="28"/>
              </w:rPr>
            </w:pPr>
          </w:p>
        </w:tc>
      </w:tr>
      <w:tr w:rsidR="008C4D74" w:rsidTr="008D10E8">
        <w:trPr>
          <w:trHeight w:hRule="exact" w:val="340"/>
          <w:jc w:val="center"/>
        </w:trPr>
        <w:tc>
          <w:tcPr>
            <w:tcW w:w="817" w:type="dxa"/>
            <w:vMerge w:val="restart"/>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8C4D74" w:rsidRDefault="008C4D74" w:rsidP="008D10E8">
            <w:pPr>
              <w:spacing w:line="320" w:lineRule="exact"/>
              <w:jc w:val="left"/>
              <w:rPr>
                <w:rFonts w:ascii="宋体" w:hAnsi="宋体"/>
                <w:b/>
                <w:bCs/>
                <w:sz w:val="18"/>
                <w:szCs w:val="18"/>
              </w:rPr>
            </w:pPr>
          </w:p>
        </w:tc>
        <w:tc>
          <w:tcPr>
            <w:tcW w:w="1234" w:type="dxa"/>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8C4D74" w:rsidRDefault="008C4D74" w:rsidP="008D10E8">
            <w:pPr>
              <w:spacing w:line="320" w:lineRule="exact"/>
              <w:jc w:val="left"/>
              <w:rPr>
                <w:rFonts w:ascii="宋体" w:hAnsi="宋体"/>
                <w:b/>
                <w:bCs/>
                <w:sz w:val="18"/>
                <w:szCs w:val="18"/>
              </w:rPr>
            </w:pPr>
          </w:p>
        </w:tc>
        <w:tc>
          <w:tcPr>
            <w:tcW w:w="1234" w:type="dxa"/>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340"/>
          <w:jc w:val="center"/>
        </w:trPr>
        <w:tc>
          <w:tcPr>
            <w:tcW w:w="817" w:type="dxa"/>
            <w:vMerge/>
            <w:tcBorders>
              <w:bottom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8C4D74" w:rsidRDefault="008C4D74" w:rsidP="008D10E8">
            <w:pPr>
              <w:spacing w:line="320" w:lineRule="exact"/>
              <w:jc w:val="left"/>
              <w:rPr>
                <w:rFonts w:ascii="宋体" w:hAnsi="宋体"/>
                <w:b/>
                <w:bCs/>
                <w:sz w:val="18"/>
                <w:szCs w:val="18"/>
              </w:rPr>
            </w:pPr>
          </w:p>
        </w:tc>
      </w:tr>
      <w:tr w:rsidR="008C4D74" w:rsidTr="008D10E8">
        <w:trPr>
          <w:trHeight w:hRule="exact" w:val="170"/>
          <w:jc w:val="center"/>
        </w:trPr>
        <w:tc>
          <w:tcPr>
            <w:tcW w:w="7598" w:type="dxa"/>
            <w:gridSpan w:val="6"/>
            <w:shd w:val="pct10" w:color="FFFFFF" w:fill="A6A6A6" w:themeFill="background1" w:themeFillShade="A6"/>
            <w:vAlign w:val="center"/>
          </w:tcPr>
          <w:p w:rsidR="008C4D74" w:rsidRDefault="008C4D74" w:rsidP="008D10E8">
            <w:pPr>
              <w:pStyle w:val="a4"/>
              <w:pBdr>
                <w:bottom w:val="none" w:sz="0" w:space="0" w:color="auto"/>
              </w:pBdr>
              <w:spacing w:line="320" w:lineRule="exact"/>
              <w:rPr>
                <w:rFonts w:ascii="宋体" w:hAnsi="宋体"/>
                <w:b/>
                <w:bCs/>
                <w:sz w:val="28"/>
                <w:szCs w:val="28"/>
              </w:rPr>
            </w:pPr>
          </w:p>
        </w:tc>
      </w:tr>
      <w:tr w:rsidR="008C4D74" w:rsidTr="008D10E8">
        <w:trPr>
          <w:trHeight w:val="402"/>
          <w:jc w:val="center"/>
        </w:trPr>
        <w:tc>
          <w:tcPr>
            <w:tcW w:w="817" w:type="dxa"/>
            <w:vMerge w:val="restart"/>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8C4D74" w:rsidRDefault="008C4D74" w:rsidP="008D10E8">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8C4D74" w:rsidRDefault="008C4D74" w:rsidP="008D10E8">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8C4D74" w:rsidRDefault="008C4D74" w:rsidP="008D10E8">
            <w:pPr>
              <w:spacing w:line="320" w:lineRule="exact"/>
              <w:jc w:val="left"/>
              <w:rPr>
                <w:rFonts w:ascii="宋体" w:hAnsi="宋体"/>
                <w:bCs/>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8C4D74" w:rsidTr="008D10E8">
        <w:trPr>
          <w:trHeight w:val="402"/>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1720" w:type="dxa"/>
            <w:gridSpan w:val="2"/>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8C4D74" w:rsidRDefault="008C4D74" w:rsidP="008D10E8">
            <w:pPr>
              <w:spacing w:line="320" w:lineRule="exact"/>
              <w:jc w:val="left"/>
              <w:rPr>
                <w:rFonts w:ascii="宋体" w:hAnsi="宋体"/>
                <w:bCs/>
                <w:sz w:val="18"/>
                <w:szCs w:val="18"/>
              </w:rPr>
            </w:pPr>
            <w:r>
              <w:rPr>
                <w:rFonts w:ascii="宋体" w:hAnsi="宋体" w:hint="eastAsia"/>
                <w:bCs/>
                <w:sz w:val="18"/>
                <w:szCs w:val="18"/>
              </w:rPr>
              <w:t>【】</w:t>
            </w:r>
          </w:p>
        </w:tc>
      </w:tr>
      <w:tr w:rsidR="008C4D74" w:rsidTr="008D10E8">
        <w:trPr>
          <w:trHeight w:val="402"/>
          <w:jc w:val="center"/>
        </w:trPr>
        <w:tc>
          <w:tcPr>
            <w:tcW w:w="817" w:type="dxa"/>
            <w:vMerge/>
            <w:shd w:val="solid" w:color="FFFFFF" w:fill="FFFFFF"/>
            <w:vAlign w:val="center"/>
          </w:tcPr>
          <w:p w:rsidR="008C4D74" w:rsidRDefault="008C4D74" w:rsidP="008D10E8">
            <w:pPr>
              <w:spacing w:line="320" w:lineRule="exact"/>
              <w:jc w:val="left"/>
              <w:rPr>
                <w:rFonts w:ascii="宋体" w:hAnsi="宋体"/>
                <w:b/>
                <w:bCs/>
                <w:sz w:val="18"/>
                <w:szCs w:val="18"/>
              </w:rPr>
            </w:pPr>
          </w:p>
        </w:tc>
        <w:tc>
          <w:tcPr>
            <w:tcW w:w="1720" w:type="dxa"/>
            <w:gridSpan w:val="2"/>
            <w:shd w:val="solid" w:color="FFFFFF" w:fill="FFFFFF"/>
            <w:vAlign w:val="center"/>
          </w:tcPr>
          <w:p w:rsidR="008C4D74" w:rsidRDefault="008C4D74" w:rsidP="008D10E8">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8C4D74" w:rsidRDefault="008C4D74" w:rsidP="008D10E8">
            <w:pPr>
              <w:pStyle w:val="Default"/>
              <w:ind w:firstLine="360"/>
              <w:jc w:val="both"/>
              <w:rPr>
                <w:rFonts w:hAnsi="宋体"/>
                <w:bCs/>
                <w:sz w:val="18"/>
                <w:szCs w:val="18"/>
              </w:rPr>
            </w:pPr>
            <w:r>
              <w:rPr>
                <w:rFonts w:asciiTheme="majorEastAsia" w:eastAsiaTheme="majorEastAsia" w:hAnsiTheme="majorEastAsia" w:hint="eastAsia"/>
                <w:bCs/>
                <w:sz w:val="18"/>
                <w:szCs w:val="18"/>
              </w:rPr>
              <w:t>【】</w:t>
            </w:r>
          </w:p>
        </w:tc>
      </w:tr>
      <w:tr w:rsidR="008C4D74" w:rsidTr="008D10E8">
        <w:trPr>
          <w:trHeight w:hRule="exact" w:val="170"/>
          <w:jc w:val="center"/>
        </w:trPr>
        <w:tc>
          <w:tcPr>
            <w:tcW w:w="7598" w:type="dxa"/>
            <w:gridSpan w:val="6"/>
            <w:shd w:val="pct10" w:color="FFFFFF" w:fill="A6A6A6" w:themeFill="background1" w:themeFillShade="A6"/>
            <w:vAlign w:val="center"/>
          </w:tcPr>
          <w:p w:rsidR="008C4D74" w:rsidRDefault="008C4D74" w:rsidP="008D10E8">
            <w:pPr>
              <w:spacing w:line="320" w:lineRule="exact"/>
              <w:jc w:val="left"/>
              <w:rPr>
                <w:rFonts w:ascii="宋体" w:hAnsi="宋体"/>
                <w:bCs/>
                <w:sz w:val="18"/>
                <w:szCs w:val="18"/>
              </w:rPr>
            </w:pPr>
          </w:p>
        </w:tc>
      </w:tr>
      <w:tr w:rsidR="008C4D74" w:rsidTr="008D10E8">
        <w:trPr>
          <w:trHeight w:val="402"/>
          <w:jc w:val="center"/>
        </w:trPr>
        <w:tc>
          <w:tcPr>
            <w:tcW w:w="817" w:type="dxa"/>
            <w:shd w:val="solid" w:color="FFFFFF" w:fill="FFFFFF"/>
            <w:vAlign w:val="center"/>
          </w:tcPr>
          <w:p w:rsidR="008C4D74" w:rsidRDefault="008C4D74" w:rsidP="008D10E8">
            <w:pPr>
              <w:pStyle w:val="a4"/>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8C4D74" w:rsidRDefault="008C4D74" w:rsidP="008D10E8">
            <w:pPr>
              <w:pStyle w:val="a4"/>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8C4D74" w:rsidRDefault="008C4D74" w:rsidP="008C4D74">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8C4D74" w:rsidRDefault="008C4D74" w:rsidP="008C4D74">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8C4D74" w:rsidRDefault="008C4D74" w:rsidP="008C4D74">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8C4D74" w:rsidRDefault="008C4D74" w:rsidP="008C4D74">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8C4D74" w:rsidRDefault="008C4D74" w:rsidP="008C4D7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8C4D74" w:rsidRDefault="008C4D74" w:rsidP="008C4D74">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w:t>
      </w:r>
      <w:proofErr w:type="gramStart"/>
      <w:r>
        <w:rPr>
          <w:rFonts w:ascii="宋体" w:hAnsi="宋体" w:cs="仿宋_GB2312" w:hint="eastAsia"/>
          <w:kern w:val="0"/>
          <w:sz w:val="18"/>
          <w:szCs w:val="18"/>
        </w:rPr>
        <w:t>乙方既</w:t>
      </w:r>
      <w:proofErr w:type="gramEnd"/>
      <w:r>
        <w:rPr>
          <w:rFonts w:ascii="宋体" w:hAnsi="宋体" w:cs="仿宋_GB2312" w:hint="eastAsia"/>
          <w:kern w:val="0"/>
          <w:sz w:val="18"/>
          <w:szCs w:val="18"/>
        </w:rPr>
        <w:t>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8C4D74" w:rsidRDefault="008C4D74" w:rsidP="008C4D74">
      <w:pPr>
        <w:widowControl/>
        <w:spacing w:line="360" w:lineRule="auto"/>
        <w:jc w:val="left"/>
        <w:rPr>
          <w:rFonts w:ascii="宋体" w:hAnsi="宋体" w:cs="仿宋_GB2312"/>
          <w:kern w:val="0"/>
          <w:sz w:val="18"/>
          <w:szCs w:val="18"/>
        </w:rPr>
      </w:pP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w:t>
      </w:r>
      <w:proofErr w:type="gramStart"/>
      <w:r>
        <w:rPr>
          <w:rFonts w:ascii="宋体" w:hAnsi="宋体" w:cs="仿宋_GB2312" w:hint="eastAsia"/>
          <w:kern w:val="0"/>
          <w:sz w:val="18"/>
          <w:szCs w:val="18"/>
        </w:rPr>
        <w:t>乙方仅</w:t>
      </w:r>
      <w:proofErr w:type="gramEnd"/>
      <w:r>
        <w:rPr>
          <w:rFonts w:ascii="宋体" w:hAnsi="宋体" w:cs="仿宋_GB2312" w:hint="eastAsia"/>
          <w:kern w:val="0"/>
          <w:sz w:val="18"/>
          <w:szCs w:val="18"/>
        </w:rPr>
        <w:t>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roofErr w:type="gramStart"/>
      <w:r>
        <w:rPr>
          <w:rFonts w:ascii="宋体" w:hAnsi="宋体" w:cs="仿宋_GB2312" w:hint="eastAsia"/>
          <w:kern w:val="0"/>
          <w:sz w:val="18"/>
          <w:szCs w:val="18"/>
        </w:rPr>
        <w:t>个</w:t>
      </w:r>
      <w:proofErr w:type="gramEnd"/>
      <w:r>
        <w:rPr>
          <w:rFonts w:ascii="宋体" w:hAnsi="宋体" w:cs="仿宋_GB2312" w:hint="eastAsia"/>
          <w:kern w:val="0"/>
          <w:sz w:val="18"/>
          <w:szCs w:val="18"/>
        </w:rPr>
        <w:t>风险等级</w:t>
      </w:r>
      <w:r>
        <w:rPr>
          <w:rFonts w:ascii="宋体" w:hAnsi="宋体" w:cs="仿宋_GB2312"/>
          <w:kern w:val="0"/>
          <w:sz w:val="18"/>
          <w:szCs w:val="18"/>
        </w:rPr>
        <w:t>：</w:t>
      </w:r>
      <w:r>
        <w:rPr>
          <w:rFonts w:ascii="宋体" w:hAnsi="宋体" w:cs="仿宋_GB2312" w:hint="eastAsia"/>
          <w:kern w:val="0"/>
          <w:sz w:val="18"/>
          <w:szCs w:val="18"/>
        </w:rPr>
        <w:t xml:space="preserve">【 </w:t>
      </w:r>
      <w:r>
        <w:rPr>
          <w:rFonts w:ascii="宋体" w:hAnsi="宋体" w:cs="仿宋_GB2312"/>
          <w:kern w:val="0"/>
          <w:sz w:val="18"/>
          <w:szCs w:val="18"/>
        </w:rPr>
        <w:t xml:space="preserve">                                   </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w:t>
      </w:r>
      <w:proofErr w:type="gramStart"/>
      <w:r>
        <w:rPr>
          <w:rFonts w:ascii="宋体" w:hAnsi="宋体" w:cs="仿宋_GB2312"/>
          <w:kern w:val="0"/>
          <w:sz w:val="18"/>
          <w:szCs w:val="18"/>
        </w:rPr>
        <w:t>个</w:t>
      </w:r>
      <w:proofErr w:type="gramEnd"/>
      <w:r>
        <w:rPr>
          <w:rFonts w:ascii="宋体" w:hAnsi="宋体" w:cs="仿宋_GB2312" w:hint="eastAsia"/>
          <w:kern w:val="0"/>
          <w:sz w:val="18"/>
          <w:szCs w:val="18"/>
        </w:rPr>
        <w:t xml:space="preserve">等级：【 </w:t>
      </w:r>
      <w:r>
        <w:rPr>
          <w:rFonts w:ascii="宋体" w:hAnsi="宋体" w:cs="仿宋_GB2312"/>
          <w:kern w:val="0"/>
          <w:sz w:val="18"/>
          <w:szCs w:val="18"/>
        </w:rPr>
        <w:t xml:space="preserve">                                </w:t>
      </w:r>
      <w:r>
        <w:rPr>
          <w:rFonts w:ascii="宋体" w:hAnsi="宋体" w:cs="仿宋_GB2312" w:hint="eastAsia"/>
          <w:kern w:val="0"/>
          <w:sz w:val="18"/>
          <w:szCs w:val="18"/>
        </w:rPr>
        <w:t>】。</w:t>
      </w:r>
    </w:p>
    <w:p w:rsidR="008C4D74" w:rsidRDefault="008C4D74" w:rsidP="008C4D74">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8C4D74" w:rsidRDefault="008C4D74" w:rsidP="008C4D74">
      <w:pPr>
        <w:pStyle w:val="Default"/>
        <w:spacing w:line="360" w:lineRule="auto"/>
        <w:ind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甲方应根据风险承受能力评估结果选择与其风险承受能力相匹配的风险等级的理财产品，不得</w:t>
      </w:r>
      <w:r>
        <w:rPr>
          <w:rFonts w:hAnsi="宋体" w:cs="仿宋_GB2312" w:hint="eastAsia"/>
          <w:sz w:val="18"/>
          <w:szCs w:val="18"/>
        </w:rPr>
        <w:lastRenderedPageBreak/>
        <w:t>购买高于甲方风险承受能力的理财产品。</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w:t>
      </w:r>
      <w:proofErr w:type="gramStart"/>
      <w:r>
        <w:rPr>
          <w:rFonts w:ascii="宋体" w:hAnsi="宋体" w:cs="仿宋_GB2312" w:hint="eastAsia"/>
          <w:kern w:val="0"/>
          <w:sz w:val="18"/>
          <w:szCs w:val="18"/>
        </w:rPr>
        <w:t>所勾选的</w:t>
      </w:r>
      <w:proofErr w:type="gramEnd"/>
      <w:r>
        <w:rPr>
          <w:rFonts w:ascii="宋体" w:hAnsi="宋体" w:cs="仿宋_GB2312" w:hint="eastAsia"/>
          <w:kern w:val="0"/>
          <w:sz w:val="18"/>
          <w:szCs w:val="18"/>
        </w:rPr>
        <w:t>业务申请类型对甲方相关资金账户进行资金划扣等相关操作。</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w:t>
      </w:r>
      <w:proofErr w:type="gramStart"/>
      <w:r>
        <w:rPr>
          <w:rFonts w:ascii="宋体" w:hAnsi="宋体" w:cs="仿宋_GB2312" w:hint="eastAsia"/>
          <w:kern w:val="0"/>
          <w:sz w:val="18"/>
          <w:szCs w:val="18"/>
        </w:rPr>
        <w:t>上渠道</w:t>
      </w:r>
      <w:proofErr w:type="gramEnd"/>
      <w:r>
        <w:rPr>
          <w:rFonts w:ascii="宋体" w:hAnsi="宋体" w:cs="仿宋_GB2312" w:hint="eastAsia"/>
          <w:kern w:val="0"/>
          <w:sz w:val="18"/>
          <w:szCs w:val="18"/>
        </w:rPr>
        <w:t>购买的理财产品（不受限于本理财产品），甲方确认通过</w:t>
      </w:r>
      <w:proofErr w:type="gramStart"/>
      <w:r>
        <w:rPr>
          <w:rFonts w:ascii="宋体" w:hAnsi="宋体" w:cs="仿宋_GB2312" w:hint="eastAsia"/>
          <w:kern w:val="0"/>
          <w:sz w:val="18"/>
          <w:szCs w:val="18"/>
        </w:rPr>
        <w:t>乙方线上渠道</w:t>
      </w:r>
      <w:proofErr w:type="gramEnd"/>
      <w:r>
        <w:rPr>
          <w:rFonts w:ascii="宋体" w:hAnsi="宋体" w:cs="仿宋_GB2312" w:hint="eastAsia"/>
          <w:kern w:val="0"/>
          <w:sz w:val="18"/>
          <w:szCs w:val="18"/>
        </w:rPr>
        <w:t>点击确认同意本协议，即表明甲方已自主阅读并清楚知悉本协议全部内容，同意受本协议约束。</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w:t>
      </w:r>
      <w:proofErr w:type="gramStart"/>
      <w:r>
        <w:rPr>
          <w:rFonts w:ascii="宋体" w:hAnsi="宋体" w:cs="仿宋_GB2312" w:hint="eastAsia"/>
          <w:kern w:val="0"/>
          <w:sz w:val="18"/>
          <w:szCs w:val="18"/>
        </w:rPr>
        <w:t>所勾选的</w:t>
      </w:r>
      <w:proofErr w:type="gramEnd"/>
      <w:r>
        <w:rPr>
          <w:rFonts w:ascii="宋体" w:hAnsi="宋体" w:cs="仿宋_GB2312" w:hint="eastAsia"/>
          <w:kern w:val="0"/>
          <w:sz w:val="18"/>
          <w:szCs w:val="18"/>
        </w:rPr>
        <w:t>业务申请类型，并根据业务办理需要、反洗</w:t>
      </w:r>
      <w:proofErr w:type="gramStart"/>
      <w:r>
        <w:rPr>
          <w:rFonts w:ascii="宋体" w:hAnsi="宋体" w:cs="仿宋_GB2312" w:hint="eastAsia"/>
          <w:kern w:val="0"/>
          <w:sz w:val="18"/>
          <w:szCs w:val="18"/>
        </w:rPr>
        <w:t>钱工作</w:t>
      </w:r>
      <w:proofErr w:type="gramEnd"/>
      <w:r>
        <w:rPr>
          <w:rFonts w:ascii="宋体" w:hAnsi="宋体" w:cs="仿宋_GB2312" w:hint="eastAsia"/>
          <w:kern w:val="0"/>
          <w:sz w:val="18"/>
          <w:szCs w:val="18"/>
        </w:rPr>
        <w:t>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8C4D74" w:rsidRDefault="008C4D74" w:rsidP="008C4D74">
      <w:pPr>
        <w:widowControl/>
        <w:spacing w:line="360" w:lineRule="auto"/>
        <w:jc w:val="left"/>
        <w:rPr>
          <w:rFonts w:ascii="宋体" w:hAnsi="宋体" w:cs="仿宋_GB2312"/>
          <w:kern w:val="0"/>
          <w:sz w:val="18"/>
          <w:szCs w:val="18"/>
        </w:rPr>
      </w:pPr>
    </w:p>
    <w:p w:rsidR="008C4D74" w:rsidRDefault="008C4D74" w:rsidP="008C4D7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8C4D74" w:rsidRDefault="008C4D74" w:rsidP="008C4D74">
      <w:pPr>
        <w:widowControl/>
        <w:spacing w:line="360" w:lineRule="auto"/>
        <w:jc w:val="left"/>
        <w:rPr>
          <w:rFonts w:ascii="宋体" w:hAnsi="宋体" w:cs="仿宋_GB2312"/>
          <w:kern w:val="0"/>
          <w:sz w:val="18"/>
          <w:szCs w:val="18"/>
        </w:rPr>
      </w:pPr>
    </w:p>
    <w:p w:rsidR="008C4D74" w:rsidRDefault="008C4D74" w:rsidP="008C4D7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8C4D74" w:rsidRDefault="008C4D74" w:rsidP="008C4D74">
      <w:pPr>
        <w:widowControl/>
        <w:spacing w:line="360" w:lineRule="auto"/>
        <w:jc w:val="left"/>
        <w:rPr>
          <w:rFonts w:ascii="宋体" w:hAnsi="宋体" w:cs="仿宋_GB2312"/>
          <w:kern w:val="0"/>
          <w:sz w:val="18"/>
          <w:szCs w:val="18"/>
        </w:rPr>
      </w:pPr>
    </w:p>
    <w:p w:rsidR="008C4D74" w:rsidRDefault="008C4D74" w:rsidP="008C4D74">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w:t>
      </w:r>
      <w:proofErr w:type="gramStart"/>
      <w:r>
        <w:rPr>
          <w:rFonts w:ascii="宋体" w:hAnsi="宋体" w:cs="仿宋_GB2312" w:hint="eastAsia"/>
          <w:kern w:val="0"/>
          <w:sz w:val="18"/>
          <w:szCs w:val="18"/>
        </w:rPr>
        <w:t>签字仅</w:t>
      </w:r>
      <w:proofErr w:type="gramEnd"/>
      <w:r>
        <w:rPr>
          <w:rFonts w:ascii="宋体" w:hAnsi="宋体" w:cs="仿宋_GB2312" w:hint="eastAsia"/>
          <w:kern w:val="0"/>
          <w:sz w:val="18"/>
          <w:szCs w:val="18"/>
        </w:rPr>
        <w:t>为乙方内部风险控制要求，并不作为协议成立的条件，下同）。</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w:t>
      </w:r>
      <w:proofErr w:type="gramStart"/>
      <w:r>
        <w:rPr>
          <w:rFonts w:ascii="宋体" w:hAnsi="宋体" w:cs="仿宋_GB2312" w:hint="eastAsia"/>
          <w:kern w:val="0"/>
          <w:sz w:val="18"/>
          <w:szCs w:val="18"/>
        </w:rPr>
        <w:t>乙方线</w:t>
      </w:r>
      <w:proofErr w:type="gramEnd"/>
      <w:r>
        <w:rPr>
          <w:rFonts w:ascii="宋体" w:hAnsi="宋体" w:cs="仿宋_GB2312" w:hint="eastAsia"/>
          <w:kern w:val="0"/>
          <w:sz w:val="18"/>
          <w:szCs w:val="18"/>
        </w:rPr>
        <w:t>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w:t>
      </w:r>
      <w:proofErr w:type="gramStart"/>
      <w:r>
        <w:rPr>
          <w:rFonts w:ascii="宋体" w:hAnsi="宋体" w:cs="仿宋_GB2312" w:hint="eastAsia"/>
          <w:kern w:val="0"/>
          <w:sz w:val="18"/>
          <w:szCs w:val="18"/>
        </w:rPr>
        <w:t>下各方</w:t>
      </w:r>
      <w:proofErr w:type="gramEnd"/>
      <w:r>
        <w:rPr>
          <w:rFonts w:ascii="宋体" w:hAnsi="宋体" w:cs="仿宋_GB2312" w:hint="eastAsia"/>
          <w:kern w:val="0"/>
          <w:sz w:val="18"/>
          <w:szCs w:val="18"/>
        </w:rPr>
        <w:t>权利义务履行完毕之日，本协议自动终止。</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8C4D74" w:rsidRDefault="008C4D74" w:rsidP="008C4D74">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rsidR="008C4D74" w:rsidRDefault="008C4D74" w:rsidP="008C4D74">
      <w:pPr>
        <w:widowControl/>
        <w:spacing w:line="360" w:lineRule="auto"/>
        <w:jc w:val="left"/>
        <w:rPr>
          <w:rFonts w:ascii="宋体" w:hAnsi="宋体" w:cs="仿宋_GB2312"/>
          <w:kern w:val="0"/>
          <w:sz w:val="18"/>
          <w:szCs w:val="18"/>
        </w:rPr>
      </w:pPr>
    </w:p>
    <w:p w:rsidR="008C4D74" w:rsidRDefault="008C4D74" w:rsidP="008C4D7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8C4D74" w:rsidRDefault="008C4D74" w:rsidP="008C4D7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8C4D74" w:rsidRDefault="008C4D74" w:rsidP="008C4D7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8C4D74" w:rsidRDefault="008C4D74" w:rsidP="008C4D74">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8C4D74" w:rsidRDefault="008C4D74" w:rsidP="008C4D74">
      <w:pPr>
        <w:widowControl/>
        <w:spacing w:line="360" w:lineRule="auto"/>
        <w:ind w:firstLineChars="200" w:firstLine="361"/>
        <w:jc w:val="left"/>
        <w:rPr>
          <w:rFonts w:ascii="宋体" w:hAnsi="宋体" w:cs="仿宋_GB2312"/>
          <w:b/>
          <w:kern w:val="0"/>
          <w:sz w:val="18"/>
          <w:szCs w:val="18"/>
        </w:rPr>
      </w:pPr>
    </w:p>
    <w:p w:rsidR="008C4D74" w:rsidRDefault="008C4D74" w:rsidP="008C4D74">
      <w:pPr>
        <w:widowControl/>
        <w:jc w:val="left"/>
        <w:rPr>
          <w:rFonts w:ascii="宋体" w:hAnsi="宋体" w:cs="仿宋_GB2312"/>
          <w:b/>
          <w:kern w:val="0"/>
          <w:sz w:val="18"/>
          <w:szCs w:val="18"/>
        </w:rPr>
      </w:pPr>
      <w:r>
        <w:rPr>
          <w:rFonts w:ascii="宋体" w:hAnsi="宋体" w:cs="仿宋_GB2312"/>
          <w:b/>
          <w:kern w:val="0"/>
          <w:sz w:val="18"/>
          <w:szCs w:val="18"/>
        </w:rPr>
        <w:br w:type="page"/>
      </w:r>
    </w:p>
    <w:p w:rsidR="008C4D74" w:rsidRDefault="008C4D74" w:rsidP="008C4D74">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8C4D74" w:rsidTr="008D10E8">
        <w:trPr>
          <w:trHeight w:val="329"/>
        </w:trPr>
        <w:tc>
          <w:tcPr>
            <w:tcW w:w="8524" w:type="dxa"/>
            <w:gridSpan w:val="3"/>
            <w:vAlign w:val="center"/>
          </w:tcPr>
          <w:p w:rsidR="008C4D74" w:rsidRDefault="008C4D74" w:rsidP="008D10E8">
            <w:pPr>
              <w:autoSpaceDE w:val="0"/>
              <w:autoSpaceDN w:val="0"/>
              <w:adjustRightInd w:val="0"/>
              <w:snapToGrid w:val="0"/>
              <w:spacing w:line="280" w:lineRule="exact"/>
              <w:jc w:val="center"/>
              <w:rPr>
                <w:rFonts w:ascii="宋体" w:hAnsi="宋体"/>
                <w:b/>
                <w:sz w:val="18"/>
                <w:szCs w:val="18"/>
              </w:rPr>
            </w:pPr>
            <w:r>
              <w:rPr>
                <w:rFonts w:ascii="宋体" w:hAnsi="宋体" w:hint="eastAsia"/>
                <w:b/>
                <w:sz w:val="18"/>
                <w:szCs w:val="18"/>
              </w:rPr>
              <w:t>签署栏</w:t>
            </w:r>
          </w:p>
        </w:tc>
      </w:tr>
      <w:tr w:rsidR="008C4D74" w:rsidTr="008D10E8">
        <w:tc>
          <w:tcPr>
            <w:tcW w:w="675" w:type="dxa"/>
            <w:vAlign w:val="center"/>
          </w:tcPr>
          <w:p w:rsidR="008C4D74" w:rsidRDefault="008C4D74" w:rsidP="008D10E8">
            <w:pPr>
              <w:tabs>
                <w:tab w:val="left" w:pos="8070"/>
                <w:tab w:val="right" w:pos="8306"/>
              </w:tabs>
              <w:autoSpaceDE w:val="0"/>
              <w:autoSpaceDN w:val="0"/>
              <w:adjustRightInd w:val="0"/>
              <w:snapToGrid w:val="0"/>
              <w:spacing w:line="280" w:lineRule="exact"/>
              <w:jc w:val="center"/>
              <w:rPr>
                <w:rFonts w:ascii="黑体" w:eastAsia="黑体" w:hAnsi="黑体"/>
                <w:sz w:val="18"/>
                <w:szCs w:val="18"/>
              </w:rPr>
            </w:pPr>
            <w:r>
              <w:rPr>
                <w:rFonts w:ascii="黑体" w:eastAsia="黑体" w:hAnsi="黑体" w:hint="eastAsia"/>
                <w:sz w:val="18"/>
                <w:szCs w:val="18"/>
              </w:rPr>
              <w:t>★</w:t>
            </w:r>
          </w:p>
          <w:p w:rsidR="008C4D74" w:rsidRDefault="008C4D74" w:rsidP="008D10E8">
            <w:pPr>
              <w:tabs>
                <w:tab w:val="left" w:pos="8070"/>
                <w:tab w:val="right" w:pos="8306"/>
              </w:tabs>
              <w:autoSpaceDE w:val="0"/>
              <w:autoSpaceDN w:val="0"/>
              <w:adjustRightInd w:val="0"/>
              <w:snapToGrid w:val="0"/>
              <w:spacing w:line="280" w:lineRule="exact"/>
              <w:jc w:val="center"/>
              <w:rPr>
                <w:rFonts w:ascii="宋体" w:hAnsi="宋体"/>
                <w:b/>
                <w:sz w:val="18"/>
                <w:szCs w:val="18"/>
              </w:rPr>
            </w:pPr>
            <w:r>
              <w:rPr>
                <w:rFonts w:ascii="宋体" w:hAnsi="宋体" w:hint="eastAsia"/>
                <w:b/>
                <w:sz w:val="18"/>
                <w:szCs w:val="18"/>
              </w:rPr>
              <w:t>签署声明</w:t>
            </w:r>
          </w:p>
        </w:tc>
        <w:tc>
          <w:tcPr>
            <w:tcW w:w="7849" w:type="dxa"/>
            <w:gridSpan w:val="2"/>
          </w:tcPr>
          <w:p w:rsidR="008C4D74" w:rsidRDefault="008C4D74" w:rsidP="008D10E8">
            <w:pPr>
              <w:tabs>
                <w:tab w:val="left" w:pos="8070"/>
                <w:tab w:val="right" w:pos="8306"/>
              </w:tabs>
              <w:autoSpaceDE w:val="0"/>
              <w:autoSpaceDN w:val="0"/>
              <w:adjustRightInd w:val="0"/>
              <w:snapToGrid w:val="0"/>
              <w:spacing w:line="280" w:lineRule="exact"/>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（代理）</w:t>
            </w:r>
            <w:r>
              <w:rPr>
                <w:rFonts w:ascii="黑体" w:eastAsia="黑体" w:hAnsi="黑体"/>
                <w:sz w:val="18"/>
                <w:szCs w:val="18"/>
              </w:rPr>
              <w:t>销售协议书》以前，甲方已认真阅读理财产品销售文件（包括但不限于《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8C4D74" w:rsidRDefault="008C4D74" w:rsidP="008D10E8">
            <w:pPr>
              <w:tabs>
                <w:tab w:val="left" w:pos="0"/>
                <w:tab w:val="left" w:pos="3600"/>
              </w:tabs>
              <w:jc w:val="left"/>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、甲方</w:t>
            </w:r>
            <w:r>
              <w:rPr>
                <w:rFonts w:ascii="黑体" w:eastAsia="黑体" w:hAnsi="黑体"/>
                <w:sz w:val="18"/>
                <w:szCs w:val="18"/>
              </w:rPr>
              <w:t>已认真阅读并充分理解包括但不限于《</w:t>
            </w:r>
            <w:r>
              <w:rPr>
                <w:rFonts w:ascii="黑体" w:eastAsia="黑体" w:hAnsi="黑体" w:hint="eastAsia"/>
                <w:sz w:val="18"/>
                <w:szCs w:val="18"/>
              </w:rPr>
              <w:t>（代理）</w:t>
            </w:r>
            <w:r>
              <w:rPr>
                <w:rFonts w:ascii="黑体" w:eastAsia="黑体" w:hAnsi="黑体"/>
                <w:sz w:val="18"/>
                <w:szCs w:val="18"/>
              </w:rPr>
              <w:t>销售协议书》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w:t>
            </w:r>
            <w:proofErr w:type="gramStart"/>
            <w:r>
              <w:rPr>
                <w:rFonts w:ascii="黑体" w:eastAsia="黑体" w:hAnsi="黑体" w:hint="eastAsia"/>
                <w:sz w:val="18"/>
                <w:szCs w:val="18"/>
              </w:rPr>
              <w:t>做风</w:t>
            </w:r>
            <w:proofErr w:type="gramEnd"/>
            <w:r>
              <w:rPr>
                <w:rFonts w:ascii="黑体" w:eastAsia="黑体" w:hAnsi="黑体" w:hint="eastAsia"/>
                <w:sz w:val="18"/>
                <w:szCs w:val="18"/>
              </w:rPr>
              <w:t>险提示，愿意承担投资风险，现决定认购/申购/赎回，并授权产品管理人根据投资方案进行投资。</w:t>
            </w:r>
          </w:p>
        </w:tc>
      </w:tr>
      <w:tr w:rsidR="008C4D74" w:rsidTr="008D10E8">
        <w:trPr>
          <w:trHeight w:hRule="exact" w:val="1485"/>
        </w:trPr>
        <w:tc>
          <w:tcPr>
            <w:tcW w:w="675" w:type="dxa"/>
            <w:vMerge w:val="restart"/>
            <w:vAlign w:val="center"/>
          </w:tcPr>
          <w:p w:rsidR="008C4D74" w:rsidRDefault="008C4D74" w:rsidP="008D10E8">
            <w:pPr>
              <w:jc w:val="center"/>
              <w:rPr>
                <w:b/>
                <w:sz w:val="18"/>
                <w:szCs w:val="18"/>
              </w:rPr>
            </w:pPr>
            <w:r>
              <w:rPr>
                <w:rFonts w:hint="eastAsia"/>
                <w:b/>
                <w:sz w:val="18"/>
                <w:szCs w:val="18"/>
              </w:rPr>
              <w:t>甲方签署栏</w:t>
            </w:r>
          </w:p>
        </w:tc>
        <w:tc>
          <w:tcPr>
            <w:tcW w:w="851" w:type="dxa"/>
          </w:tcPr>
          <w:p w:rsidR="008C4D74" w:rsidRDefault="008C4D74" w:rsidP="008D10E8">
            <w:pPr>
              <w:rPr>
                <w:b/>
                <w:sz w:val="18"/>
                <w:szCs w:val="18"/>
              </w:rPr>
            </w:pPr>
            <w:r>
              <w:rPr>
                <w:rFonts w:hint="eastAsia"/>
                <w:b/>
                <w:sz w:val="18"/>
                <w:szCs w:val="18"/>
              </w:rPr>
              <w:t>个人投资者适用</w:t>
            </w:r>
          </w:p>
        </w:tc>
        <w:tc>
          <w:tcPr>
            <w:tcW w:w="6998" w:type="dxa"/>
          </w:tcPr>
          <w:p w:rsidR="008C4D74" w:rsidRDefault="008C4D74" w:rsidP="008D10E8">
            <w:pPr>
              <w:rPr>
                <w:sz w:val="18"/>
                <w:szCs w:val="18"/>
              </w:rPr>
            </w:pPr>
            <w:r>
              <w:rPr>
                <w:rFonts w:hint="eastAsia"/>
                <w:sz w:val="18"/>
                <w:szCs w:val="18"/>
              </w:rPr>
              <w:t>甲方（签字）：</w:t>
            </w:r>
          </w:p>
          <w:p w:rsidR="008C4D74" w:rsidRDefault="008C4D74" w:rsidP="008D10E8">
            <w:pPr>
              <w:rPr>
                <w:b/>
                <w:sz w:val="18"/>
                <w:szCs w:val="18"/>
              </w:rPr>
            </w:pPr>
          </w:p>
          <w:p w:rsidR="008C4D74" w:rsidRDefault="008C4D74" w:rsidP="008D10E8">
            <w:pPr>
              <w:rPr>
                <w:b/>
                <w:sz w:val="18"/>
                <w:szCs w:val="18"/>
              </w:rPr>
            </w:pPr>
            <w:r>
              <w:rPr>
                <w:rFonts w:hint="eastAsia"/>
                <w:sz w:val="18"/>
                <w:szCs w:val="18"/>
              </w:rPr>
              <w:t>日期：</w:t>
            </w:r>
          </w:p>
        </w:tc>
      </w:tr>
      <w:tr w:rsidR="008C4D74" w:rsidTr="008D10E8">
        <w:trPr>
          <w:trHeight w:val="2056"/>
        </w:trPr>
        <w:tc>
          <w:tcPr>
            <w:tcW w:w="675" w:type="dxa"/>
            <w:vMerge/>
          </w:tcPr>
          <w:p w:rsidR="008C4D74" w:rsidRDefault="008C4D74" w:rsidP="008D10E8">
            <w:pPr>
              <w:rPr>
                <w:b/>
                <w:sz w:val="18"/>
                <w:szCs w:val="18"/>
              </w:rPr>
            </w:pPr>
          </w:p>
        </w:tc>
        <w:tc>
          <w:tcPr>
            <w:tcW w:w="851" w:type="dxa"/>
          </w:tcPr>
          <w:p w:rsidR="008C4D74" w:rsidRDefault="008C4D74" w:rsidP="008D10E8">
            <w:pPr>
              <w:rPr>
                <w:b/>
                <w:sz w:val="18"/>
                <w:szCs w:val="18"/>
              </w:rPr>
            </w:pPr>
            <w:r>
              <w:rPr>
                <w:rFonts w:hint="eastAsia"/>
                <w:b/>
                <w:sz w:val="18"/>
                <w:szCs w:val="18"/>
              </w:rPr>
              <w:t>机构投资者适用</w:t>
            </w:r>
          </w:p>
        </w:tc>
        <w:tc>
          <w:tcPr>
            <w:tcW w:w="6998" w:type="dxa"/>
          </w:tcPr>
          <w:p w:rsidR="008C4D74" w:rsidRDefault="008C4D74" w:rsidP="008D10E8">
            <w:pPr>
              <w:rPr>
                <w:rFonts w:cs="Arial"/>
                <w:sz w:val="18"/>
                <w:szCs w:val="18"/>
              </w:rPr>
            </w:pPr>
            <w:r>
              <w:rPr>
                <w:rFonts w:hint="eastAsia"/>
                <w:sz w:val="18"/>
                <w:szCs w:val="18"/>
              </w:rPr>
              <w:t>甲方</w:t>
            </w:r>
            <w:r>
              <w:rPr>
                <w:rFonts w:cs="Arial" w:hint="eastAsia"/>
                <w:sz w:val="18"/>
                <w:szCs w:val="18"/>
              </w:rPr>
              <w:t>（盖章）：</w:t>
            </w:r>
          </w:p>
          <w:p w:rsidR="008C4D74" w:rsidRDefault="008C4D74" w:rsidP="008D10E8">
            <w:pPr>
              <w:rPr>
                <w:rFonts w:cs="Arial"/>
                <w:sz w:val="18"/>
                <w:szCs w:val="18"/>
              </w:rPr>
            </w:pPr>
          </w:p>
          <w:p w:rsidR="008C4D74" w:rsidRDefault="008C4D74" w:rsidP="008D10E8">
            <w:pPr>
              <w:rPr>
                <w:rFonts w:cs="Arial"/>
                <w:sz w:val="18"/>
                <w:szCs w:val="18"/>
              </w:rPr>
            </w:pPr>
            <w:r>
              <w:rPr>
                <w:rFonts w:cs="Arial" w:hint="eastAsia"/>
                <w:sz w:val="18"/>
                <w:szCs w:val="18"/>
              </w:rPr>
              <w:t>甲方法定代表人或授权代理人（签字或盖章）：</w:t>
            </w:r>
          </w:p>
          <w:p w:rsidR="008C4D74" w:rsidRDefault="008C4D74" w:rsidP="008D10E8">
            <w:pPr>
              <w:rPr>
                <w:b/>
                <w:sz w:val="18"/>
                <w:szCs w:val="18"/>
              </w:rPr>
            </w:pPr>
          </w:p>
          <w:p w:rsidR="008C4D74" w:rsidRDefault="008C4D74" w:rsidP="008D10E8">
            <w:pPr>
              <w:rPr>
                <w:sz w:val="18"/>
                <w:szCs w:val="18"/>
              </w:rPr>
            </w:pPr>
            <w:r>
              <w:rPr>
                <w:rFonts w:hint="eastAsia"/>
                <w:sz w:val="18"/>
                <w:szCs w:val="18"/>
              </w:rPr>
              <w:t>日期：</w:t>
            </w:r>
          </w:p>
        </w:tc>
      </w:tr>
      <w:tr w:rsidR="008C4D74" w:rsidTr="008D10E8">
        <w:trPr>
          <w:trHeight w:val="1363"/>
        </w:trPr>
        <w:tc>
          <w:tcPr>
            <w:tcW w:w="675" w:type="dxa"/>
          </w:tcPr>
          <w:p w:rsidR="008C4D74" w:rsidRDefault="008C4D74" w:rsidP="008D10E8">
            <w:pPr>
              <w:jc w:val="center"/>
              <w:rPr>
                <w:b/>
                <w:sz w:val="18"/>
                <w:szCs w:val="18"/>
              </w:rPr>
            </w:pPr>
            <w:proofErr w:type="gramStart"/>
            <w:r>
              <w:rPr>
                <w:rFonts w:hint="eastAsia"/>
                <w:b/>
                <w:sz w:val="18"/>
                <w:szCs w:val="18"/>
              </w:rPr>
              <w:t>乙方</w:t>
            </w:r>
            <w:r>
              <w:rPr>
                <w:b/>
                <w:sz w:val="18"/>
                <w:szCs w:val="18"/>
              </w:rPr>
              <w:t>签署栏</w:t>
            </w:r>
            <w:proofErr w:type="gramEnd"/>
          </w:p>
        </w:tc>
        <w:tc>
          <w:tcPr>
            <w:tcW w:w="7849" w:type="dxa"/>
            <w:gridSpan w:val="2"/>
          </w:tcPr>
          <w:p w:rsidR="008C4D74" w:rsidRDefault="008C4D74" w:rsidP="008D10E8">
            <w:pPr>
              <w:rPr>
                <w:sz w:val="18"/>
                <w:szCs w:val="18"/>
              </w:rPr>
            </w:pPr>
            <w:r>
              <w:rPr>
                <w:rFonts w:hint="eastAsia"/>
                <w:sz w:val="18"/>
                <w:szCs w:val="18"/>
              </w:rPr>
              <w:t>乙方</w:t>
            </w:r>
            <w:r>
              <w:rPr>
                <w:sz w:val="18"/>
                <w:szCs w:val="18"/>
              </w:rPr>
              <w:t>（</w:t>
            </w:r>
            <w:r>
              <w:rPr>
                <w:rFonts w:hint="eastAsia"/>
                <w:sz w:val="18"/>
                <w:szCs w:val="18"/>
              </w:rPr>
              <w:t>盖章</w:t>
            </w:r>
            <w:r>
              <w:rPr>
                <w:sz w:val="18"/>
                <w:szCs w:val="18"/>
              </w:rPr>
              <w:t>）</w:t>
            </w:r>
            <w:r>
              <w:rPr>
                <w:rFonts w:hint="eastAsia"/>
                <w:sz w:val="18"/>
                <w:szCs w:val="18"/>
              </w:rPr>
              <w:t>：</w:t>
            </w:r>
          </w:p>
          <w:p w:rsidR="008C4D74" w:rsidRDefault="008C4D74" w:rsidP="008D10E8">
            <w:pPr>
              <w:rPr>
                <w:b/>
                <w:sz w:val="18"/>
                <w:szCs w:val="18"/>
              </w:rPr>
            </w:pPr>
          </w:p>
          <w:p w:rsidR="008C4D74" w:rsidRDefault="008C4D74" w:rsidP="008D10E8">
            <w:pPr>
              <w:rPr>
                <w:sz w:val="18"/>
                <w:szCs w:val="18"/>
              </w:rPr>
            </w:pPr>
            <w:r>
              <w:rPr>
                <w:rFonts w:hint="eastAsia"/>
                <w:sz w:val="18"/>
                <w:szCs w:val="18"/>
              </w:rPr>
              <w:t>日期：</w:t>
            </w:r>
          </w:p>
        </w:tc>
      </w:tr>
    </w:tbl>
    <w:p w:rsidR="008C4D74" w:rsidRDefault="008C4D74" w:rsidP="008C4D74">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w:t>
      </w:r>
      <w:proofErr w:type="gramStart"/>
      <w:r>
        <w:rPr>
          <w:rFonts w:ascii="宋体" w:hAnsi="宋体" w:cs="Arial" w:hint="eastAsia"/>
          <w:b/>
          <w:sz w:val="18"/>
          <w:szCs w:val="18"/>
        </w:rPr>
        <w:t>联销售</w:t>
      </w:r>
      <w:proofErr w:type="gramEnd"/>
      <w:r>
        <w:rPr>
          <w:rFonts w:ascii="宋体" w:hAnsi="宋体" w:cs="Arial" w:hint="eastAsia"/>
          <w:b/>
          <w:sz w:val="18"/>
          <w:szCs w:val="18"/>
        </w:rPr>
        <w:t>机构留存，第二联投资者留存，第三联产品管理人留存</w:t>
      </w:r>
      <w:r>
        <w:rPr>
          <w:rFonts w:ascii="宋体" w:hAnsi="宋体" w:hint="eastAsia"/>
          <w:b/>
          <w:sz w:val="18"/>
          <w:szCs w:val="18"/>
        </w:rPr>
        <w:t>。）</w:t>
      </w:r>
    </w:p>
    <w:p w:rsidR="008C4D74" w:rsidRDefault="008C4D74" w:rsidP="008C4D74"/>
    <w:p w:rsidR="008C4D74" w:rsidRDefault="008C4D74" w:rsidP="008C4D74"/>
    <w:p w:rsidR="008C4D74" w:rsidRDefault="008C4D74" w:rsidP="008C4D74"/>
    <w:p w:rsidR="008C4D74" w:rsidRDefault="008C4D74" w:rsidP="008C4D74"/>
    <w:p w:rsidR="008C4D74" w:rsidRDefault="008C4D74">
      <w:pPr>
        <w:sectPr w:rsidR="008C4D74">
          <w:headerReference w:type="default" r:id="rId20"/>
          <w:footerReference w:type="default" r:id="rId21"/>
          <w:pgSz w:w="11906" w:h="16838"/>
          <w:pgMar w:top="1440" w:right="1800" w:bottom="1440" w:left="1800" w:header="851" w:footer="992" w:gutter="0"/>
          <w:cols w:space="425"/>
          <w:docGrid w:type="lines" w:linePitch="312"/>
        </w:sectPr>
      </w:pPr>
    </w:p>
    <w:p w:rsidR="008C4D74" w:rsidRDefault="008C4D74" w:rsidP="008C4D74">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lastRenderedPageBreak/>
        <w:t>兴银理财【天天万利宝稳利】净值型理财产品</w:t>
      </w:r>
    </w:p>
    <w:p w:rsidR="008C4D74" w:rsidRDefault="008C4D74" w:rsidP="008C4D74">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8C4D74" w:rsidRDefault="008C4D74" w:rsidP="008C4D74">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8C4D74" w:rsidRDefault="008C4D74" w:rsidP="008C4D74">
      <w:pPr>
        <w:rPr>
          <w:rFonts w:ascii="宋体" w:hAnsi="宋体" w:cs="仿宋_GB2312"/>
          <w:b/>
          <w:kern w:val="0"/>
          <w:sz w:val="18"/>
          <w:szCs w:val="18"/>
        </w:rPr>
      </w:pPr>
      <w:r>
        <w:rPr>
          <w:rFonts w:ascii="宋体" w:hAnsi="宋体" w:cs="仿宋_GB2312" w:hint="eastAsia"/>
          <w:b/>
          <w:kern w:val="0"/>
          <w:sz w:val="18"/>
          <w:szCs w:val="18"/>
        </w:rPr>
        <w:t>尊敬的投资者：</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8C4D74" w:rsidRDefault="008C4D74" w:rsidP="008C4D74">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8C4D74" w:rsidRDefault="008C4D74" w:rsidP="008C4D74">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本产品基本信息</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（一）产品名称、</w:t>
      </w:r>
      <w:r>
        <w:rPr>
          <w:rFonts w:ascii="宋体" w:hAnsi="宋体" w:cs="仿宋_GB2312"/>
          <w:kern w:val="0"/>
          <w:sz w:val="18"/>
          <w:szCs w:val="18"/>
        </w:rPr>
        <w:t>销售名称及产品登记编码</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r>
        <w:rPr>
          <w:rFonts w:ascii="宋体" w:hAnsi="宋体" w:cs="仿宋_GB2312" w:hint="eastAsia"/>
          <w:kern w:val="0"/>
          <w:sz w:val="18"/>
          <w:szCs w:val="18"/>
        </w:rPr>
        <w:t>【</w:t>
      </w:r>
      <w:r w:rsidRPr="00A02826">
        <w:rPr>
          <w:rFonts w:ascii="宋体" w:hAnsi="宋体" w:hint="eastAsia"/>
          <w:bCs/>
          <w:sz w:val="18"/>
          <w:szCs w:val="18"/>
        </w:rPr>
        <w:t>兴业银行天天万利宝稳利2号净值型理财产品D款</w:t>
      </w:r>
      <w:r>
        <w:rPr>
          <w:rFonts w:ascii="宋体" w:hAnsi="宋体" w:cs="仿宋_GB2312" w:hint="eastAsia"/>
          <w:kern w:val="0"/>
          <w:sz w:val="18"/>
          <w:szCs w:val="18"/>
        </w:rPr>
        <w:t>】。</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r>
        <w:rPr>
          <w:rFonts w:asciiTheme="majorEastAsia" w:eastAsiaTheme="majorEastAsia" w:hAnsiTheme="majorEastAsia" w:hint="eastAsia"/>
          <w:bCs/>
          <w:kern w:val="0"/>
          <w:sz w:val="18"/>
          <w:szCs w:val="18"/>
        </w:rPr>
        <w:t>【</w:t>
      </w:r>
      <w:r w:rsidRPr="00C72E7B">
        <w:rPr>
          <w:rFonts w:ascii="宋体" w:hAnsi="宋体" w:hint="eastAsia"/>
          <w:bCs/>
          <w:sz w:val="18"/>
          <w:szCs w:val="18"/>
        </w:rPr>
        <w:t>稳利恒盈</w:t>
      </w:r>
      <w:r>
        <w:rPr>
          <w:rFonts w:ascii="宋体" w:hAnsi="宋体"/>
          <w:bCs/>
          <w:sz w:val="18"/>
          <w:szCs w:val="18"/>
        </w:rPr>
        <w:t>D</w:t>
      </w:r>
      <w:r w:rsidRPr="00C72E7B">
        <w:rPr>
          <w:rFonts w:ascii="宋体" w:hAnsi="宋体" w:hint="eastAsia"/>
          <w:bCs/>
          <w:sz w:val="18"/>
          <w:szCs w:val="18"/>
        </w:rPr>
        <w:t xml:space="preserve"> 6个月</w:t>
      </w:r>
      <w:r>
        <w:rPr>
          <w:rFonts w:asciiTheme="majorEastAsia" w:eastAsiaTheme="majorEastAsia" w:hAnsiTheme="majorEastAsia" w:hint="eastAsia"/>
          <w:bCs/>
          <w:kern w:val="0"/>
          <w:sz w:val="18"/>
          <w:szCs w:val="18"/>
        </w:rPr>
        <w:t>】</w:t>
      </w:r>
      <w:r>
        <w:rPr>
          <w:rFonts w:ascii="宋体" w:hAnsi="宋体" w:cs="仿宋_GB2312" w:hint="eastAsia"/>
          <w:kern w:val="0"/>
          <w:sz w:val="18"/>
          <w:szCs w:val="18"/>
        </w:rPr>
        <w:t>。</w:t>
      </w:r>
    </w:p>
    <w:p w:rsidR="008C4D74" w:rsidRDefault="008C4D74" w:rsidP="008C4D74">
      <w:pPr>
        <w:ind w:firstLineChars="249" w:firstLine="448"/>
        <w:rPr>
          <w:rFonts w:ascii="宋体" w:hAnsi="宋体" w:cs="仿宋_GB2312"/>
          <w:kern w:val="0"/>
          <w:sz w:val="18"/>
          <w:szCs w:val="18"/>
        </w:rPr>
      </w:pPr>
      <w:r>
        <w:rPr>
          <w:rFonts w:ascii="宋体" w:hAnsi="宋体" w:cs="仿宋_GB2312"/>
          <w:kern w:val="0"/>
          <w:sz w:val="18"/>
          <w:szCs w:val="18"/>
        </w:rPr>
        <w:t>产品登记编码</w:t>
      </w:r>
      <w:r>
        <w:rPr>
          <w:rFonts w:ascii="宋体" w:hAnsi="宋体" w:cs="仿宋_GB2312" w:hint="eastAsia"/>
          <w:kern w:val="0"/>
          <w:sz w:val="18"/>
          <w:szCs w:val="18"/>
        </w:rPr>
        <w:t>：【</w:t>
      </w:r>
      <w:r w:rsidRPr="008D5E1E">
        <w:rPr>
          <w:rFonts w:ascii="宋体" w:hAnsi="宋体"/>
          <w:bCs/>
          <w:sz w:val="18"/>
          <w:szCs w:val="18"/>
        </w:rPr>
        <w:t>Z7002020000021</w:t>
      </w:r>
      <w:r>
        <w:rPr>
          <w:rFonts w:ascii="宋体" w:hAnsi="宋体" w:cs="仿宋_GB2312" w:hint="eastAsia"/>
          <w:kern w:val="0"/>
          <w:sz w:val="18"/>
          <w:szCs w:val="18"/>
        </w:rPr>
        <w:t>】。</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8C4D74" w:rsidRDefault="008C4D74" w:rsidP="008C4D74">
      <w:pPr>
        <w:ind w:firstLineChars="299" w:firstLine="538"/>
        <w:rPr>
          <w:rFonts w:ascii="宋体" w:hAnsi="宋体" w:cs="仿宋_GB2312"/>
          <w:kern w:val="0"/>
          <w:sz w:val="18"/>
          <w:szCs w:val="18"/>
        </w:rPr>
      </w:pPr>
      <w:r>
        <w:rPr>
          <w:rFonts w:ascii="宋体" w:hAnsi="宋体" w:cs="仿宋_GB2312" w:hint="eastAsia"/>
          <w:kern w:val="0"/>
          <w:sz w:val="18"/>
          <w:szCs w:val="18"/>
        </w:rPr>
        <w:t>公募、开放式、【固定收益类】、非保本浮动</w:t>
      </w:r>
      <w:r>
        <w:rPr>
          <w:rFonts w:ascii="宋体" w:hAnsi="宋体" w:cs="仿宋_GB2312"/>
          <w:kern w:val="0"/>
          <w:sz w:val="18"/>
          <w:szCs w:val="18"/>
        </w:rPr>
        <w:t>收益</w:t>
      </w:r>
      <w:r>
        <w:rPr>
          <w:rFonts w:ascii="宋体" w:hAnsi="宋体" w:cs="仿宋_GB2312" w:hint="eastAsia"/>
          <w:kern w:val="0"/>
          <w:sz w:val="18"/>
          <w:szCs w:val="18"/>
        </w:rPr>
        <w:t>、净值型理财产品。</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【无固定</w:t>
      </w:r>
      <w:r>
        <w:rPr>
          <w:rFonts w:ascii="宋体" w:hAnsi="宋体" w:cs="仿宋_GB2312"/>
          <w:kern w:val="0"/>
          <w:sz w:val="18"/>
          <w:szCs w:val="18"/>
        </w:rPr>
        <w:t>期限</w:t>
      </w:r>
      <w:r>
        <w:rPr>
          <w:rFonts w:ascii="宋体" w:hAnsi="宋体" w:cs="仿宋_GB2312" w:hint="eastAsia"/>
          <w:kern w:val="0"/>
          <w:sz w:val="18"/>
          <w:szCs w:val="18"/>
        </w:rPr>
        <w:t>】</w:t>
      </w:r>
      <w:r>
        <w:rPr>
          <w:rFonts w:ascii="宋体" w:hAnsi="宋体" w:cs="仿宋_GB2312"/>
          <w:kern w:val="0"/>
          <w:sz w:val="18"/>
          <w:szCs w:val="18"/>
        </w:rPr>
        <w:t>。</w:t>
      </w:r>
    </w:p>
    <w:p w:rsidR="008C4D74" w:rsidRDefault="008C4D74" w:rsidP="008C4D74">
      <w:pPr>
        <w:ind w:firstLineChars="249" w:firstLine="498"/>
        <w:rPr>
          <w:rFonts w:ascii="宋体" w:hAnsi="宋体" w:cs="仿宋_GB2312"/>
          <w:kern w:val="0"/>
          <w:sz w:val="18"/>
          <w:szCs w:val="18"/>
        </w:rPr>
      </w:pPr>
      <w:r>
        <w:rPr>
          <w:rFonts w:ascii="宋体" w:hAnsiTheme="minorHAnsi" w:hint="eastAsia"/>
          <w:color w:val="000000"/>
          <w:kern w:val="0"/>
          <w:sz w:val="20"/>
        </w:rPr>
        <w:t>本产品其他信息详见《产品说明书》。</w:t>
      </w:r>
    </w:p>
    <w:p w:rsidR="008C4D74" w:rsidRDefault="008C4D74" w:rsidP="008C4D74">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8C4D74" w:rsidRDefault="008C4D74" w:rsidP="008C4D74">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（产品管理人定义的产品风险评级为【</w:t>
      </w:r>
      <w:r>
        <w:rPr>
          <w:rFonts w:asciiTheme="majorEastAsia" w:eastAsiaTheme="majorEastAsia" w:hAnsiTheme="majorEastAsia"/>
          <w:bCs/>
          <w:color w:val="000000" w:themeColor="text1"/>
          <w:sz w:val="18"/>
          <w:szCs w:val="18"/>
        </w:rPr>
        <w:t>R2</w:t>
      </w:r>
      <w:r>
        <w:rPr>
          <w:rFonts w:ascii="宋体" w:hAnsi="宋体" w:cs="仿宋_GB2312"/>
          <w:kern w:val="0"/>
          <w:sz w:val="18"/>
          <w:szCs w:val="18"/>
        </w:rPr>
        <w:t>】</w:t>
      </w:r>
      <w:r>
        <w:rPr>
          <w:rFonts w:ascii="宋体" w:hAnsi="宋体" w:cs="仿宋_GB2312" w:hint="eastAsia"/>
          <w:kern w:val="0"/>
          <w:sz w:val="18"/>
          <w:szCs w:val="18"/>
        </w:rPr>
        <w:t>；代理销售机构定义的产品风险评级为【</w:t>
      </w:r>
      <w:r>
        <w:rPr>
          <w:rFonts w:asciiTheme="majorEastAsia" w:eastAsiaTheme="majorEastAsia" w:hAnsiTheme="majorEastAsia"/>
          <w:bCs/>
          <w:color w:val="000000" w:themeColor="text1"/>
          <w:sz w:val="18"/>
          <w:szCs w:val="18"/>
        </w:rPr>
        <w:t>R2</w:t>
      </w:r>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8C4D74" w:rsidRDefault="008C4D74" w:rsidP="008C4D74">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8C4D74" w:rsidRDefault="008C4D74" w:rsidP="008C4D74">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8C4D74" w:rsidRDefault="008C4D74" w:rsidP="008C4D7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■个人投资者：【□ C1、■ C2、■ C3、■ C4、■ C5、■ C6】。</w:t>
      </w:r>
    </w:p>
    <w:p w:rsidR="008C4D74" w:rsidRDefault="008C4D74" w:rsidP="008C4D74">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 w:rsidR="008C4D74" w:rsidRDefault="008C4D74" w:rsidP="008C4D74">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8C4D74" w:rsidRDefault="008C4D74" w:rsidP="008C4D74">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8C4D74" w:rsidRDefault="008C4D74" w:rsidP="008C4D74">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8C4D74" w:rsidRDefault="008C4D74" w:rsidP="008C4D74">
      <w:pPr>
        <w:ind w:firstLineChars="200" w:firstLine="360"/>
        <w:rPr>
          <w:rFonts w:ascii="黑体" w:eastAsia="黑体" w:hAnsi="黑体"/>
          <w:sz w:val="18"/>
          <w:szCs w:val="18"/>
        </w:rPr>
      </w:pPr>
      <w:r>
        <w:rPr>
          <w:rFonts w:ascii="黑体" w:eastAsia="黑体" w:hAnsi="黑体" w:hint="eastAsia"/>
          <w:sz w:val="18"/>
          <w:szCs w:val="18"/>
        </w:rPr>
        <w:t>（一）投资者投资本产品可能面临的特定风险主要包括（但不限于）：</w:t>
      </w:r>
    </w:p>
    <w:p w:rsidR="008C4D74" w:rsidRDefault="008C4D74" w:rsidP="008C4D74">
      <w:pPr>
        <w:pStyle w:val="a9"/>
        <w:ind w:firstLineChars="0" w:firstLine="448"/>
        <w:rPr>
          <w:rFonts w:ascii="黑体" w:eastAsia="黑体" w:hAnsi="黑体"/>
          <w:sz w:val="18"/>
          <w:szCs w:val="18"/>
        </w:rPr>
      </w:pPr>
      <w:r>
        <w:rPr>
          <w:rFonts w:ascii="黑体" w:eastAsia="黑体" w:hAnsi="黑体" w:hint="eastAsia"/>
          <w:sz w:val="18"/>
          <w:szCs w:val="18"/>
        </w:rPr>
        <w:t>1.拟投资市场和资产的风险：</w:t>
      </w:r>
    </w:p>
    <w:p w:rsidR="008C4D74" w:rsidRDefault="008C4D74" w:rsidP="008C4D74">
      <w:pPr>
        <w:pStyle w:val="a9"/>
        <w:ind w:firstLineChars="0"/>
        <w:rPr>
          <w:rFonts w:ascii="宋体" w:hAnsi="宋体"/>
          <w:sz w:val="18"/>
          <w:szCs w:val="18"/>
        </w:rPr>
      </w:pPr>
      <w:r>
        <w:rPr>
          <w:rFonts w:ascii="宋体" w:hAnsi="宋体" w:hint="eastAsia"/>
          <w:sz w:val="18"/>
          <w:szCs w:val="18"/>
        </w:rPr>
        <w:t>（</w:t>
      </w:r>
      <w:r>
        <w:rPr>
          <w:rFonts w:ascii="宋体" w:hAnsi="宋体"/>
          <w:sz w:val="18"/>
          <w:szCs w:val="18"/>
        </w:rPr>
        <w:t>1）投资固定收益类资产的风险</w:t>
      </w:r>
    </w:p>
    <w:p w:rsidR="008C4D74" w:rsidRDefault="008C4D74" w:rsidP="008C4D74">
      <w:pPr>
        <w:pStyle w:val="a9"/>
        <w:ind w:firstLineChars="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投资</w:t>
      </w:r>
      <w:r>
        <w:rPr>
          <w:rFonts w:ascii="宋体" w:hAnsi="宋体" w:hint="eastAsia"/>
          <w:sz w:val="18"/>
          <w:szCs w:val="18"/>
        </w:rPr>
        <w:t>标准化</w:t>
      </w:r>
      <w:r>
        <w:rPr>
          <w:rFonts w:ascii="宋体" w:hAnsi="宋体"/>
          <w:sz w:val="18"/>
          <w:szCs w:val="18"/>
        </w:rPr>
        <w:t>债权类资产的风险</w:t>
      </w:r>
    </w:p>
    <w:p w:rsidR="008C4D74" w:rsidRDefault="008C4D74" w:rsidP="008C4D74">
      <w:pPr>
        <w:pStyle w:val="a9"/>
        <w:ind w:firstLineChars="0"/>
        <w:rPr>
          <w:rFonts w:ascii="宋体" w:hAnsi="宋体"/>
          <w:sz w:val="18"/>
          <w:szCs w:val="18"/>
        </w:rPr>
      </w:pPr>
      <w:r>
        <w:rPr>
          <w:rFonts w:ascii="宋体" w:hAnsi="宋体"/>
          <w:sz w:val="18"/>
          <w:szCs w:val="18"/>
        </w:rPr>
        <w:lastRenderedPageBreak/>
        <w:t>本产品投资债券</w:t>
      </w:r>
      <w:r>
        <w:rPr>
          <w:rFonts w:ascii="宋体" w:hAnsi="宋体" w:hint="eastAsia"/>
          <w:sz w:val="18"/>
          <w:szCs w:val="18"/>
        </w:rPr>
        <w:t>、资产支持证券等固定收益类资产时可能面临以下风险：</w:t>
      </w:r>
      <w:r>
        <w:rPr>
          <w:rFonts w:ascii="宋体" w:hAnsi="宋体"/>
          <w:sz w:val="18"/>
          <w:szCs w:val="18"/>
        </w:rPr>
        <w:t>国家政策、经济周期、利率、汇率等因素可能发生的变化导致的市场风险；债券发行人的经营状况、信用质量降低等可能发生的变化导致的信用风险；可能因市场成交量不足、缺乏交易对手导致的流动性风险等。</w:t>
      </w:r>
    </w:p>
    <w:p w:rsidR="008C4D74" w:rsidRDefault="008C4D74" w:rsidP="008C4D74">
      <w:pPr>
        <w:pStyle w:val="a9"/>
        <w:ind w:firstLineChars="0"/>
        <w:rPr>
          <w:rFonts w:ascii="宋体" w:hAnsi="宋体"/>
          <w:sz w:val="18"/>
          <w:szCs w:val="18"/>
        </w:rPr>
      </w:pPr>
      <w:r>
        <w:rPr>
          <w:rFonts w:ascii="宋体" w:hAnsi="宋体"/>
          <w:sz w:val="18"/>
          <w:szCs w:val="18"/>
        </w:rPr>
        <w:t>2）投资非标准化债权类资产</w:t>
      </w:r>
      <w:r>
        <w:rPr>
          <w:rFonts w:ascii="宋体" w:hAnsi="宋体" w:hint="eastAsia"/>
          <w:sz w:val="18"/>
          <w:szCs w:val="18"/>
        </w:rPr>
        <w:t>的</w:t>
      </w:r>
      <w:r>
        <w:rPr>
          <w:rFonts w:ascii="宋体" w:hAnsi="宋体"/>
          <w:sz w:val="18"/>
          <w:szCs w:val="18"/>
        </w:rPr>
        <w:t>风险</w:t>
      </w:r>
    </w:p>
    <w:p w:rsidR="008C4D74" w:rsidRDefault="008C4D74" w:rsidP="008C4D74">
      <w:pPr>
        <w:pStyle w:val="a9"/>
        <w:ind w:firstLineChars="0"/>
        <w:rPr>
          <w:rFonts w:ascii="宋体" w:hAnsi="宋体"/>
          <w:sz w:val="18"/>
          <w:szCs w:val="18"/>
        </w:rPr>
      </w:pPr>
      <w:r>
        <w:rPr>
          <w:rFonts w:ascii="宋体" w:hAnsi="宋体" w:hint="eastAsia"/>
          <w:sz w:val="18"/>
          <w:szCs w:val="18"/>
        </w:rPr>
        <w:t>本产品投资非标债权类资产时可能面临以下风险：由于融资主体/增</w:t>
      </w:r>
      <w:proofErr w:type="gramStart"/>
      <w:r>
        <w:rPr>
          <w:rFonts w:ascii="宋体" w:hAnsi="宋体" w:hint="eastAsia"/>
          <w:sz w:val="18"/>
          <w:szCs w:val="18"/>
        </w:rPr>
        <w:t>信主体</w:t>
      </w:r>
      <w:proofErr w:type="gramEnd"/>
      <w:r>
        <w:rPr>
          <w:rFonts w:ascii="宋体" w:hAnsi="宋体" w:hint="eastAsia"/>
          <w:sz w:val="18"/>
          <w:szCs w:val="18"/>
        </w:rPr>
        <w:t>/其他义务人还款履约能力可能的变化导致的信用风险（包括但不限于：融资主体提前还款、延期还款或逾期还款的风险；增</w:t>
      </w:r>
      <w:proofErr w:type="gramStart"/>
      <w:r>
        <w:rPr>
          <w:rFonts w:ascii="宋体" w:hAnsi="宋体" w:hint="eastAsia"/>
          <w:sz w:val="18"/>
          <w:szCs w:val="18"/>
        </w:rPr>
        <w:t>信主体</w:t>
      </w:r>
      <w:proofErr w:type="gramEnd"/>
      <w:r>
        <w:rPr>
          <w:rFonts w:ascii="宋体" w:hAnsi="宋体" w:hint="eastAsia"/>
          <w:sz w:val="18"/>
          <w:szCs w:val="18"/>
        </w:rPr>
        <w:t>未能履行增信义务（例如：保证担保、差额补足、远期回购、流动性</w:t>
      </w:r>
      <w:proofErr w:type="gramStart"/>
      <w:r>
        <w:rPr>
          <w:rFonts w:ascii="宋体" w:hAnsi="宋体" w:hint="eastAsia"/>
          <w:sz w:val="18"/>
          <w:szCs w:val="18"/>
        </w:rPr>
        <w:t>支持等增信</w:t>
      </w:r>
      <w:proofErr w:type="gramEnd"/>
      <w:r>
        <w:rPr>
          <w:rFonts w:ascii="宋体" w:hAnsi="宋体" w:hint="eastAsia"/>
          <w:sz w:val="18"/>
          <w:szCs w:val="18"/>
        </w:rPr>
        <w:t>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rsidR="008C4D74" w:rsidRDefault="008C4D74" w:rsidP="008C4D74">
      <w:pPr>
        <w:pStyle w:val="a9"/>
        <w:ind w:firstLineChars="0"/>
        <w:rPr>
          <w:rFonts w:ascii="宋体" w:hAnsi="宋体"/>
          <w:sz w:val="18"/>
          <w:szCs w:val="18"/>
        </w:rPr>
      </w:pPr>
      <w:r>
        <w:rPr>
          <w:rFonts w:ascii="宋体" w:hAnsi="宋体" w:hint="eastAsia"/>
          <w:sz w:val="18"/>
          <w:szCs w:val="18"/>
        </w:rPr>
        <w:t>（2）投资</w:t>
      </w:r>
      <w:r>
        <w:rPr>
          <w:rFonts w:ascii="宋体" w:hAnsi="宋体"/>
          <w:sz w:val="18"/>
          <w:szCs w:val="18"/>
        </w:rPr>
        <w:t>权益类资产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8C4D74" w:rsidRDefault="008C4D74" w:rsidP="008C4D74">
      <w:pPr>
        <w:pStyle w:val="a9"/>
        <w:ind w:firstLineChars="0"/>
        <w:rPr>
          <w:rFonts w:ascii="宋体" w:hAnsi="宋体"/>
          <w:sz w:val="18"/>
          <w:szCs w:val="18"/>
        </w:rPr>
      </w:pPr>
      <w:r>
        <w:rPr>
          <w:rFonts w:ascii="宋体" w:hAnsi="宋体" w:hint="eastAsia"/>
          <w:sz w:val="18"/>
          <w:szCs w:val="18"/>
        </w:rPr>
        <w:t>1）投资股票类资产的风险</w:t>
      </w:r>
    </w:p>
    <w:p w:rsidR="008C4D74" w:rsidRDefault="008C4D74" w:rsidP="008C4D74">
      <w:pPr>
        <w:pStyle w:val="a9"/>
        <w:ind w:firstLineChars="0"/>
        <w:rPr>
          <w:rFonts w:ascii="宋体" w:hAnsi="宋体"/>
          <w:sz w:val="18"/>
          <w:szCs w:val="18"/>
        </w:rPr>
      </w:pPr>
      <w:r>
        <w:rPr>
          <w:rFonts w:ascii="宋体" w:hAnsi="宋体"/>
          <w:sz w:val="18"/>
          <w:szCs w:val="18"/>
        </w:rPr>
        <w:t>本产品投资股票类资产时可能面临以下风险</w:t>
      </w:r>
      <w:r>
        <w:rPr>
          <w:rFonts w:ascii="宋体" w:hAnsi="宋体" w:hint="eastAsia"/>
          <w:sz w:val="18"/>
          <w:szCs w:val="18"/>
        </w:rPr>
        <w:t>：</w:t>
      </w:r>
      <w:r>
        <w:rPr>
          <w:rFonts w:ascii="宋体" w:hAnsi="宋体"/>
          <w:sz w:val="18"/>
          <w:szCs w:val="18"/>
        </w:rPr>
        <w:t>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rsidR="008C4D74" w:rsidRDefault="008C4D74" w:rsidP="008C4D74">
      <w:pPr>
        <w:pStyle w:val="a9"/>
        <w:ind w:firstLineChars="0"/>
        <w:rPr>
          <w:rFonts w:ascii="宋体" w:hAnsi="宋体"/>
          <w:sz w:val="18"/>
          <w:szCs w:val="18"/>
        </w:rPr>
      </w:pPr>
      <w:r>
        <w:rPr>
          <w:rFonts w:ascii="宋体" w:hAnsi="宋体" w:hint="eastAsia"/>
          <w:sz w:val="18"/>
          <w:szCs w:val="18"/>
        </w:rPr>
        <w:t>2）投资股权类资产的风险</w:t>
      </w:r>
    </w:p>
    <w:p w:rsidR="008C4D74" w:rsidRDefault="008C4D74" w:rsidP="008C4D74">
      <w:pPr>
        <w:rPr>
          <w:rFonts w:ascii="宋体" w:hAnsi="宋体"/>
          <w:sz w:val="18"/>
          <w:szCs w:val="18"/>
        </w:rPr>
      </w:pPr>
      <w:r>
        <w:rPr>
          <w:rFonts w:ascii="宋体" w:hAnsi="宋体"/>
          <w:sz w:val="18"/>
          <w:szCs w:val="18"/>
        </w:rPr>
        <w:t>本产品投资未上市股权类资产时可能面临以下风险</w:t>
      </w:r>
      <w:r>
        <w:rPr>
          <w:rFonts w:ascii="宋体" w:hAnsi="宋体" w:hint="eastAsia"/>
          <w:sz w:val="18"/>
          <w:szCs w:val="18"/>
        </w:rPr>
        <w:t>：</w:t>
      </w:r>
      <w:r>
        <w:rPr>
          <w:rFonts w:ascii="宋体" w:hAnsi="宋体"/>
          <w:sz w:val="18"/>
          <w:szCs w:val="18"/>
        </w:rPr>
        <w:t>国家政策、经济周期、行业政策</w:t>
      </w:r>
      <w:r>
        <w:rPr>
          <w:rFonts w:ascii="宋体" w:hAnsi="宋体" w:hint="eastAsia"/>
          <w:sz w:val="18"/>
          <w:szCs w:val="18"/>
        </w:rPr>
        <w:t>等因素可能发生变化导致的市场风险；</w:t>
      </w:r>
      <w:r>
        <w:rPr>
          <w:rFonts w:ascii="宋体" w:hAnsi="宋体"/>
          <w:sz w:val="18"/>
          <w:szCs w:val="18"/>
        </w:rPr>
        <w:t>因市场、技术、竞争、管理、财务等导致公司盈利发生变化，其</w:t>
      </w:r>
      <w:r>
        <w:rPr>
          <w:rFonts w:ascii="宋体" w:hAnsi="宋体" w:hint="eastAsia"/>
          <w:sz w:val="18"/>
          <w:szCs w:val="18"/>
        </w:rPr>
        <w:t>股权</w:t>
      </w:r>
      <w:r>
        <w:rPr>
          <w:rFonts w:ascii="宋体" w:hAnsi="宋体"/>
          <w:sz w:val="18"/>
          <w:szCs w:val="18"/>
        </w:rPr>
        <w:t>价值可能下跌，影响投资者收益</w:t>
      </w:r>
      <w:r>
        <w:rPr>
          <w:rFonts w:ascii="宋体" w:hAnsi="宋体" w:hint="eastAsia"/>
          <w:sz w:val="18"/>
          <w:szCs w:val="18"/>
        </w:rPr>
        <w:t>；</w:t>
      </w:r>
      <w:r>
        <w:rPr>
          <w:rFonts w:ascii="宋体" w:hAnsi="宋体"/>
          <w:sz w:val="18"/>
          <w:szCs w:val="18"/>
        </w:rPr>
        <w:t>因股权未上市或存在相关限制股权转让的协议导致的流动性风险等</w:t>
      </w:r>
      <w:r>
        <w:rPr>
          <w:rFonts w:ascii="宋体" w:hAnsi="宋体" w:hint="eastAsia"/>
          <w:sz w:val="18"/>
          <w:szCs w:val="18"/>
        </w:rPr>
        <w:t>。</w:t>
      </w:r>
    </w:p>
    <w:p w:rsidR="008C4D74" w:rsidRDefault="008C4D74" w:rsidP="008C4D74">
      <w:pPr>
        <w:pStyle w:val="a9"/>
        <w:ind w:firstLineChars="0"/>
        <w:rPr>
          <w:rFonts w:ascii="宋体" w:hAnsi="宋体"/>
          <w:sz w:val="18"/>
          <w:szCs w:val="18"/>
        </w:rPr>
      </w:pPr>
      <w:r>
        <w:rPr>
          <w:rFonts w:ascii="宋体" w:hAnsi="宋体" w:hint="eastAsia"/>
          <w:sz w:val="18"/>
          <w:szCs w:val="18"/>
        </w:rPr>
        <w:t>（</w:t>
      </w:r>
      <w:r>
        <w:rPr>
          <w:rFonts w:ascii="宋体" w:hAnsi="宋体"/>
          <w:sz w:val="18"/>
          <w:szCs w:val="18"/>
        </w:rPr>
        <w:t>3）投资商品和金融衍生品类资产</w:t>
      </w:r>
      <w:r>
        <w:rPr>
          <w:rFonts w:ascii="宋体" w:hAnsi="宋体" w:hint="eastAsia"/>
          <w:sz w:val="18"/>
          <w:szCs w:val="18"/>
        </w:rPr>
        <w:t>的</w:t>
      </w:r>
      <w:r>
        <w:rPr>
          <w:rFonts w:ascii="宋体" w:hAnsi="宋体"/>
          <w:sz w:val="18"/>
          <w:szCs w:val="18"/>
        </w:rPr>
        <w:t>风险</w:t>
      </w:r>
      <w:r>
        <w:rPr>
          <w:rFonts w:ascii="宋体" w:hAnsi="宋体" w:hint="eastAsia"/>
          <w:sz w:val="18"/>
          <w:szCs w:val="18"/>
        </w:rPr>
        <w:t xml:space="preserve"> </w:t>
      </w:r>
    </w:p>
    <w:p w:rsidR="008C4D74" w:rsidRDefault="008C4D74" w:rsidP="008C4D74">
      <w:pPr>
        <w:pStyle w:val="a9"/>
        <w:ind w:firstLineChars="0"/>
        <w:rPr>
          <w:rFonts w:ascii="宋体" w:hAnsi="宋体"/>
          <w:sz w:val="18"/>
          <w:szCs w:val="18"/>
        </w:rPr>
      </w:pPr>
      <w:r>
        <w:rPr>
          <w:rFonts w:ascii="宋体" w:hAnsi="宋体"/>
          <w:sz w:val="18"/>
          <w:szCs w:val="18"/>
        </w:rPr>
        <w:t>本产品投资商品和金融衍生品类资产时</w:t>
      </w:r>
      <w:r>
        <w:rPr>
          <w:rFonts w:ascii="宋体" w:hAnsi="宋体" w:hint="eastAsia"/>
          <w:sz w:val="18"/>
          <w:szCs w:val="18"/>
        </w:rPr>
        <w:t>可能面临以下风险：该衍生</w:t>
      </w:r>
      <w:proofErr w:type="gramStart"/>
      <w:r>
        <w:rPr>
          <w:rFonts w:ascii="宋体" w:hAnsi="宋体" w:hint="eastAsia"/>
          <w:sz w:val="18"/>
          <w:szCs w:val="18"/>
        </w:rPr>
        <w:t>品资产</w:t>
      </w:r>
      <w:proofErr w:type="gramEnd"/>
      <w:r>
        <w:rPr>
          <w:rFonts w:ascii="宋体" w:hAnsi="宋体"/>
          <w:sz w:val="18"/>
          <w:szCs w:val="18"/>
        </w:rPr>
        <w:t>可能实行保证金交易制度，具有高杠杆性，高杠杆效应放大了价格波动风险；若本产品运作中出现基差</w:t>
      </w:r>
      <w:r>
        <w:rPr>
          <w:rFonts w:ascii="宋体" w:hAnsi="宋体" w:hint="eastAsia"/>
          <w:sz w:val="18"/>
          <w:szCs w:val="18"/>
        </w:rPr>
        <w:t>（注：</w:t>
      </w:r>
      <w:proofErr w:type="gramStart"/>
      <w:r>
        <w:rPr>
          <w:rFonts w:ascii="宋体" w:hAnsi="宋体"/>
          <w:sz w:val="18"/>
          <w:szCs w:val="18"/>
        </w:rPr>
        <w:t>基差是</w:t>
      </w:r>
      <w:proofErr w:type="gramEnd"/>
      <w:r>
        <w:rPr>
          <w:rFonts w:ascii="宋体" w:hAnsi="宋体"/>
          <w:sz w:val="18"/>
          <w:szCs w:val="18"/>
        </w:rPr>
        <w:t>指现货价格与期货价格之间的差额</w:t>
      </w:r>
      <w:r>
        <w:rPr>
          <w:rFonts w:ascii="宋体" w:hAnsi="宋体" w:hint="eastAsia"/>
          <w:sz w:val="18"/>
          <w:szCs w:val="18"/>
        </w:rPr>
        <w:t>）</w:t>
      </w:r>
      <w:r>
        <w:rPr>
          <w:rFonts w:ascii="宋体" w:hAnsi="宋体"/>
          <w:sz w:val="18"/>
          <w:szCs w:val="18"/>
        </w:rPr>
        <w:t>波动不确定性加大、</w:t>
      </w:r>
      <w:proofErr w:type="gramStart"/>
      <w:r>
        <w:rPr>
          <w:rFonts w:ascii="宋体" w:hAnsi="宋体"/>
          <w:sz w:val="18"/>
          <w:szCs w:val="18"/>
        </w:rPr>
        <w:t>基差向</w:t>
      </w:r>
      <w:proofErr w:type="gramEnd"/>
      <w:r>
        <w:rPr>
          <w:rFonts w:ascii="宋体" w:hAnsi="宋体"/>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8C4D74" w:rsidRDefault="008C4D74" w:rsidP="008C4D74">
      <w:pPr>
        <w:pStyle w:val="a9"/>
        <w:ind w:firstLine="361"/>
        <w:rPr>
          <w:rFonts w:ascii="黑体" w:eastAsia="黑体" w:hAnsi="黑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 xml:space="preserve">注：以上特定风险仅为列举性质，未能详尽列明投资本产品可能面临的全部风险和可能导致投资者投资本金及收益损失的所有因素。   </w:t>
      </w:r>
    </w:p>
    <w:p w:rsidR="008C4D74" w:rsidRDefault="008C4D74" w:rsidP="008C4D74">
      <w:pPr>
        <w:pStyle w:val="a9"/>
        <w:ind w:firstLineChars="0" w:firstLine="426"/>
        <w:rPr>
          <w:rFonts w:ascii="宋体" w:hAnsi="宋体"/>
          <w:sz w:val="18"/>
          <w:szCs w:val="18"/>
        </w:rPr>
      </w:pPr>
      <w:r>
        <w:rPr>
          <w:rFonts w:ascii="宋体" w:hAnsi="宋体" w:hint="eastAsia"/>
          <w:sz w:val="18"/>
          <w:szCs w:val="18"/>
        </w:rPr>
        <w:t xml:space="preserve">（二）投资者投资本产品可能面临的一般风险主要包括（但不限于）： </w:t>
      </w:r>
    </w:p>
    <w:p w:rsidR="008C4D74" w:rsidRDefault="008C4D74" w:rsidP="008C4D74">
      <w:pPr>
        <w:pStyle w:val="a9"/>
        <w:ind w:firstLineChars="0" w:firstLine="426"/>
        <w:rPr>
          <w:rFonts w:ascii="宋体" w:hAnsi="宋体" w:cs="仿宋_GB2312"/>
          <w:kern w:val="0"/>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8C4D74" w:rsidRDefault="008C4D74" w:rsidP="008C4D74">
      <w:pPr>
        <w:pStyle w:val="a9"/>
        <w:ind w:firstLineChars="0" w:firstLine="426"/>
        <w:rPr>
          <w:rFonts w:ascii="宋体" w:hAnsi="宋体" w:cs="仿宋_GB2312"/>
          <w:kern w:val="0"/>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8C4D74" w:rsidRDefault="008C4D74" w:rsidP="008C4D74">
      <w:pPr>
        <w:pStyle w:val="a9"/>
        <w:ind w:firstLineChars="0" w:firstLine="426"/>
        <w:rPr>
          <w:rFonts w:ascii="宋体" w:hAnsi="宋体" w:cs="仿宋_GB2312"/>
          <w:kern w:val="0"/>
          <w:sz w:val="18"/>
          <w:szCs w:val="18"/>
        </w:rPr>
      </w:pPr>
      <w:r>
        <w:rPr>
          <w:rFonts w:ascii="宋体" w:hAnsi="宋体"/>
          <w:b/>
          <w:bCs/>
          <w:sz w:val="18"/>
          <w:szCs w:val="18"/>
        </w:rPr>
        <w:t>3</w:t>
      </w:r>
      <w:r>
        <w:rPr>
          <w:rFonts w:ascii="宋体" w:hAnsi="宋体" w:hint="eastAsia"/>
          <w:b/>
          <w:bCs/>
          <w:sz w:val="18"/>
          <w:szCs w:val="18"/>
        </w:rPr>
        <w:t>.市场</w:t>
      </w:r>
      <w:r>
        <w:rPr>
          <w:rFonts w:ascii="宋体" w:hAnsi="宋体"/>
          <w:b/>
          <w:bCs/>
          <w:sz w:val="18"/>
          <w:szCs w:val="18"/>
        </w:rPr>
        <w:t>风险：</w:t>
      </w: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w:t>
      </w:r>
      <w:proofErr w:type="gramStart"/>
      <w:r>
        <w:rPr>
          <w:rFonts w:ascii="宋体" w:hAnsi="宋体" w:cs="仿宋_GB2312" w:hint="eastAsia"/>
          <w:kern w:val="0"/>
          <w:sz w:val="18"/>
          <w:szCs w:val="18"/>
        </w:rPr>
        <w:t>品投资</w:t>
      </w:r>
      <w:proofErr w:type="gramEnd"/>
      <w:r>
        <w:rPr>
          <w:rFonts w:ascii="宋体" w:hAnsi="宋体" w:cs="仿宋_GB2312" w:hint="eastAsia"/>
          <w:kern w:val="0"/>
          <w:sz w:val="18"/>
          <w:szCs w:val="18"/>
        </w:rPr>
        <w:t>风险等。</w:t>
      </w:r>
    </w:p>
    <w:p w:rsidR="008C4D74" w:rsidRDefault="008C4D74" w:rsidP="008C4D74">
      <w:pPr>
        <w:pStyle w:val="a9"/>
        <w:ind w:firstLineChars="0" w:firstLine="426"/>
        <w:rPr>
          <w:rFonts w:ascii="宋体" w:hAnsi="宋体" w:cs="仿宋_GB2312"/>
          <w:bCs/>
          <w:kern w:val="0"/>
          <w:sz w:val="18"/>
          <w:szCs w:val="18"/>
        </w:rPr>
      </w:pPr>
      <w:r>
        <w:rPr>
          <w:rFonts w:ascii="宋体" w:hAnsi="宋体" w:cs="仿宋_GB2312" w:hint="eastAsia"/>
          <w:b/>
          <w:kern w:val="0"/>
          <w:sz w:val="18"/>
          <w:szCs w:val="18"/>
        </w:rPr>
        <w:t>4.流动性风险：</w:t>
      </w: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w:t>
      </w:r>
      <w:proofErr w:type="gramStart"/>
      <w:r>
        <w:rPr>
          <w:rFonts w:ascii="宋体" w:hAnsi="宋体" w:cs="仿宋_GB2312" w:hint="eastAsia"/>
          <w:bCs/>
          <w:kern w:val="0"/>
          <w:sz w:val="18"/>
          <w:szCs w:val="18"/>
        </w:rPr>
        <w:t>现及其</w:t>
      </w:r>
      <w:proofErr w:type="gramEnd"/>
      <w:r>
        <w:rPr>
          <w:rFonts w:ascii="宋体" w:hAnsi="宋体" w:cs="仿宋_GB2312" w:hint="eastAsia"/>
          <w:bCs/>
          <w:kern w:val="0"/>
          <w:sz w:val="18"/>
          <w:szCs w:val="18"/>
        </w:rPr>
        <w:t>他流动性风险。</w:t>
      </w:r>
    </w:p>
    <w:p w:rsidR="008C4D74" w:rsidRDefault="008C4D74" w:rsidP="008C4D74">
      <w:pPr>
        <w:pStyle w:val="a9"/>
        <w:ind w:firstLineChars="0" w:firstLine="426"/>
        <w:rPr>
          <w:rFonts w:ascii="宋体" w:hAnsi="宋体" w:cs="仿宋_GB2312"/>
          <w:kern w:val="0"/>
          <w:sz w:val="18"/>
          <w:szCs w:val="18"/>
        </w:rPr>
      </w:pPr>
      <w:r>
        <w:rPr>
          <w:rFonts w:ascii="宋体" w:hAnsi="宋体" w:cs="仿宋_GB2312"/>
          <w:b/>
          <w:kern w:val="0"/>
          <w:sz w:val="18"/>
          <w:szCs w:val="18"/>
        </w:rPr>
        <w:lastRenderedPageBreak/>
        <w:t>5</w:t>
      </w:r>
      <w:r>
        <w:rPr>
          <w:rFonts w:ascii="宋体" w:hAnsi="宋体" w:cs="仿宋_GB2312" w:hint="eastAsia"/>
          <w:b/>
          <w:kern w:val="0"/>
          <w:sz w:val="18"/>
          <w:szCs w:val="18"/>
        </w:rPr>
        <w:t>.</w:t>
      </w:r>
      <w:r>
        <w:rPr>
          <w:rFonts w:ascii="宋体" w:hAnsi="宋体" w:cs="仿宋_GB2312"/>
          <w:b/>
          <w:kern w:val="0"/>
          <w:sz w:val="18"/>
          <w:szCs w:val="18"/>
        </w:rPr>
        <w:t>法律与政策风险：</w:t>
      </w: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8C4D74" w:rsidRDefault="008C4D74" w:rsidP="008C4D74">
      <w:pPr>
        <w:pStyle w:val="a9"/>
        <w:ind w:firstLineChars="0" w:firstLine="426"/>
        <w:rPr>
          <w:rFonts w:ascii="宋体" w:hAnsi="宋体" w:cs="仿宋_GB2312"/>
          <w:kern w:val="0"/>
          <w:sz w:val="18"/>
          <w:szCs w:val="18"/>
        </w:rPr>
      </w:pPr>
      <w:r>
        <w:rPr>
          <w:rFonts w:ascii="宋体" w:hAnsi="宋体"/>
          <w:b/>
          <w:bCs/>
          <w:sz w:val="18"/>
          <w:szCs w:val="18"/>
        </w:rPr>
        <w:t>6</w:t>
      </w:r>
      <w:r>
        <w:rPr>
          <w:rFonts w:ascii="宋体" w:hAnsi="宋体" w:hint="eastAsia"/>
          <w:b/>
          <w:bCs/>
          <w:sz w:val="18"/>
          <w:szCs w:val="18"/>
        </w:rPr>
        <w:t>.</w:t>
      </w:r>
      <w:r>
        <w:rPr>
          <w:rFonts w:ascii="宋体" w:hAnsi="宋体"/>
          <w:b/>
          <w:bCs/>
          <w:sz w:val="18"/>
          <w:szCs w:val="18"/>
        </w:rPr>
        <w:t>延期</w:t>
      </w:r>
      <w:r>
        <w:rPr>
          <w:rFonts w:ascii="宋体" w:hAnsi="宋体" w:hint="eastAsia"/>
          <w:b/>
          <w:bCs/>
          <w:sz w:val="18"/>
          <w:szCs w:val="18"/>
        </w:rPr>
        <w:t>分配</w:t>
      </w:r>
      <w:r>
        <w:rPr>
          <w:rFonts w:ascii="宋体" w:hAnsi="宋体"/>
          <w:b/>
          <w:bCs/>
          <w:sz w:val="18"/>
          <w:szCs w:val="18"/>
        </w:rPr>
        <w:t>风险：</w:t>
      </w: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8C4D74" w:rsidRDefault="008C4D74" w:rsidP="008C4D74">
      <w:pPr>
        <w:pStyle w:val="a9"/>
        <w:ind w:firstLineChars="0" w:firstLine="426"/>
        <w:rPr>
          <w:rFonts w:ascii="宋体" w:hAnsi="宋体" w:cs="仿宋_GB2312"/>
          <w:kern w:val="0"/>
          <w:sz w:val="18"/>
          <w:szCs w:val="18"/>
        </w:rPr>
      </w:pPr>
      <w:r>
        <w:rPr>
          <w:rFonts w:ascii="宋体" w:hAnsi="宋体" w:cs="仿宋_GB2312"/>
          <w:b/>
          <w:kern w:val="0"/>
          <w:sz w:val="18"/>
          <w:szCs w:val="18"/>
        </w:rPr>
        <w:t>7</w:t>
      </w:r>
      <w:r>
        <w:rPr>
          <w:rFonts w:ascii="宋体" w:hAnsi="宋体" w:cs="仿宋_GB2312" w:hint="eastAsia"/>
          <w:b/>
          <w:kern w:val="0"/>
          <w:sz w:val="18"/>
          <w:szCs w:val="18"/>
        </w:rPr>
        <w:t>.</w:t>
      </w:r>
      <w:proofErr w:type="gramStart"/>
      <w:r>
        <w:rPr>
          <w:rFonts w:ascii="宋体" w:hAnsi="宋体" w:cs="仿宋_GB2312"/>
          <w:b/>
          <w:kern w:val="0"/>
          <w:sz w:val="18"/>
          <w:szCs w:val="18"/>
        </w:rPr>
        <w:t>早偿风险</w:t>
      </w:r>
      <w:proofErr w:type="gramEnd"/>
      <w:r>
        <w:rPr>
          <w:rFonts w:ascii="宋体" w:hAnsi="宋体" w:cs="仿宋_GB2312"/>
          <w:b/>
          <w:kern w:val="0"/>
          <w:sz w:val="18"/>
          <w:szCs w:val="18"/>
        </w:rPr>
        <w:t>：</w:t>
      </w:r>
      <w:r>
        <w:rPr>
          <w:rFonts w:ascii="宋体" w:hAnsi="宋体" w:cs="仿宋_GB2312" w:hint="eastAsia"/>
          <w:kern w:val="0"/>
          <w:sz w:val="18"/>
          <w:szCs w:val="18"/>
        </w:rPr>
        <w:t>如遇国家金融政策重大调整影响产品正常运作时、本产品的投资资产等不能成立或者提前终止、或者司法机关要求、或发生其他产品管理人认为需要提前终止本产品等情况，产品管理人有权部分或全部提前终止本产品，投资者将面临再投资机会风险。</w:t>
      </w:r>
    </w:p>
    <w:p w:rsidR="008C4D74" w:rsidRDefault="008C4D74" w:rsidP="008C4D74">
      <w:pPr>
        <w:pStyle w:val="a9"/>
        <w:ind w:firstLineChars="0" w:firstLine="426"/>
        <w:rPr>
          <w:rFonts w:ascii="宋体" w:hAnsi="宋体" w:cs="仿宋_GB2312"/>
          <w:kern w:val="0"/>
          <w:sz w:val="18"/>
          <w:szCs w:val="18"/>
        </w:rPr>
      </w:pPr>
      <w:r>
        <w:rPr>
          <w:rFonts w:ascii="宋体" w:hAnsi="宋体"/>
          <w:b/>
          <w:bCs/>
          <w:sz w:val="18"/>
          <w:szCs w:val="18"/>
        </w:rPr>
        <w:t>8</w:t>
      </w:r>
      <w:r>
        <w:rPr>
          <w:rFonts w:ascii="宋体" w:hAnsi="宋体" w:hint="eastAsia"/>
          <w:b/>
          <w:bCs/>
          <w:sz w:val="18"/>
          <w:szCs w:val="18"/>
        </w:rPr>
        <w:t>.</w:t>
      </w:r>
      <w:r>
        <w:rPr>
          <w:rFonts w:ascii="宋体" w:hAnsi="宋体"/>
          <w:b/>
          <w:bCs/>
          <w:sz w:val="18"/>
          <w:szCs w:val="18"/>
        </w:rPr>
        <w:t>信息传递风险：</w:t>
      </w:r>
      <w:r>
        <w:rPr>
          <w:rFonts w:ascii="宋体" w:hAnsi="宋体" w:cs="仿宋_GB2312" w:hint="eastAsia"/>
          <w:kern w:val="0"/>
          <w:sz w:val="18"/>
          <w:szCs w:val="18"/>
        </w:rPr>
        <w:t>投资者需要通过约定的信息披露渠道了解产品相关信息公告。具体公告方式以理财产品合同所载明的公告方式为准。投资者应根据本产品说明书所载明的公告方式及时查询本理财产品的相关信息。</w:t>
      </w:r>
      <w:r>
        <w:rPr>
          <w:rFonts w:ascii="黑体" w:eastAsia="黑体" w:hAnsi="黑体" w:cs="仿宋_GB2312" w:hint="eastAsia"/>
          <w:bCs/>
          <w:kern w:val="0"/>
          <w:sz w:val="18"/>
          <w:szCs w:val="18"/>
        </w:rPr>
        <w:t>★</w:t>
      </w:r>
      <w:r>
        <w:rPr>
          <w:rFonts w:ascii="黑体" w:eastAsia="黑体" w:hAnsi="黑体" w:cs="仿宋_GB2312"/>
          <w:kern w:val="0"/>
          <w:sz w:val="18"/>
          <w:szCs w:val="18"/>
        </w:rPr>
        <w:t>如果投资者未及时查询，或由于通讯故障、系统故障以及其他不可抗力等因素的影响使得投资者无法及时了解产品信息，由此而产生的责任和风险由投资者自行承担。</w:t>
      </w:r>
      <w:r>
        <w:rPr>
          <w:rFonts w:ascii="宋体" w:hAnsi="宋体" w:cs="仿宋_GB2312"/>
          <w:kern w:val="0"/>
          <w:sz w:val="18"/>
          <w:szCs w:val="18"/>
        </w:rPr>
        <w:t>如投资者预留的有效联系方式变更但未及时告知</w:t>
      </w:r>
      <w:r>
        <w:rPr>
          <w:rFonts w:ascii="宋体" w:hAnsi="宋体" w:cs="仿宋_GB2312" w:hint="eastAsia"/>
          <w:kern w:val="0"/>
          <w:sz w:val="18"/>
          <w:szCs w:val="18"/>
        </w:rPr>
        <w:t>产品管理人</w:t>
      </w:r>
      <w:r>
        <w:rPr>
          <w:rFonts w:ascii="宋体" w:hAnsi="宋体" w:cs="仿宋_GB2312"/>
          <w:kern w:val="0"/>
          <w:sz w:val="18"/>
          <w:szCs w:val="18"/>
        </w:rPr>
        <w:t>的，致使在需要联系投资者时无法及时联系并可能会由此影响投资者的投资决策，由此而产生的责任和风险由投资者自行承担。</w:t>
      </w:r>
    </w:p>
    <w:p w:rsidR="008C4D74" w:rsidRDefault="008C4D74" w:rsidP="008C4D74">
      <w:pPr>
        <w:ind w:firstLineChars="249" w:firstLine="450"/>
        <w:rPr>
          <w:rFonts w:ascii="宋体" w:hAnsi="宋体"/>
          <w:bCs/>
          <w:sz w:val="18"/>
          <w:szCs w:val="18"/>
        </w:rPr>
      </w:pPr>
      <w:r>
        <w:rPr>
          <w:rFonts w:ascii="宋体" w:hAnsi="宋体"/>
          <w:b/>
          <w:bCs/>
          <w:sz w:val="18"/>
          <w:szCs w:val="18"/>
        </w:rPr>
        <w:t>9</w:t>
      </w:r>
      <w:r>
        <w:rPr>
          <w:rFonts w:ascii="宋体" w:hAnsi="宋体" w:hint="eastAsia"/>
          <w:b/>
          <w:bCs/>
          <w:sz w:val="18"/>
          <w:szCs w:val="18"/>
        </w:rPr>
        <w:t>.</w:t>
      </w:r>
      <w:r>
        <w:rPr>
          <w:rFonts w:ascii="宋体" w:hAnsi="宋体"/>
          <w:b/>
          <w:bCs/>
          <w:sz w:val="18"/>
          <w:szCs w:val="18"/>
        </w:rPr>
        <w:t>不可抗力及意外事件风险：</w:t>
      </w:r>
      <w:r>
        <w:rPr>
          <w:rFonts w:ascii="宋体" w:hAnsi="宋体" w:hint="eastAsia"/>
          <w:bCs/>
          <w:sz w:val="18"/>
          <w:szCs w:val="18"/>
        </w:rPr>
        <w:t>因战争、自然灾害、重大政治事件等不可抗力以及其他不可预见的意外事件可能致使理财产品面临损失的风险。</w:t>
      </w:r>
    </w:p>
    <w:p w:rsidR="008C4D74" w:rsidRDefault="008C4D74" w:rsidP="008C4D74">
      <w:pPr>
        <w:pStyle w:val="a9"/>
        <w:ind w:firstLineChars="0" w:firstLine="426"/>
        <w:rPr>
          <w:rFonts w:ascii="宋体" w:hAnsi="宋体"/>
          <w:bCs/>
          <w:sz w:val="18"/>
          <w:szCs w:val="18"/>
        </w:rPr>
      </w:pPr>
      <w:r>
        <w:rPr>
          <w:rFonts w:ascii="宋体" w:hAnsi="宋体"/>
          <w:b/>
          <w:bCs/>
          <w:sz w:val="18"/>
          <w:szCs w:val="18"/>
        </w:rPr>
        <w:t>10</w:t>
      </w:r>
      <w:r>
        <w:rPr>
          <w:rFonts w:ascii="宋体" w:hAnsi="宋体" w:hint="eastAsia"/>
          <w:b/>
          <w:bCs/>
          <w:sz w:val="18"/>
          <w:szCs w:val="18"/>
        </w:rPr>
        <w:t>.</w:t>
      </w:r>
      <w:r>
        <w:rPr>
          <w:rFonts w:ascii="宋体" w:hAnsi="宋体"/>
          <w:b/>
          <w:bCs/>
          <w:sz w:val="18"/>
          <w:szCs w:val="18"/>
        </w:rPr>
        <w:t>管理人风险：</w:t>
      </w:r>
      <w:r>
        <w:rPr>
          <w:rFonts w:ascii="宋体" w:hAnsi="宋体" w:hint="eastAsia"/>
          <w:bCs/>
          <w:sz w:val="18"/>
          <w:szCs w:val="18"/>
        </w:rPr>
        <w:t>理财产品管理人或理财投资资产相关服务机构受经验、技能等因素的限制，或者上述主体处理事务不当等，可能导致投资者遭受损失。</w:t>
      </w:r>
    </w:p>
    <w:p w:rsidR="008C4D74" w:rsidRDefault="008C4D74" w:rsidP="008C4D74">
      <w:pPr>
        <w:pStyle w:val="a9"/>
        <w:ind w:firstLineChars="0"/>
        <w:rPr>
          <w:rFonts w:ascii="宋体" w:hAnsi="宋体"/>
          <w:bCs/>
          <w:sz w:val="18"/>
          <w:szCs w:val="18"/>
        </w:rPr>
      </w:pPr>
      <w:r>
        <w:rPr>
          <w:rFonts w:ascii="宋体" w:hAnsi="宋体"/>
          <w:b/>
          <w:bCs/>
          <w:sz w:val="18"/>
          <w:szCs w:val="18"/>
        </w:rPr>
        <w:t>11</w:t>
      </w:r>
      <w:r>
        <w:rPr>
          <w:rFonts w:ascii="宋体" w:hAnsi="宋体" w:hint="eastAsia"/>
          <w:b/>
          <w:bCs/>
          <w:sz w:val="18"/>
          <w:szCs w:val="18"/>
        </w:rPr>
        <w:t>.理财产品不成立风险：</w:t>
      </w:r>
      <w:r>
        <w:rPr>
          <w:rFonts w:ascii="宋体" w:hAnsi="宋体" w:hint="eastAsia"/>
          <w:bCs/>
          <w:sz w:val="18"/>
          <w:szCs w:val="18"/>
        </w:rPr>
        <w:t>如自本产品开始募集至认购期结束</w:t>
      </w:r>
      <w:proofErr w:type="gramStart"/>
      <w:r>
        <w:rPr>
          <w:rFonts w:ascii="宋体" w:hAnsi="宋体" w:hint="eastAsia"/>
          <w:bCs/>
          <w:sz w:val="18"/>
          <w:szCs w:val="18"/>
        </w:rPr>
        <w:t>认购总</w:t>
      </w:r>
      <w:proofErr w:type="gramEnd"/>
      <w:r>
        <w:rPr>
          <w:rFonts w:ascii="宋体" w:hAnsi="宋体" w:hint="eastAsia"/>
          <w:bCs/>
          <w:sz w:val="18"/>
          <w:szCs w:val="18"/>
        </w:rPr>
        <w:t>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8C4D74" w:rsidRDefault="008C4D74" w:rsidP="008C4D74">
      <w:pPr>
        <w:pStyle w:val="a9"/>
        <w:ind w:firstLineChars="0"/>
        <w:rPr>
          <w:rFonts w:ascii="宋体" w:hAnsi="宋体"/>
          <w:bCs/>
          <w:sz w:val="18"/>
          <w:szCs w:val="18"/>
        </w:rPr>
      </w:pPr>
      <w:r>
        <w:rPr>
          <w:rFonts w:ascii="宋体" w:hAnsi="宋体"/>
          <w:b/>
          <w:bCs/>
          <w:sz w:val="18"/>
          <w:szCs w:val="18"/>
        </w:rPr>
        <w:t>12</w:t>
      </w:r>
      <w:r>
        <w:rPr>
          <w:rFonts w:ascii="宋体" w:hAnsi="宋体" w:hint="eastAsia"/>
          <w:b/>
          <w:bCs/>
          <w:sz w:val="18"/>
          <w:szCs w:val="18"/>
        </w:rPr>
        <w:t>.</w:t>
      </w:r>
      <w:r>
        <w:rPr>
          <w:rFonts w:ascii="宋体" w:hAnsi="宋体"/>
          <w:b/>
          <w:bCs/>
          <w:sz w:val="18"/>
          <w:szCs w:val="18"/>
        </w:rPr>
        <w:t>操作风险：</w:t>
      </w: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8C4D74" w:rsidRDefault="008C4D74" w:rsidP="008C4D74">
      <w:pPr>
        <w:pStyle w:val="a9"/>
        <w:ind w:firstLineChars="0"/>
        <w:rPr>
          <w:rFonts w:ascii="宋体" w:hAnsi="宋体"/>
          <w:bCs/>
          <w:sz w:val="18"/>
          <w:szCs w:val="18"/>
        </w:rPr>
      </w:pPr>
      <w:r>
        <w:rPr>
          <w:rFonts w:ascii="宋体" w:hAnsi="宋体"/>
          <w:b/>
          <w:bCs/>
          <w:sz w:val="18"/>
          <w:szCs w:val="18"/>
        </w:rPr>
        <w:t>13.估值</w:t>
      </w:r>
      <w:r>
        <w:rPr>
          <w:rFonts w:ascii="宋体" w:hAnsi="宋体" w:hint="eastAsia"/>
          <w:b/>
          <w:bCs/>
          <w:sz w:val="18"/>
          <w:szCs w:val="18"/>
        </w:rPr>
        <w:t>波动</w:t>
      </w:r>
      <w:r>
        <w:rPr>
          <w:rFonts w:ascii="宋体" w:hAnsi="宋体"/>
          <w:b/>
          <w:bCs/>
          <w:sz w:val="18"/>
          <w:szCs w:val="18"/>
        </w:rPr>
        <w:t>风险：</w:t>
      </w: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8C4D74" w:rsidRDefault="008C4D74" w:rsidP="008C4D74">
      <w:pPr>
        <w:pStyle w:val="a9"/>
        <w:ind w:firstLineChars="0"/>
        <w:rPr>
          <w:rFonts w:ascii="宋体" w:hAnsi="宋体"/>
          <w:bCs/>
          <w:sz w:val="18"/>
          <w:szCs w:val="18"/>
        </w:rPr>
      </w:pPr>
      <w:r>
        <w:rPr>
          <w:rFonts w:ascii="宋体" w:hAnsi="宋体"/>
          <w:b/>
          <w:bCs/>
          <w:sz w:val="18"/>
          <w:szCs w:val="18"/>
        </w:rPr>
        <w:t>14</w:t>
      </w:r>
      <w:r>
        <w:rPr>
          <w:rFonts w:ascii="宋体" w:hAnsi="宋体" w:hint="eastAsia"/>
          <w:b/>
          <w:bCs/>
          <w:sz w:val="18"/>
          <w:szCs w:val="18"/>
        </w:rPr>
        <w:t>.</w:t>
      </w:r>
      <w:r>
        <w:rPr>
          <w:rFonts w:ascii="宋体" w:hAnsi="宋体"/>
          <w:b/>
          <w:bCs/>
          <w:sz w:val="18"/>
          <w:szCs w:val="18"/>
        </w:rPr>
        <w:t>估值差错风险：</w:t>
      </w: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8C4D74" w:rsidRDefault="008C4D74" w:rsidP="008C4D74">
      <w:pPr>
        <w:pStyle w:val="a9"/>
        <w:ind w:firstLineChars="0"/>
        <w:rPr>
          <w:rFonts w:ascii="黑体" w:eastAsia="黑体" w:hAnsi="黑体"/>
          <w:bCs/>
          <w:sz w:val="18"/>
          <w:szCs w:val="18"/>
          <w:u w:val="single"/>
        </w:rPr>
      </w:pPr>
      <w:r>
        <w:rPr>
          <w:rFonts w:ascii="宋体" w:hAnsi="宋体"/>
          <w:b/>
          <w:bCs/>
          <w:sz w:val="18"/>
          <w:szCs w:val="18"/>
        </w:rPr>
        <w:t>15</w:t>
      </w:r>
      <w:r>
        <w:rPr>
          <w:rFonts w:ascii="宋体" w:hAnsi="宋体" w:hint="eastAsia"/>
          <w:b/>
          <w:bCs/>
          <w:sz w:val="18"/>
          <w:szCs w:val="18"/>
        </w:rPr>
        <w:t>.</w:t>
      </w:r>
      <w:r>
        <w:rPr>
          <w:rFonts w:hAnsi="宋体" w:hint="eastAsia"/>
          <w:sz w:val="18"/>
          <w:szCs w:val="18"/>
        </w:rPr>
        <w:t>★</w:t>
      </w:r>
      <w:r>
        <w:rPr>
          <w:rFonts w:ascii="宋体" w:hAnsi="宋体" w:hint="eastAsia"/>
          <w:b/>
          <w:bCs/>
          <w:sz w:val="18"/>
          <w:szCs w:val="18"/>
        </w:rPr>
        <w:t>代销风险：</w:t>
      </w:r>
      <w:r>
        <w:rPr>
          <w:rFonts w:ascii="黑体" w:eastAsia="黑体" w:hAnsi="黑体" w:hint="eastAsia"/>
          <w:bCs/>
          <w:sz w:val="18"/>
          <w:szCs w:val="18"/>
          <w:u w:val="single"/>
        </w:rPr>
        <w:t>本理财产品若通过非产品管理人自有渠道进行销售的属于代理销售，认购</w:t>
      </w:r>
      <w:r>
        <w:rPr>
          <w:rFonts w:ascii="黑体" w:eastAsia="黑体" w:hAnsi="黑体"/>
          <w:bCs/>
          <w:sz w:val="18"/>
          <w:szCs w:val="18"/>
          <w:u w:val="single"/>
        </w:rPr>
        <w:t>/</w:t>
      </w:r>
      <w:r>
        <w:rPr>
          <w:rFonts w:ascii="黑体" w:eastAsia="黑体" w:hAnsi="黑体" w:hint="eastAsia"/>
          <w:bCs/>
          <w:sz w:val="18"/>
          <w:szCs w:val="18"/>
          <w:u w:val="single"/>
        </w:rPr>
        <w:t>申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w:t>
      </w:r>
      <w:r>
        <w:rPr>
          <w:rFonts w:ascii="黑体" w:eastAsia="黑体" w:hAnsi="黑体"/>
          <w:bCs/>
          <w:sz w:val="18"/>
          <w:szCs w:val="18"/>
          <w:u w:val="single"/>
        </w:rPr>
        <w:t>申购</w:t>
      </w:r>
      <w:r>
        <w:rPr>
          <w:rFonts w:ascii="黑体" w:eastAsia="黑体" w:hAnsi="黑体" w:hint="eastAsia"/>
          <w:bCs/>
          <w:sz w:val="18"/>
          <w:szCs w:val="18"/>
          <w:u w:val="single"/>
        </w:rPr>
        <w:t>/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w:t>
      </w:r>
      <w:proofErr w:type="gramStart"/>
      <w:r>
        <w:rPr>
          <w:rFonts w:ascii="黑体" w:eastAsia="黑体" w:hAnsi="黑体" w:hint="eastAsia"/>
          <w:bCs/>
          <w:sz w:val="18"/>
          <w:szCs w:val="18"/>
          <w:u w:val="single"/>
        </w:rPr>
        <w:t>不</w:t>
      </w:r>
      <w:proofErr w:type="gramEnd"/>
      <w:r>
        <w:rPr>
          <w:rFonts w:ascii="黑体" w:eastAsia="黑体" w:hAnsi="黑体" w:hint="eastAsia"/>
          <w:bCs/>
          <w:sz w:val="18"/>
          <w:szCs w:val="18"/>
          <w:u w:val="single"/>
        </w:rPr>
        <w:t>免除因代理销售机构过错依法应由代理销售机构承担的责任。</w:t>
      </w:r>
    </w:p>
    <w:p w:rsidR="008C4D74" w:rsidRDefault="008C4D74" w:rsidP="008C4D74">
      <w:pPr>
        <w:pStyle w:val="a9"/>
        <w:ind w:firstLineChars="0"/>
        <w:rPr>
          <w:rFonts w:ascii="黑体" w:eastAsia="黑体" w:hAnsi="黑体" w:cs="仿宋_GB2312"/>
          <w:kern w:val="0"/>
          <w:sz w:val="18"/>
          <w:szCs w:val="18"/>
        </w:rPr>
      </w:pPr>
      <w:r>
        <w:rPr>
          <w:rFonts w:ascii="黑体" w:eastAsia="黑体" w:hAnsi="黑体"/>
          <w:b/>
          <w:bCs/>
          <w:sz w:val="18"/>
          <w:szCs w:val="18"/>
          <w:u w:val="single"/>
        </w:rPr>
        <w:t>16.</w:t>
      </w:r>
      <w:r>
        <w:rPr>
          <w:rFonts w:ascii="黑体" w:eastAsia="黑体" w:hAnsi="黑体" w:cs="仿宋_GB2312" w:hint="eastAsia"/>
          <w:b/>
          <w:kern w:val="0"/>
          <w:sz w:val="18"/>
          <w:szCs w:val="18"/>
        </w:rPr>
        <w:t>★不同理财产品份额类别存在差异的风险：</w:t>
      </w: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等因素，对理财投资者所持有的理财产品设置不同理财产品份额类别。不同类别的理财产品份额在销售名称、</w:t>
      </w:r>
      <w:r>
        <w:rPr>
          <w:rFonts w:ascii="黑体" w:eastAsia="黑体" w:hAnsi="黑体" w:hint="eastAsia"/>
          <w:sz w:val="18"/>
          <w:szCs w:val="18"/>
        </w:rPr>
        <w:t>收费方式、</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w:t>
      </w:r>
      <w:r>
        <w:rPr>
          <w:rFonts w:ascii="黑体" w:eastAsia="黑体" w:hAnsi="黑体" w:cs="仿宋_GB2312" w:hint="eastAsia"/>
          <w:kern w:val="0"/>
          <w:sz w:val="18"/>
          <w:szCs w:val="18"/>
        </w:rPr>
        <w:t>赎回的数量限制、</w:t>
      </w:r>
      <w:r>
        <w:rPr>
          <w:rFonts w:ascii="黑体" w:eastAsia="黑体" w:hAnsi="黑体" w:hint="eastAsia"/>
          <w:sz w:val="18"/>
          <w:szCs w:val="18"/>
        </w:rPr>
        <w:t>投资者持有本产品的最高限额最低限额、</w:t>
      </w:r>
      <w:r>
        <w:rPr>
          <w:rFonts w:ascii="黑体" w:eastAsia="黑体" w:hAnsi="黑体" w:cs="仿宋_GB2312" w:hint="eastAsia"/>
          <w:kern w:val="0"/>
          <w:sz w:val="18"/>
          <w:szCs w:val="18"/>
        </w:rPr>
        <w:t>计算和公告产品份额净值方面存在差异。</w:t>
      </w:r>
    </w:p>
    <w:p w:rsidR="008C4D74" w:rsidRDefault="008C4D74" w:rsidP="008C4D74">
      <w:pPr>
        <w:pStyle w:val="a9"/>
        <w:ind w:firstLineChars="0"/>
        <w:rPr>
          <w:rFonts w:ascii="黑体" w:eastAsia="黑体" w:hAnsi="黑体"/>
          <w:sz w:val="18"/>
          <w:szCs w:val="18"/>
          <w:u w:val="single"/>
        </w:rPr>
      </w:pPr>
      <w:r>
        <w:rPr>
          <w:rFonts w:ascii="黑体" w:eastAsia="黑体" w:hAnsi="黑体"/>
          <w:b/>
          <w:bCs/>
          <w:sz w:val="18"/>
          <w:szCs w:val="18"/>
          <w:u w:val="single"/>
        </w:rPr>
        <w:t>17.</w:t>
      </w:r>
      <w:r>
        <w:rPr>
          <w:rFonts w:ascii="黑体" w:eastAsia="黑体" w:hAnsi="黑体" w:hint="eastAsia"/>
          <w:b/>
          <w:bCs/>
          <w:sz w:val="18"/>
          <w:szCs w:val="18"/>
          <w:u w:val="single"/>
        </w:rPr>
        <w:t>关联交易风险：</w:t>
      </w:r>
      <w:r>
        <w:rPr>
          <w:rFonts w:ascii="黑体" w:eastAsia="黑体" w:hAnsi="黑体" w:hint="eastAsia"/>
          <w:sz w:val="18"/>
          <w:szCs w:val="18"/>
          <w:u w:val="single"/>
        </w:rPr>
        <w:t>若本产品的销售机构为兴业银行股份有限公司（以下简称“兴业银行”），鉴于兴业银行是产品管理人的关联方，尽管兴业银行已建立健全关联方产品销售管理制度，但上述关联</w:t>
      </w:r>
      <w:r>
        <w:rPr>
          <w:rFonts w:ascii="黑体" w:eastAsia="黑体" w:hAnsi="黑体"/>
          <w:sz w:val="18"/>
          <w:szCs w:val="18"/>
          <w:u w:val="single"/>
        </w:rPr>
        <w:t>关系</w:t>
      </w:r>
      <w:r>
        <w:rPr>
          <w:rFonts w:ascii="黑体" w:eastAsia="黑体" w:hAnsi="黑体" w:hint="eastAsia"/>
          <w:sz w:val="18"/>
          <w:szCs w:val="18"/>
          <w:u w:val="single"/>
        </w:rPr>
        <w:t>仍可能产生</w:t>
      </w:r>
      <w:r>
        <w:rPr>
          <w:rFonts w:ascii="黑体" w:eastAsia="黑体" w:hAnsi="黑体"/>
          <w:sz w:val="18"/>
          <w:szCs w:val="18"/>
          <w:u w:val="single"/>
        </w:rPr>
        <w:t>不利影响和投资</w:t>
      </w:r>
      <w:r>
        <w:rPr>
          <w:rFonts w:ascii="黑体" w:eastAsia="黑体" w:hAnsi="黑体" w:hint="eastAsia"/>
          <w:sz w:val="18"/>
          <w:szCs w:val="18"/>
          <w:u w:val="single"/>
        </w:rPr>
        <w:t>风险，进而可能影响投资者的利益。</w:t>
      </w:r>
    </w:p>
    <w:p w:rsidR="008C4D74" w:rsidRDefault="008C4D74" w:rsidP="008C4D74">
      <w:pPr>
        <w:autoSpaceDE w:val="0"/>
        <w:autoSpaceDN w:val="0"/>
        <w:adjustRightInd w:val="0"/>
        <w:ind w:firstLine="420"/>
        <w:jc w:val="left"/>
        <w:rPr>
          <w:rFonts w:ascii="黑体" w:eastAsia="黑体" w:hAnsi="黑体"/>
          <w:b/>
          <w:sz w:val="18"/>
          <w:szCs w:val="18"/>
        </w:rPr>
      </w:pPr>
      <w:r>
        <w:rPr>
          <w:rFonts w:ascii="黑体" w:eastAsia="黑体" w:hAnsi="黑体" w:cs="仿宋_GB2312" w:hint="eastAsia"/>
          <w:b/>
          <w:kern w:val="0"/>
          <w:sz w:val="18"/>
          <w:szCs w:val="18"/>
        </w:rPr>
        <w:lastRenderedPageBreak/>
        <w:t>（三）</w:t>
      </w:r>
      <w:r>
        <w:rPr>
          <w:rFonts w:hAnsi="宋体" w:hint="eastAsia"/>
          <w:b/>
          <w:sz w:val="18"/>
          <w:szCs w:val="18"/>
        </w:rPr>
        <w:t>★</w:t>
      </w:r>
      <w:r>
        <w:rPr>
          <w:rFonts w:ascii="黑体" w:eastAsia="黑体" w:hAnsi="黑体" w:cs="仿宋_GB2312" w:hint="eastAsia"/>
          <w:b/>
          <w:kern w:val="0"/>
          <w:sz w:val="18"/>
          <w:szCs w:val="18"/>
        </w:rPr>
        <w:t>最不利投资情形下的投资结果示例：</w:t>
      </w:r>
      <w:r>
        <w:rPr>
          <w:rFonts w:ascii="黑体" w:eastAsia="黑体" w:hAnsi="黑体" w:hint="eastAsia"/>
          <w:b/>
          <w:bCs/>
          <w:sz w:val="18"/>
          <w:szCs w:val="18"/>
        </w:rPr>
        <w:t>产品管理人对本产品的理财本金和收益不提供保证承诺，</w:t>
      </w:r>
      <w:r>
        <w:rPr>
          <w:rFonts w:ascii="黑体" w:eastAsia="黑体" w:hAnsi="黑体" w:hint="eastAsia"/>
          <w:b/>
          <w:sz w:val="18"/>
          <w:szCs w:val="18"/>
        </w:rPr>
        <w:t>若理财产品运作期间，该理财产品投资标的出现风险，则投资者可能无法获得理财收益</w:t>
      </w:r>
      <w:r>
        <w:rPr>
          <w:rFonts w:ascii="黑体" w:eastAsia="黑体" w:hAnsi="黑体"/>
          <w:b/>
          <w:sz w:val="18"/>
          <w:szCs w:val="18"/>
        </w:rPr>
        <w:t>，甚至投资者的投资本金将遭受损失，在最不利的极端情况下，投资者可能损失全部本金。</w:t>
      </w:r>
    </w:p>
    <w:p w:rsidR="008C4D74" w:rsidRDefault="008C4D74" w:rsidP="008C4D74">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五、【投资者适用】</w:t>
      </w:r>
      <w:r>
        <w:rPr>
          <w:rFonts w:ascii="宋体" w:hAnsi="宋体" w:cs="仿宋_GB2312" w:hint="eastAsia"/>
          <w:kern w:val="0"/>
          <w:sz w:val="18"/>
          <w:szCs w:val="18"/>
        </w:rPr>
        <w:t>《投资者风险承受能力评估问卷》用于评估投资者对金融工具及投资目标的相关风险的态度。投资者可根据评估结果确定所属投资者类型，购买适合的理财产品。</w:t>
      </w:r>
      <w:r>
        <w:rPr>
          <w:rFonts w:ascii="黑体" w:eastAsia="黑体" w:hAnsi="黑体" w:cs="仿宋_GB2312" w:hint="eastAsia"/>
          <w:kern w:val="0"/>
          <w:sz w:val="18"/>
          <w:szCs w:val="18"/>
        </w:rPr>
        <w:t>如影响</w:t>
      </w:r>
      <w:proofErr w:type="gramStart"/>
      <w:r>
        <w:rPr>
          <w:rFonts w:ascii="黑体" w:eastAsia="黑体" w:hAnsi="黑体" w:cs="仿宋_GB2312" w:hint="eastAsia"/>
          <w:kern w:val="0"/>
          <w:sz w:val="18"/>
          <w:szCs w:val="18"/>
        </w:rPr>
        <w:t>您风险</w:t>
      </w:r>
      <w:proofErr w:type="gramEnd"/>
      <w:r>
        <w:rPr>
          <w:rFonts w:ascii="黑体" w:eastAsia="黑体" w:hAnsi="黑体" w:cs="仿宋_GB2312" w:hint="eastAsia"/>
          <w:kern w:val="0"/>
          <w:sz w:val="18"/>
          <w:szCs w:val="18"/>
        </w:rPr>
        <w:t>承受能力的因素发生变化，请您及时重新完成风险承受能力评估。</w:t>
      </w:r>
    </w:p>
    <w:p w:rsidR="008C4D74" w:rsidRDefault="008C4D74" w:rsidP="008C4D74">
      <w:pPr>
        <w:ind w:left="540"/>
        <w:jc w:val="right"/>
        <w:rPr>
          <w:rFonts w:ascii="宋体" w:hAnsi="宋体"/>
          <w:sz w:val="18"/>
          <w:szCs w:val="18"/>
        </w:rPr>
      </w:pPr>
    </w:p>
    <w:p w:rsidR="008C4D74" w:rsidRDefault="008C4D74" w:rsidP="008C4D74">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8C4D74" w:rsidRDefault="008C4D74" w:rsidP="008C4D74">
      <w:pPr>
        <w:wordWrap w:val="0"/>
        <w:ind w:left="540"/>
        <w:jc w:val="right"/>
        <w:rPr>
          <w:rFonts w:ascii="宋体" w:hAnsi="宋体"/>
          <w:sz w:val="18"/>
          <w:szCs w:val="18"/>
        </w:rPr>
      </w:pPr>
      <w:r>
        <w:rPr>
          <w:rFonts w:ascii="宋体" w:hAnsi="宋体" w:hint="eastAsia"/>
          <w:sz w:val="18"/>
          <w:szCs w:val="18"/>
        </w:rPr>
        <w:t>销售机构（【</w:t>
      </w:r>
      <w:r>
        <w:rPr>
          <w:rFonts w:asciiTheme="majorEastAsia" w:eastAsiaTheme="majorEastAsia" w:hAnsiTheme="majorEastAsia" w:hint="eastAsia"/>
          <w:bCs/>
          <w:sz w:val="18"/>
          <w:szCs w:val="18"/>
        </w:rPr>
        <w:t xml:space="preserve">  </w:t>
      </w:r>
      <w:r>
        <w:rPr>
          <w:rFonts w:ascii="宋体" w:hAnsi="宋体" w:hint="eastAsia"/>
          <w:sz w:val="18"/>
          <w:szCs w:val="18"/>
        </w:rPr>
        <w:t>】）</w:t>
      </w:r>
    </w:p>
    <w:p w:rsidR="008C4D74" w:rsidRDefault="008C4D74" w:rsidP="008C4D74">
      <w:pPr>
        <w:widowControl/>
        <w:jc w:val="left"/>
        <w:rPr>
          <w:rFonts w:ascii="宋体" w:hAnsi="宋体"/>
          <w:sz w:val="18"/>
          <w:szCs w:val="18"/>
        </w:rPr>
      </w:pPr>
      <w:r>
        <w:rPr>
          <w:rFonts w:ascii="宋体" w:hAnsi="宋体"/>
          <w:sz w:val="18"/>
          <w:szCs w:val="18"/>
        </w:rPr>
        <w:br w:type="page"/>
      </w:r>
    </w:p>
    <w:p w:rsidR="008C4D74" w:rsidRDefault="008C4D74" w:rsidP="008C4D74">
      <w:pPr>
        <w:ind w:left="540"/>
        <w:jc w:val="right"/>
        <w:rPr>
          <w:rFonts w:ascii="宋体" w:hAnsi="宋体"/>
          <w:sz w:val="18"/>
          <w:szCs w:val="18"/>
        </w:rPr>
      </w:pPr>
    </w:p>
    <w:p w:rsidR="008C4D74" w:rsidRDefault="008C4D74" w:rsidP="008C4D74">
      <w:pPr>
        <w:ind w:left="540"/>
        <w:jc w:val="right"/>
        <w:rPr>
          <w:rFonts w:ascii="宋体" w:hAnsi="宋体"/>
          <w:sz w:val="18"/>
          <w:szCs w:val="18"/>
        </w:rPr>
      </w:pPr>
    </w:p>
    <w:tbl>
      <w:tblPr>
        <w:tblStyle w:val="a8"/>
        <w:tblW w:w="8371"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71"/>
      </w:tblGrid>
      <w:tr w:rsidR="008C4D74" w:rsidTr="008D10E8">
        <w:trPr>
          <w:trHeight w:val="627"/>
        </w:trPr>
        <w:tc>
          <w:tcPr>
            <w:tcW w:w="8371" w:type="dxa"/>
          </w:tcPr>
          <w:p w:rsidR="008C4D74" w:rsidRDefault="008C4D74" w:rsidP="008D10E8">
            <w:pPr>
              <w:spacing w:line="280" w:lineRule="atLeast"/>
              <w:jc w:val="center"/>
              <w:rPr>
                <w:rFonts w:ascii="宋体" w:hAnsi="宋体" w:cs="Arial"/>
                <w:b/>
                <w:szCs w:val="21"/>
              </w:rPr>
            </w:pPr>
            <w:r>
              <w:rPr>
                <w:rFonts w:ascii="宋体" w:hAnsi="宋体" w:cs="Arial" w:hint="eastAsia"/>
                <w:b/>
                <w:szCs w:val="21"/>
              </w:rPr>
              <w:t>投资者确认栏</w:t>
            </w:r>
          </w:p>
          <w:p w:rsidR="008C4D74" w:rsidRDefault="008C4D74" w:rsidP="008D10E8">
            <w:pPr>
              <w:spacing w:line="280" w:lineRule="atLeast"/>
              <w:jc w:val="center"/>
              <w:rPr>
                <w:rFonts w:ascii="宋体" w:hAnsi="宋体" w:cs="Arial"/>
                <w:b/>
                <w:szCs w:val="21"/>
              </w:rPr>
            </w:pPr>
            <w:r>
              <w:rPr>
                <w:rFonts w:ascii="宋体" w:hAnsi="宋体" w:cs="Arial" w:hint="eastAsia"/>
                <w:b/>
                <w:szCs w:val="21"/>
              </w:rPr>
              <w:t>（适用于个人投资者）</w:t>
            </w:r>
          </w:p>
        </w:tc>
      </w:tr>
      <w:tr w:rsidR="008C4D74" w:rsidTr="008D10E8">
        <w:trPr>
          <w:trHeight w:val="6283"/>
        </w:trPr>
        <w:tc>
          <w:tcPr>
            <w:tcW w:w="8371" w:type="dxa"/>
          </w:tcPr>
          <w:p w:rsidR="008C4D74" w:rsidRDefault="008C4D74" w:rsidP="008D10E8">
            <w:pPr>
              <w:spacing w:line="280" w:lineRule="atLeast"/>
              <w:ind w:firstLineChars="200" w:firstLine="360"/>
              <w:jc w:val="left"/>
              <w:rPr>
                <w:rFonts w:ascii="黑体" w:eastAsia="黑体" w:hAnsi="黑体" w:cs="Arial"/>
                <w:sz w:val="18"/>
                <w:szCs w:val="18"/>
              </w:rPr>
            </w:pPr>
            <w:r>
              <w:rPr>
                <w:rFonts w:ascii="黑体" w:eastAsia="黑体" w:hAnsi="黑体" w:cs="仿宋_GB2312" w:hint="eastAsia"/>
                <w:bCs/>
                <w:sz w:val="18"/>
                <w:szCs w:val="18"/>
              </w:rPr>
              <w:t>★</w:t>
            </w:r>
            <w:r>
              <w:rPr>
                <w:rFonts w:ascii="黑体" w:eastAsia="黑体" w:hAnsi="黑体" w:cs="Arial" w:hint="eastAsia"/>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宋体" w:hAnsi="宋体" w:cs="Arial" w:hint="eastAsia"/>
                <w:sz w:val="18"/>
                <w:szCs w:val="18"/>
              </w:rPr>
              <w:t>依照</w:t>
            </w:r>
            <w:r>
              <w:rPr>
                <w:rFonts w:ascii="宋体" w:hAnsi="宋体" w:cs="Arial"/>
                <w:sz w:val="18"/>
                <w:szCs w:val="18"/>
              </w:rPr>
              <w:t>销售机构</w:t>
            </w:r>
            <w:r>
              <w:rPr>
                <w:rFonts w:ascii="宋体" w:hAnsi="宋体" w:cs="Arial" w:hint="eastAsia"/>
                <w:sz w:val="18"/>
                <w:szCs w:val="18"/>
              </w:rPr>
              <w:t>设置的投资者风险承受能力评级的划分</w:t>
            </w:r>
            <w:r>
              <w:rPr>
                <w:rFonts w:ascii="宋体" w:hAnsi="宋体" w:cs="Arial"/>
                <w:sz w:val="18"/>
                <w:szCs w:val="18"/>
              </w:rPr>
              <w:t>标准</w:t>
            </w:r>
            <w:r>
              <w:rPr>
                <w:rFonts w:ascii="宋体" w:hAnsi="宋体" w:cs="Arial" w:hint="eastAsia"/>
                <w:sz w:val="18"/>
                <w:szCs w:val="18"/>
              </w:rPr>
              <w:t>（详见《投资者权益须知》），投资者确认自身风险承受能力评级（由投资者填写）：【                        】</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黑体" w:eastAsia="黑体" w:hAnsi="黑体" w:cs="仿宋_GB2312" w:hint="eastAsia"/>
                <w:bCs/>
                <w:sz w:val="18"/>
                <w:szCs w:val="18"/>
              </w:rPr>
              <w:t>★</w:t>
            </w:r>
            <w:r>
              <w:rPr>
                <w:rFonts w:ascii="宋体" w:hAnsi="宋体" w:cs="Arial" w:hint="eastAsia"/>
                <w:sz w:val="18"/>
                <w:szCs w:val="18"/>
              </w:rPr>
              <w:t>投资者需抄录的内容：</w:t>
            </w:r>
            <w:r>
              <w:rPr>
                <w:rFonts w:ascii="黑体" w:eastAsia="黑体" w:hAnsi="黑体" w:cs="Arial" w:hint="eastAsia"/>
                <w:sz w:val="18"/>
                <w:szCs w:val="18"/>
              </w:rPr>
              <w:t>本人已经阅读风险揭示，愿意承担投资风险。</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sz w:val="18"/>
                <w:szCs w:val="18"/>
                <w:u w:val="single"/>
              </w:rPr>
            </w:pPr>
            <w:r>
              <w:rPr>
                <w:rFonts w:ascii="宋体" w:hAnsi="宋体" w:cs="Arial" w:hint="eastAsia"/>
                <w:sz w:val="18"/>
                <w:szCs w:val="18"/>
              </w:rPr>
              <w:t>请投资者在此抄录：</w:t>
            </w:r>
          </w:p>
          <w:p w:rsidR="008C4D74" w:rsidRDefault="008C4D74" w:rsidP="008D10E8">
            <w:pPr>
              <w:spacing w:line="280" w:lineRule="atLeast"/>
              <w:jc w:val="left"/>
              <w:rPr>
                <w:sz w:val="18"/>
                <w:szCs w:val="18"/>
                <w:u w:val="single"/>
              </w:rPr>
            </w:pPr>
          </w:p>
          <w:p w:rsidR="008C4D74" w:rsidRDefault="008C4D74" w:rsidP="008D10E8">
            <w:pPr>
              <w:spacing w:line="280" w:lineRule="atLeast"/>
              <w:ind w:right="720"/>
              <w:jc w:val="left"/>
              <w:rPr>
                <w:rFonts w:ascii="宋体" w:hAnsi="宋体" w:cs="Arial"/>
                <w:sz w:val="18"/>
                <w:szCs w:val="18"/>
                <w:u w:val="single"/>
              </w:rPr>
            </w:pPr>
            <w:r>
              <w:rPr>
                <w:rFonts w:ascii="宋体" w:hAnsi="宋体" w:cs="Arial" w:hint="eastAsia"/>
                <w:sz w:val="18"/>
                <w:szCs w:val="18"/>
              </w:rPr>
              <w:t>投资者签字：</w:t>
            </w:r>
          </w:p>
          <w:p w:rsidR="008C4D74" w:rsidRDefault="008C4D74" w:rsidP="008D10E8">
            <w:pPr>
              <w:spacing w:line="280" w:lineRule="atLeast"/>
              <w:ind w:left="4200" w:firstLineChars="600" w:firstLine="1080"/>
              <w:jc w:val="left"/>
              <w:rPr>
                <w:rFonts w:ascii="宋体" w:hAnsi="宋体" w:cs="Arial"/>
                <w:sz w:val="18"/>
                <w:szCs w:val="18"/>
              </w:rPr>
            </w:pPr>
          </w:p>
          <w:p w:rsidR="008C4D74" w:rsidRDefault="008C4D74" w:rsidP="008D10E8">
            <w:pPr>
              <w:spacing w:line="280" w:lineRule="atLeast"/>
              <w:ind w:left="4200" w:firstLineChars="600" w:firstLine="1080"/>
              <w:jc w:val="left"/>
              <w:rPr>
                <w:rFonts w:ascii="宋体" w:hAnsi="宋体" w:cs="Arial"/>
                <w:sz w:val="18"/>
                <w:szCs w:val="18"/>
              </w:rPr>
            </w:pPr>
            <w:r>
              <w:rPr>
                <w:rFonts w:ascii="宋体" w:hAnsi="宋体" w:cs="Arial" w:hint="eastAsia"/>
                <w:sz w:val="18"/>
                <w:szCs w:val="18"/>
              </w:rPr>
              <w:t>日期：      年    月    日</w:t>
            </w:r>
          </w:p>
          <w:p w:rsidR="008C4D74" w:rsidRDefault="008C4D74" w:rsidP="008D10E8">
            <w:pPr>
              <w:spacing w:line="280" w:lineRule="atLeast"/>
              <w:ind w:left="4200" w:firstLineChars="600" w:firstLine="1080"/>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hint="eastAsia"/>
                <w:b/>
              </w:rPr>
              <w:t>（</w:t>
            </w:r>
            <w:proofErr w:type="gramStart"/>
            <w:r>
              <w:rPr>
                <w:rFonts w:hint="eastAsia"/>
                <w:b/>
              </w:rPr>
              <w:t>本风险</w:t>
            </w:r>
            <w:proofErr w:type="gramEnd"/>
            <w:r>
              <w:rPr>
                <w:rFonts w:hint="eastAsia"/>
                <w:b/>
              </w:rPr>
              <w:t>揭示书共有三份签署文本，第一</w:t>
            </w:r>
            <w:proofErr w:type="gramStart"/>
            <w:r>
              <w:rPr>
                <w:rFonts w:hint="eastAsia"/>
                <w:b/>
              </w:rPr>
              <w:t>联销售</w:t>
            </w:r>
            <w:proofErr w:type="gramEnd"/>
            <w:r>
              <w:rPr>
                <w:rFonts w:hint="eastAsia"/>
                <w:b/>
              </w:rPr>
              <w:t>机构留存，第二联投资者留存，第三联产品管理人留存。）</w:t>
            </w:r>
          </w:p>
          <w:p w:rsidR="008C4D74" w:rsidRDefault="008C4D74" w:rsidP="008D10E8">
            <w:pPr>
              <w:spacing w:line="280" w:lineRule="atLeast"/>
              <w:jc w:val="right"/>
              <w:rPr>
                <w:rFonts w:ascii="宋体" w:hAnsi="宋体"/>
                <w:sz w:val="18"/>
                <w:szCs w:val="18"/>
              </w:rPr>
            </w:pPr>
          </w:p>
        </w:tc>
      </w:tr>
    </w:tbl>
    <w:p w:rsidR="008C4D74" w:rsidRDefault="008C4D74" w:rsidP="008C4D74">
      <w:pPr>
        <w:autoSpaceDE w:val="0"/>
        <w:autoSpaceDN w:val="0"/>
        <w:adjustRightInd w:val="0"/>
        <w:spacing w:line="360" w:lineRule="auto"/>
        <w:ind w:firstLine="420"/>
        <w:jc w:val="left"/>
        <w:rPr>
          <w:rFonts w:ascii="宋体" w:hAnsi="宋体"/>
          <w:sz w:val="24"/>
        </w:rPr>
      </w:pPr>
    </w:p>
    <w:p w:rsidR="008C4D74" w:rsidRDefault="008C4D74" w:rsidP="008C4D74">
      <w:pPr>
        <w:autoSpaceDE w:val="0"/>
        <w:autoSpaceDN w:val="0"/>
        <w:adjustRightInd w:val="0"/>
        <w:spacing w:line="360" w:lineRule="auto"/>
        <w:ind w:firstLine="420"/>
        <w:jc w:val="left"/>
        <w:rPr>
          <w:rFonts w:ascii="宋体" w:hAnsi="宋体"/>
          <w:sz w:val="24"/>
        </w:rPr>
      </w:pPr>
    </w:p>
    <w:p w:rsidR="008C4D74" w:rsidRDefault="008C4D74" w:rsidP="008C4D74">
      <w:pPr>
        <w:autoSpaceDE w:val="0"/>
        <w:autoSpaceDN w:val="0"/>
        <w:adjustRightInd w:val="0"/>
        <w:spacing w:line="360" w:lineRule="auto"/>
        <w:ind w:firstLine="420"/>
        <w:jc w:val="left"/>
        <w:rPr>
          <w:rFonts w:ascii="宋体" w:hAnsi="宋体"/>
          <w:sz w:val="24"/>
        </w:rPr>
      </w:pPr>
    </w:p>
    <w:p w:rsidR="008C4D74" w:rsidRDefault="008C4D74" w:rsidP="008C4D74">
      <w:pPr>
        <w:autoSpaceDE w:val="0"/>
        <w:autoSpaceDN w:val="0"/>
        <w:adjustRightInd w:val="0"/>
        <w:spacing w:line="360" w:lineRule="auto"/>
        <w:ind w:firstLine="420"/>
        <w:jc w:val="left"/>
        <w:rPr>
          <w:rFonts w:ascii="宋体" w:hAnsi="宋体"/>
          <w:sz w:val="24"/>
        </w:rPr>
      </w:pPr>
    </w:p>
    <w:p w:rsidR="008C4D74" w:rsidRDefault="008C4D74" w:rsidP="008C4D74">
      <w:pPr>
        <w:rPr>
          <w:rFonts w:ascii="宋体" w:hAnsi="宋体" w:cs="Arial"/>
          <w:sz w:val="24"/>
        </w:rPr>
      </w:pPr>
    </w:p>
    <w:p w:rsidR="008C4D74" w:rsidRDefault="008C4D74" w:rsidP="008C4D74">
      <w:pPr>
        <w:rPr>
          <w:rFonts w:ascii="宋体" w:hAnsi="宋体" w:cs="Arial"/>
          <w:sz w:val="24"/>
        </w:rPr>
      </w:pPr>
    </w:p>
    <w:p w:rsidR="008C4D74" w:rsidRDefault="008C4D74" w:rsidP="008C4D74">
      <w:pPr>
        <w:rPr>
          <w:rFonts w:ascii="宋体" w:hAnsi="宋体" w:cs="Arial"/>
          <w:sz w:val="24"/>
        </w:rPr>
      </w:pPr>
    </w:p>
    <w:p w:rsidR="008C4D74" w:rsidRDefault="008C4D74" w:rsidP="008C4D74">
      <w:pPr>
        <w:rPr>
          <w:rFonts w:ascii="宋体" w:hAnsi="宋体" w:cs="Arial"/>
          <w:sz w:val="24"/>
        </w:rPr>
      </w:pPr>
    </w:p>
    <w:p w:rsidR="008C4D74" w:rsidRDefault="008C4D74" w:rsidP="008C4D74">
      <w:pPr>
        <w:rPr>
          <w:rFonts w:ascii="宋体" w:hAnsi="宋体" w:cs="Arial"/>
          <w:sz w:val="24"/>
        </w:rPr>
      </w:pPr>
    </w:p>
    <w:p w:rsidR="008C4D74" w:rsidRDefault="008C4D74" w:rsidP="008C4D74">
      <w:pPr>
        <w:rPr>
          <w:rFonts w:ascii="宋体" w:hAnsi="宋体" w:cs="Arial"/>
          <w:sz w:val="24"/>
        </w:rPr>
      </w:pPr>
    </w:p>
    <w:p w:rsidR="008C4D74" w:rsidRDefault="008C4D74" w:rsidP="008C4D74">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413"/>
      </w:tblGrid>
      <w:tr w:rsidR="008C4D74" w:rsidTr="008D10E8">
        <w:trPr>
          <w:trHeight w:val="823"/>
        </w:trPr>
        <w:tc>
          <w:tcPr>
            <w:tcW w:w="8413" w:type="dxa"/>
          </w:tcPr>
          <w:p w:rsidR="008C4D74" w:rsidRDefault="008C4D74" w:rsidP="008D10E8">
            <w:pPr>
              <w:spacing w:line="280" w:lineRule="atLeast"/>
              <w:jc w:val="center"/>
              <w:rPr>
                <w:rFonts w:ascii="宋体" w:hAnsi="宋体" w:cs="Arial"/>
                <w:b/>
                <w:szCs w:val="21"/>
              </w:rPr>
            </w:pPr>
            <w:r>
              <w:rPr>
                <w:rFonts w:ascii="宋体" w:hAnsi="宋体" w:cs="Arial" w:hint="eastAsia"/>
                <w:b/>
                <w:szCs w:val="21"/>
              </w:rPr>
              <w:lastRenderedPageBreak/>
              <w:t>投资者确认栏</w:t>
            </w:r>
          </w:p>
          <w:p w:rsidR="008C4D74" w:rsidRDefault="008C4D74" w:rsidP="008D10E8">
            <w:pPr>
              <w:spacing w:line="280" w:lineRule="atLeast"/>
              <w:jc w:val="center"/>
              <w:rPr>
                <w:rFonts w:ascii="宋体" w:hAnsi="宋体" w:cs="Arial"/>
                <w:sz w:val="24"/>
              </w:rPr>
            </w:pPr>
            <w:r>
              <w:rPr>
                <w:rFonts w:ascii="宋体" w:hAnsi="宋体" w:cs="Arial" w:hint="eastAsia"/>
                <w:b/>
                <w:szCs w:val="21"/>
              </w:rPr>
              <w:t>（适用于机构投资者：</w:t>
            </w:r>
            <w:r>
              <w:rPr>
                <w:rFonts w:ascii="宋体" w:hAnsi="宋体" w:cs="Arial"/>
                <w:b/>
                <w:szCs w:val="21"/>
              </w:rPr>
              <w:t>一般机构客户</w:t>
            </w:r>
            <w:r>
              <w:rPr>
                <w:rFonts w:ascii="宋体" w:hAnsi="宋体" w:cs="Arial" w:hint="eastAsia"/>
                <w:b/>
                <w:szCs w:val="21"/>
              </w:rPr>
              <w:t>）</w:t>
            </w:r>
          </w:p>
        </w:tc>
      </w:tr>
      <w:tr w:rsidR="008C4D74" w:rsidTr="008D10E8">
        <w:trPr>
          <w:trHeight w:val="7355"/>
        </w:trPr>
        <w:tc>
          <w:tcPr>
            <w:tcW w:w="8413" w:type="dxa"/>
          </w:tcPr>
          <w:p w:rsidR="008C4D74" w:rsidRDefault="008C4D74" w:rsidP="008D10E8">
            <w:pPr>
              <w:spacing w:line="280" w:lineRule="atLeast"/>
              <w:ind w:firstLineChars="200" w:firstLine="360"/>
              <w:jc w:val="left"/>
              <w:rPr>
                <w:rFonts w:ascii="黑体" w:eastAsia="黑体" w:hAnsi="黑体" w:cs="Arial"/>
                <w:sz w:val="18"/>
                <w:szCs w:val="18"/>
              </w:rPr>
            </w:pPr>
            <w:r>
              <w:rPr>
                <w:rFonts w:ascii="黑体" w:eastAsia="黑体" w:hAnsi="黑体" w:cs="仿宋_GB2312" w:hint="eastAsia"/>
                <w:bCs/>
                <w:sz w:val="18"/>
                <w:szCs w:val="18"/>
              </w:rPr>
              <w:t>★</w:t>
            </w:r>
            <w:r>
              <w:rPr>
                <w:rFonts w:ascii="黑体" w:eastAsia="黑体" w:hAnsi="黑体" w:cs="Arial" w:hint="eastAsia"/>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8C4D74" w:rsidRDefault="008C4D74" w:rsidP="008D10E8">
            <w:pPr>
              <w:spacing w:line="280" w:lineRule="atLeast"/>
              <w:ind w:firstLineChars="200" w:firstLine="360"/>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宋体" w:hAnsi="宋体" w:cs="Arial" w:hint="eastAsia"/>
                <w:sz w:val="18"/>
                <w:szCs w:val="18"/>
              </w:rPr>
              <w:t>依照</w:t>
            </w:r>
            <w:r>
              <w:rPr>
                <w:rFonts w:ascii="宋体" w:hAnsi="宋体" w:cs="Arial"/>
                <w:sz w:val="18"/>
                <w:szCs w:val="18"/>
              </w:rPr>
              <w:t>销售机构</w:t>
            </w:r>
            <w:r>
              <w:rPr>
                <w:rFonts w:ascii="宋体" w:hAnsi="宋体" w:cs="Arial" w:hint="eastAsia"/>
                <w:sz w:val="18"/>
                <w:szCs w:val="18"/>
              </w:rPr>
              <w:t>设置的投资者风险承受能力评级的划分</w:t>
            </w:r>
            <w:r>
              <w:rPr>
                <w:rFonts w:ascii="宋体" w:hAnsi="宋体" w:cs="Arial"/>
                <w:sz w:val="18"/>
                <w:szCs w:val="18"/>
              </w:rPr>
              <w:t>标准</w:t>
            </w:r>
            <w:r>
              <w:rPr>
                <w:rFonts w:ascii="宋体" w:hAnsi="宋体" w:cs="Arial" w:hint="eastAsia"/>
                <w:sz w:val="18"/>
                <w:szCs w:val="18"/>
              </w:rPr>
              <w:t>（详见《投资者权益须知》），投资者确认自身风险承受能力评级（由投资者填写）：【                        】</w:t>
            </w:r>
          </w:p>
          <w:p w:rsidR="008C4D74" w:rsidRDefault="008C4D74" w:rsidP="008D10E8">
            <w:pPr>
              <w:spacing w:line="280" w:lineRule="atLeast"/>
              <w:ind w:firstLineChars="200" w:firstLine="360"/>
              <w:jc w:val="left"/>
              <w:rPr>
                <w:rFonts w:ascii="宋体" w:hAnsi="宋体" w:cs="Arial"/>
                <w:sz w:val="18"/>
                <w:szCs w:val="18"/>
              </w:rPr>
            </w:pPr>
          </w:p>
          <w:p w:rsidR="008C4D74" w:rsidRDefault="008C4D74" w:rsidP="008D10E8">
            <w:pPr>
              <w:spacing w:line="280" w:lineRule="atLeast"/>
              <w:jc w:val="left"/>
              <w:rPr>
                <w:rFonts w:ascii="黑体" w:eastAsia="黑体" w:hAnsi="黑体" w:cs="Arial"/>
                <w:sz w:val="18"/>
                <w:szCs w:val="18"/>
              </w:rPr>
            </w:pPr>
            <w:r>
              <w:rPr>
                <w:rFonts w:ascii="黑体" w:eastAsia="黑体" w:hAnsi="黑体" w:cs="仿宋_GB2312" w:hint="eastAsia"/>
                <w:bCs/>
                <w:sz w:val="18"/>
                <w:szCs w:val="18"/>
              </w:rPr>
              <w:t>★</w:t>
            </w:r>
            <w:r>
              <w:rPr>
                <w:rFonts w:ascii="宋体" w:hAnsi="宋体" w:cs="Arial" w:hint="eastAsia"/>
                <w:sz w:val="18"/>
                <w:szCs w:val="18"/>
              </w:rPr>
              <w:t>投资者需抄录的内容：</w:t>
            </w:r>
            <w:r>
              <w:rPr>
                <w:rFonts w:ascii="黑体" w:eastAsia="黑体" w:hAnsi="黑体" w:cs="Arial" w:hint="eastAsia"/>
                <w:sz w:val="18"/>
                <w:szCs w:val="18"/>
              </w:rPr>
              <w:t>本公司（单位）已经阅读风险揭示，愿意承担投资风险。</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宋体" w:hAnsi="宋体" w:cs="Arial" w:hint="eastAsia"/>
                <w:sz w:val="18"/>
                <w:szCs w:val="18"/>
              </w:rPr>
              <w:t>请投资者在此抄录：</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宋体" w:hAnsi="宋体" w:cs="Arial" w:hint="eastAsia"/>
                <w:sz w:val="18"/>
                <w:szCs w:val="18"/>
              </w:rPr>
              <w:t>机构投资者（盖章）：</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宋体" w:hAnsi="宋体" w:cs="Arial" w:hint="eastAsia"/>
                <w:sz w:val="18"/>
                <w:szCs w:val="18"/>
              </w:rPr>
              <w:t>机构投资者法定代表人或授权</w:t>
            </w:r>
            <w:r>
              <w:rPr>
                <w:rFonts w:ascii="宋体" w:hAnsi="宋体" w:cs="Arial"/>
                <w:sz w:val="18"/>
                <w:szCs w:val="18"/>
              </w:rPr>
              <w:t>代理人</w:t>
            </w:r>
            <w:r>
              <w:rPr>
                <w:rFonts w:ascii="宋体" w:hAnsi="宋体" w:cs="Arial" w:hint="eastAsia"/>
                <w:sz w:val="18"/>
                <w:szCs w:val="18"/>
              </w:rPr>
              <w:t>（签字或盖章）：</w:t>
            </w:r>
          </w:p>
          <w:p w:rsidR="008C4D74" w:rsidRDefault="008C4D74" w:rsidP="008D10E8">
            <w:pPr>
              <w:spacing w:line="280" w:lineRule="atLeast"/>
              <w:ind w:left="4200" w:firstLineChars="600" w:firstLine="1080"/>
              <w:jc w:val="left"/>
              <w:rPr>
                <w:rFonts w:ascii="宋体" w:hAnsi="宋体" w:cs="Arial"/>
                <w:sz w:val="18"/>
                <w:szCs w:val="18"/>
              </w:rPr>
            </w:pPr>
          </w:p>
          <w:p w:rsidR="008C4D74" w:rsidRDefault="008C4D74" w:rsidP="008D10E8">
            <w:pPr>
              <w:spacing w:line="280" w:lineRule="atLeast"/>
              <w:ind w:left="4200" w:firstLineChars="600" w:firstLine="1080"/>
              <w:jc w:val="left"/>
              <w:rPr>
                <w:rFonts w:ascii="宋体" w:hAnsi="宋体" w:cs="Arial"/>
                <w:sz w:val="18"/>
                <w:szCs w:val="18"/>
              </w:rPr>
            </w:pPr>
            <w:r>
              <w:rPr>
                <w:rFonts w:ascii="宋体" w:hAnsi="宋体" w:cs="Arial" w:hint="eastAsia"/>
                <w:sz w:val="18"/>
                <w:szCs w:val="18"/>
              </w:rPr>
              <w:t>日期：      年    月    日</w:t>
            </w:r>
          </w:p>
          <w:p w:rsidR="008C4D74" w:rsidRDefault="008C4D74" w:rsidP="008D10E8">
            <w:pPr>
              <w:spacing w:line="280" w:lineRule="atLeast"/>
            </w:pPr>
          </w:p>
          <w:p w:rsidR="008C4D74" w:rsidRDefault="008C4D74" w:rsidP="008D10E8">
            <w:pPr>
              <w:spacing w:line="280" w:lineRule="atLeast"/>
              <w:rPr>
                <w:b/>
              </w:rPr>
            </w:pPr>
            <w:r>
              <w:rPr>
                <w:rFonts w:hint="eastAsia"/>
                <w:b/>
              </w:rPr>
              <w:t>（</w:t>
            </w:r>
            <w:proofErr w:type="gramStart"/>
            <w:r>
              <w:rPr>
                <w:rFonts w:hint="eastAsia"/>
                <w:b/>
              </w:rPr>
              <w:t>本风险</w:t>
            </w:r>
            <w:proofErr w:type="gramEnd"/>
            <w:r>
              <w:rPr>
                <w:rFonts w:hint="eastAsia"/>
                <w:b/>
              </w:rPr>
              <w:t>揭示书共有三份签署文本，第一</w:t>
            </w:r>
            <w:proofErr w:type="gramStart"/>
            <w:r>
              <w:rPr>
                <w:rFonts w:hint="eastAsia"/>
                <w:b/>
              </w:rPr>
              <w:t>联销售</w:t>
            </w:r>
            <w:proofErr w:type="gramEnd"/>
            <w:r>
              <w:rPr>
                <w:rFonts w:hint="eastAsia"/>
                <w:b/>
              </w:rPr>
              <w:t>机构留存，第二联投资者留存，第三联产品管理人留存。）</w:t>
            </w:r>
          </w:p>
        </w:tc>
      </w:tr>
    </w:tbl>
    <w:p w:rsidR="008C4D74" w:rsidRDefault="008C4D74" w:rsidP="008C4D74">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388"/>
      </w:tblGrid>
      <w:tr w:rsidR="008C4D74" w:rsidTr="008D10E8">
        <w:trPr>
          <w:trHeight w:val="673"/>
        </w:trPr>
        <w:tc>
          <w:tcPr>
            <w:tcW w:w="8388" w:type="dxa"/>
          </w:tcPr>
          <w:p w:rsidR="008C4D74" w:rsidRDefault="008C4D74" w:rsidP="008D10E8">
            <w:pPr>
              <w:spacing w:line="280" w:lineRule="atLeast"/>
              <w:jc w:val="center"/>
              <w:rPr>
                <w:rFonts w:ascii="宋体" w:hAnsi="宋体" w:cs="Arial"/>
                <w:b/>
                <w:szCs w:val="21"/>
              </w:rPr>
            </w:pPr>
            <w:r>
              <w:rPr>
                <w:rFonts w:ascii="宋体" w:hAnsi="宋体" w:cs="Arial" w:hint="eastAsia"/>
                <w:b/>
                <w:szCs w:val="21"/>
              </w:rPr>
              <w:lastRenderedPageBreak/>
              <w:t>投资者确认栏</w:t>
            </w:r>
          </w:p>
          <w:p w:rsidR="008C4D74" w:rsidRDefault="008C4D74" w:rsidP="008D10E8">
            <w:pPr>
              <w:spacing w:line="280" w:lineRule="atLeast"/>
              <w:jc w:val="center"/>
              <w:rPr>
                <w:rFonts w:ascii="宋体" w:hAnsi="宋体" w:cs="Arial"/>
                <w:sz w:val="24"/>
              </w:rPr>
            </w:pPr>
            <w:r>
              <w:rPr>
                <w:rFonts w:ascii="宋体" w:hAnsi="宋体" w:cs="Arial" w:hint="eastAsia"/>
                <w:b/>
                <w:szCs w:val="21"/>
              </w:rPr>
              <w:t>（适用于机构投资者：金融同业</w:t>
            </w:r>
            <w:r>
              <w:rPr>
                <w:rFonts w:ascii="宋体" w:hAnsi="宋体" w:cs="Arial"/>
                <w:b/>
                <w:szCs w:val="21"/>
              </w:rPr>
              <w:t>客户</w:t>
            </w:r>
            <w:r>
              <w:rPr>
                <w:rFonts w:ascii="宋体" w:hAnsi="宋体" w:cs="Arial" w:hint="eastAsia"/>
                <w:b/>
                <w:szCs w:val="21"/>
              </w:rPr>
              <w:t>）</w:t>
            </w:r>
          </w:p>
        </w:tc>
      </w:tr>
      <w:tr w:rsidR="008C4D74" w:rsidTr="008D10E8">
        <w:trPr>
          <w:trHeight w:val="6016"/>
        </w:trPr>
        <w:tc>
          <w:tcPr>
            <w:tcW w:w="8388" w:type="dxa"/>
          </w:tcPr>
          <w:p w:rsidR="008C4D74" w:rsidRDefault="008C4D74" w:rsidP="008D10E8">
            <w:pPr>
              <w:spacing w:line="280" w:lineRule="atLeast"/>
              <w:ind w:firstLineChars="200" w:firstLine="360"/>
              <w:jc w:val="left"/>
              <w:rPr>
                <w:rFonts w:ascii="黑体" w:eastAsia="黑体" w:hAnsi="黑体" w:cs="Arial"/>
                <w:sz w:val="18"/>
                <w:szCs w:val="18"/>
              </w:rPr>
            </w:pPr>
            <w:r>
              <w:rPr>
                <w:rFonts w:ascii="黑体" w:eastAsia="黑体" w:hAnsi="黑体" w:cs="仿宋_GB2312" w:hint="eastAsia"/>
                <w:bCs/>
                <w:sz w:val="18"/>
                <w:szCs w:val="18"/>
              </w:rPr>
              <w:t>★</w:t>
            </w:r>
            <w:r>
              <w:rPr>
                <w:rFonts w:ascii="黑体" w:eastAsia="黑体" w:hAnsi="黑体" w:cs="Arial" w:hint="eastAsia"/>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8C4D74" w:rsidRDefault="008C4D74" w:rsidP="008D10E8">
            <w:pPr>
              <w:spacing w:line="280" w:lineRule="atLeast"/>
              <w:ind w:firstLineChars="200" w:firstLine="360"/>
              <w:jc w:val="left"/>
              <w:rPr>
                <w:rFonts w:ascii="宋体" w:hAnsi="宋体" w:cs="Arial"/>
                <w:sz w:val="18"/>
                <w:szCs w:val="18"/>
              </w:rPr>
            </w:pPr>
          </w:p>
          <w:p w:rsidR="008C4D74" w:rsidRDefault="008C4D74" w:rsidP="008D10E8">
            <w:pPr>
              <w:spacing w:line="280" w:lineRule="atLeast"/>
              <w:jc w:val="left"/>
              <w:rPr>
                <w:rFonts w:ascii="黑体" w:eastAsia="黑体" w:hAnsi="黑体" w:cs="Arial"/>
                <w:sz w:val="18"/>
                <w:szCs w:val="18"/>
              </w:rPr>
            </w:pPr>
            <w:r>
              <w:rPr>
                <w:rFonts w:ascii="黑体" w:eastAsia="黑体" w:hAnsi="黑体" w:cs="仿宋_GB2312" w:hint="eastAsia"/>
                <w:bCs/>
                <w:sz w:val="18"/>
                <w:szCs w:val="18"/>
              </w:rPr>
              <w:t>★</w:t>
            </w:r>
            <w:r>
              <w:rPr>
                <w:rFonts w:ascii="宋体" w:hAnsi="宋体" w:cs="Arial" w:hint="eastAsia"/>
                <w:sz w:val="18"/>
                <w:szCs w:val="18"/>
              </w:rPr>
              <w:t>投资者需抄录的内容：</w:t>
            </w:r>
            <w:r>
              <w:rPr>
                <w:rFonts w:ascii="黑体" w:eastAsia="黑体" w:hAnsi="黑体" w:cs="Arial" w:hint="eastAsia"/>
                <w:sz w:val="18"/>
                <w:szCs w:val="18"/>
              </w:rPr>
              <w:t>本公司（单位）已经阅读风险揭示，愿意承担投资风险。</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宋体" w:hAnsi="宋体" w:cs="Arial" w:hint="eastAsia"/>
                <w:sz w:val="18"/>
                <w:szCs w:val="18"/>
              </w:rPr>
              <w:t>请投资者在此抄录：</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宋体" w:hAnsi="宋体" w:cs="Arial" w:hint="eastAsia"/>
                <w:sz w:val="18"/>
                <w:szCs w:val="18"/>
              </w:rPr>
              <w:t>机构投资者（盖章）：</w:t>
            </w:r>
          </w:p>
          <w:p w:rsidR="008C4D74" w:rsidRDefault="008C4D74" w:rsidP="008D10E8">
            <w:pPr>
              <w:spacing w:line="280" w:lineRule="atLeast"/>
              <w:jc w:val="left"/>
              <w:rPr>
                <w:rFonts w:ascii="宋体" w:hAnsi="宋体" w:cs="Arial"/>
                <w:sz w:val="18"/>
                <w:szCs w:val="18"/>
              </w:rPr>
            </w:pPr>
          </w:p>
          <w:p w:rsidR="008C4D74" w:rsidRDefault="008C4D74" w:rsidP="008D10E8">
            <w:pPr>
              <w:spacing w:line="280" w:lineRule="atLeast"/>
              <w:jc w:val="left"/>
              <w:rPr>
                <w:rFonts w:ascii="宋体" w:hAnsi="宋体" w:cs="Arial"/>
                <w:sz w:val="18"/>
                <w:szCs w:val="18"/>
              </w:rPr>
            </w:pPr>
            <w:r>
              <w:rPr>
                <w:rFonts w:ascii="宋体" w:hAnsi="宋体" w:cs="Arial" w:hint="eastAsia"/>
                <w:sz w:val="18"/>
                <w:szCs w:val="18"/>
              </w:rPr>
              <w:t>机构投资者法定代表人或授权</w:t>
            </w:r>
            <w:r>
              <w:rPr>
                <w:rFonts w:ascii="宋体" w:hAnsi="宋体" w:cs="Arial"/>
                <w:sz w:val="18"/>
                <w:szCs w:val="18"/>
              </w:rPr>
              <w:t>代理人</w:t>
            </w:r>
            <w:r>
              <w:rPr>
                <w:rFonts w:ascii="宋体" w:hAnsi="宋体" w:cs="Arial" w:hint="eastAsia"/>
                <w:sz w:val="18"/>
                <w:szCs w:val="18"/>
              </w:rPr>
              <w:t>（签字或盖章）：</w:t>
            </w:r>
          </w:p>
          <w:p w:rsidR="008C4D74" w:rsidRDefault="008C4D74" w:rsidP="008D10E8">
            <w:pPr>
              <w:spacing w:line="280" w:lineRule="atLeast"/>
              <w:ind w:left="4200" w:firstLineChars="600" w:firstLine="1080"/>
              <w:jc w:val="left"/>
              <w:rPr>
                <w:rFonts w:ascii="宋体" w:hAnsi="宋体" w:cs="Arial"/>
                <w:sz w:val="18"/>
                <w:szCs w:val="18"/>
              </w:rPr>
            </w:pPr>
          </w:p>
          <w:p w:rsidR="008C4D74" w:rsidRDefault="008C4D74" w:rsidP="008D10E8">
            <w:pPr>
              <w:spacing w:line="280" w:lineRule="atLeast"/>
              <w:ind w:left="4200" w:firstLineChars="600" w:firstLine="1080"/>
              <w:jc w:val="left"/>
              <w:rPr>
                <w:rFonts w:ascii="宋体" w:hAnsi="宋体" w:cs="Arial"/>
                <w:sz w:val="18"/>
                <w:szCs w:val="18"/>
              </w:rPr>
            </w:pPr>
            <w:r>
              <w:rPr>
                <w:rFonts w:ascii="宋体" w:hAnsi="宋体" w:cs="Arial" w:hint="eastAsia"/>
                <w:sz w:val="18"/>
                <w:szCs w:val="18"/>
              </w:rPr>
              <w:t>日期：      年    月    日</w:t>
            </w:r>
          </w:p>
          <w:p w:rsidR="008C4D74" w:rsidRDefault="008C4D74" w:rsidP="008D10E8">
            <w:pPr>
              <w:spacing w:line="280" w:lineRule="atLeast"/>
            </w:pPr>
          </w:p>
          <w:p w:rsidR="008C4D74" w:rsidRDefault="008C4D74" w:rsidP="008D10E8">
            <w:pPr>
              <w:spacing w:line="280" w:lineRule="atLeast"/>
              <w:rPr>
                <w:b/>
              </w:rPr>
            </w:pPr>
            <w:r>
              <w:rPr>
                <w:rFonts w:hint="eastAsia"/>
                <w:b/>
              </w:rPr>
              <w:t>（</w:t>
            </w:r>
            <w:proofErr w:type="gramStart"/>
            <w:r>
              <w:rPr>
                <w:rFonts w:hint="eastAsia"/>
                <w:b/>
              </w:rPr>
              <w:t>本风险</w:t>
            </w:r>
            <w:proofErr w:type="gramEnd"/>
            <w:r>
              <w:rPr>
                <w:rFonts w:hint="eastAsia"/>
                <w:b/>
              </w:rPr>
              <w:t>揭示书共有三份签署文本，第一</w:t>
            </w:r>
            <w:proofErr w:type="gramStart"/>
            <w:r>
              <w:rPr>
                <w:rFonts w:hint="eastAsia"/>
                <w:b/>
              </w:rPr>
              <w:t>联销售</w:t>
            </w:r>
            <w:proofErr w:type="gramEnd"/>
            <w:r>
              <w:rPr>
                <w:rFonts w:hint="eastAsia"/>
                <w:b/>
              </w:rPr>
              <w:t>机构留存，第二联投资者留存，第三联产品管理人留存。）</w:t>
            </w:r>
          </w:p>
        </w:tc>
      </w:tr>
    </w:tbl>
    <w:p w:rsidR="008C4D74" w:rsidRDefault="008C4D74" w:rsidP="008C4D74"/>
    <w:p w:rsidR="008C4D74" w:rsidRDefault="008C4D74">
      <w:pPr>
        <w:sectPr w:rsidR="008C4D74">
          <w:headerReference w:type="default" r:id="rId22"/>
          <w:pgSz w:w="11906" w:h="16838"/>
          <w:pgMar w:top="1440" w:right="1800" w:bottom="1440" w:left="1800" w:header="851" w:footer="992" w:gutter="0"/>
          <w:cols w:space="425"/>
          <w:docGrid w:type="lines" w:linePitch="312"/>
        </w:sectPr>
      </w:pPr>
    </w:p>
    <w:p w:rsidR="008C4D74" w:rsidRDefault="008C4D74" w:rsidP="008C4D74">
      <w:pPr>
        <w:adjustRightInd w:val="0"/>
        <w:spacing w:line="276" w:lineRule="auto"/>
        <w:jc w:val="center"/>
        <w:rPr>
          <w:rStyle w:val="a6"/>
          <w:rFonts w:ascii="黑体" w:eastAsia="黑体" w:hAnsi="黑体"/>
          <w:sz w:val="28"/>
          <w:szCs w:val="28"/>
        </w:rPr>
      </w:pPr>
      <w:r>
        <w:rPr>
          <w:rStyle w:val="a6"/>
          <w:rFonts w:ascii="黑体" w:eastAsia="黑体" w:hAnsi="黑体" w:hint="eastAsia"/>
          <w:sz w:val="28"/>
          <w:szCs w:val="28"/>
        </w:rPr>
        <w:lastRenderedPageBreak/>
        <w:t>兴银理财天天万利</w:t>
      </w:r>
      <w:proofErr w:type="gramStart"/>
      <w:r>
        <w:rPr>
          <w:rStyle w:val="a6"/>
          <w:rFonts w:ascii="黑体" w:eastAsia="黑体" w:hAnsi="黑体" w:hint="eastAsia"/>
          <w:sz w:val="28"/>
          <w:szCs w:val="28"/>
        </w:rPr>
        <w:t>宝稳利</w:t>
      </w:r>
      <w:proofErr w:type="gramEnd"/>
      <w:r>
        <w:rPr>
          <w:rStyle w:val="a6"/>
          <w:rFonts w:ascii="黑体" w:eastAsia="黑体" w:hAnsi="黑体" w:hint="eastAsia"/>
          <w:sz w:val="28"/>
          <w:szCs w:val="28"/>
        </w:rPr>
        <w:t>净值型理财产品</w:t>
      </w:r>
    </w:p>
    <w:p w:rsidR="008C4D74" w:rsidRDefault="008C4D74" w:rsidP="008C4D74">
      <w:pPr>
        <w:adjustRightInd w:val="0"/>
        <w:spacing w:line="276" w:lineRule="auto"/>
        <w:jc w:val="center"/>
        <w:rPr>
          <w:rStyle w:val="a6"/>
          <w:rFonts w:ascii="黑体" w:eastAsia="黑体" w:hAnsi="黑体"/>
          <w:sz w:val="28"/>
          <w:szCs w:val="28"/>
        </w:rPr>
      </w:pPr>
      <w:r>
        <w:rPr>
          <w:rStyle w:val="a6"/>
          <w:rFonts w:ascii="黑体" w:eastAsia="黑体" w:hAnsi="黑体" w:hint="eastAsia"/>
          <w:sz w:val="28"/>
          <w:szCs w:val="28"/>
        </w:rPr>
        <w:t>投资者权益须知</w:t>
      </w:r>
    </w:p>
    <w:p w:rsidR="008C4D74" w:rsidRDefault="008C4D74" w:rsidP="008C4D74">
      <w:pPr>
        <w:pStyle w:val="Default"/>
        <w:jc w:val="center"/>
        <w:rPr>
          <w:rFonts w:hAnsi="宋体"/>
          <w:b/>
          <w:color w:val="auto"/>
          <w:sz w:val="28"/>
          <w:szCs w:val="28"/>
        </w:rPr>
      </w:pPr>
      <w:r>
        <w:rPr>
          <w:rFonts w:hAnsi="宋体" w:hint="eastAsia"/>
          <w:b/>
          <w:color w:val="auto"/>
          <w:sz w:val="28"/>
          <w:szCs w:val="28"/>
        </w:rPr>
        <w:t>（适用于个人投资者）</w:t>
      </w:r>
    </w:p>
    <w:p w:rsidR="008C4D74" w:rsidRDefault="008C4D74" w:rsidP="008C4D74">
      <w:pPr>
        <w:rPr>
          <w:rFonts w:ascii="宋体" w:hAnsi="宋体"/>
          <w:b/>
          <w:sz w:val="18"/>
          <w:szCs w:val="18"/>
        </w:rPr>
      </w:pPr>
      <w:r>
        <w:rPr>
          <w:rFonts w:ascii="宋体" w:hAnsi="宋体" w:hint="eastAsia"/>
          <w:b/>
          <w:sz w:val="18"/>
          <w:szCs w:val="18"/>
        </w:rPr>
        <w:t>尊敬的投资者：</w:t>
      </w:r>
    </w:p>
    <w:p w:rsidR="008C4D74" w:rsidRDefault="008C4D74" w:rsidP="008C4D74">
      <w:pPr>
        <w:spacing w:line="320" w:lineRule="exact"/>
        <w:ind w:firstLineChars="200" w:firstLine="360"/>
        <w:jc w:val="left"/>
        <w:rPr>
          <w:rFonts w:ascii="宋体" w:hAnsi="宋体"/>
          <w:sz w:val="18"/>
          <w:szCs w:val="18"/>
        </w:rPr>
      </w:pPr>
      <w:r>
        <w:rPr>
          <w:rFonts w:ascii="宋体" w:hAnsi="宋体" w:hint="eastAsia"/>
          <w:sz w:val="18"/>
          <w:szCs w:val="18"/>
        </w:rPr>
        <w:t>感谢您通过销售机构【</w:t>
      </w:r>
      <w:r>
        <w:rPr>
          <w:rFonts w:asciiTheme="majorEastAsia" w:eastAsiaTheme="majorEastAsia" w:hAnsiTheme="majorEastAsia" w:hint="eastAsia"/>
          <w:bCs/>
          <w:sz w:val="18"/>
          <w:szCs w:val="18"/>
        </w:rPr>
        <w:t xml:space="preserve">  </w:t>
      </w:r>
      <w:r>
        <w:rPr>
          <w:rFonts w:ascii="宋体" w:hAnsi="宋体" w:hint="eastAsia"/>
          <w:sz w:val="18"/>
          <w:szCs w:val="18"/>
        </w:rPr>
        <w:t>】以(□ 直销：产品管理人销售/</w:t>
      </w:r>
      <w:r>
        <w:rPr>
          <w:rFonts w:asciiTheme="majorEastAsia" w:eastAsiaTheme="majorEastAsia" w:hAnsiTheme="majorEastAsia" w:hint="eastAsia"/>
          <w:bCs/>
          <w:color w:val="000000" w:themeColor="text1"/>
          <w:sz w:val="18"/>
          <w:szCs w:val="18"/>
        </w:rPr>
        <w:t>■</w:t>
      </w:r>
      <w:r>
        <w:rPr>
          <w:rFonts w:ascii="宋体" w:hAnsi="宋体" w:hint="eastAsia"/>
          <w:sz w:val="18"/>
          <w:szCs w:val="18"/>
        </w:rPr>
        <w:t xml:space="preserve"> 代销：代理销售机构销售)的形式购买兴银理财有限责任公司（以下简称“兴银理财”）作为产品管理人管理的理财产品。</w:t>
      </w:r>
    </w:p>
    <w:p w:rsidR="008C4D74" w:rsidRDefault="008C4D74" w:rsidP="008C4D74">
      <w:pPr>
        <w:spacing w:line="320" w:lineRule="exact"/>
        <w:ind w:firstLineChars="200" w:firstLine="360"/>
        <w:jc w:val="left"/>
        <w:rPr>
          <w:rFonts w:ascii="宋体" w:hAnsi="宋体"/>
          <w:sz w:val="18"/>
          <w:szCs w:val="18"/>
        </w:rPr>
      </w:pPr>
      <w:r>
        <w:rPr>
          <w:rFonts w:ascii="宋体" w:hAnsi="宋体" w:hint="eastAsia"/>
          <w:sz w:val="18"/>
          <w:szCs w:val="18"/>
        </w:rPr>
        <w:t>请仔细阅读本《投资者权益须知》，行使您在本业务项下的权益。</w:t>
      </w:r>
      <w:r>
        <w:rPr>
          <w:rFonts w:ascii="宋体" w:hAnsi="宋体"/>
          <w:sz w:val="18"/>
          <w:szCs w:val="18"/>
        </w:rPr>
        <w:t xml:space="preserve"> </w:t>
      </w:r>
    </w:p>
    <w:p w:rsidR="008C4D74" w:rsidRDefault="008C4D74" w:rsidP="008C4D74">
      <w:pPr>
        <w:ind w:firstLineChars="200" w:firstLine="360"/>
        <w:rPr>
          <w:rFonts w:ascii="宋体" w:hAnsi="宋体"/>
          <w:sz w:val="18"/>
          <w:szCs w:val="18"/>
        </w:rPr>
      </w:pPr>
    </w:p>
    <w:p w:rsidR="008C4D74" w:rsidRDefault="008C4D74" w:rsidP="008C4D74">
      <w:pPr>
        <w:ind w:firstLineChars="200" w:firstLine="361"/>
        <w:rPr>
          <w:rFonts w:ascii="宋体" w:hAnsi="宋体"/>
          <w:b/>
          <w:sz w:val="18"/>
          <w:szCs w:val="18"/>
        </w:rPr>
      </w:pPr>
      <w:r>
        <w:rPr>
          <w:rFonts w:ascii="宋体" w:hAnsi="宋体" w:hint="eastAsia"/>
          <w:b/>
          <w:sz w:val="18"/>
          <w:szCs w:val="18"/>
        </w:rPr>
        <w:t>一、理财产品购买流程</w:t>
      </w:r>
    </w:p>
    <w:p w:rsidR="008C4D74" w:rsidRDefault="008C4D74" w:rsidP="008C4D74">
      <w:pPr>
        <w:ind w:firstLineChars="200" w:firstLine="360"/>
        <w:rPr>
          <w:rFonts w:ascii="宋体" w:hAnsi="宋体"/>
          <w:sz w:val="18"/>
          <w:szCs w:val="18"/>
        </w:rPr>
      </w:pPr>
      <w:r>
        <w:rPr>
          <w:rFonts w:ascii="宋体" w:hAnsi="宋体" w:hint="eastAsia"/>
          <w:sz w:val="18"/>
          <w:szCs w:val="18"/>
        </w:rPr>
        <w:t>（一）</w:t>
      </w:r>
      <w:r>
        <w:rPr>
          <w:rFonts w:ascii="宋体" w:hAnsi="宋体"/>
          <w:sz w:val="18"/>
          <w:szCs w:val="18"/>
        </w:rPr>
        <w:t>开立或持有</w:t>
      </w:r>
      <w:r>
        <w:rPr>
          <w:rFonts w:ascii="宋体" w:hAnsi="宋体" w:hint="eastAsia"/>
          <w:sz w:val="18"/>
          <w:szCs w:val="18"/>
        </w:rPr>
        <w:t>销售机构</w:t>
      </w:r>
      <w:r>
        <w:rPr>
          <w:rFonts w:ascii="宋体" w:hAnsi="宋体"/>
          <w:sz w:val="18"/>
          <w:szCs w:val="18"/>
        </w:rPr>
        <w:t>账户，该账户用于本产品的理财资金划转及</w:t>
      </w:r>
      <w:r>
        <w:rPr>
          <w:rFonts w:ascii="宋体" w:hAnsi="宋体" w:hint="eastAsia"/>
          <w:sz w:val="18"/>
          <w:szCs w:val="18"/>
        </w:rPr>
        <w:t>分配</w:t>
      </w:r>
      <w:r>
        <w:rPr>
          <w:rFonts w:ascii="宋体" w:hAnsi="宋体"/>
          <w:sz w:val="18"/>
          <w:szCs w:val="18"/>
        </w:rPr>
        <w:t>，您应确保持有本产品期间所指定账户不做销户。</w:t>
      </w:r>
    </w:p>
    <w:p w:rsidR="008C4D74" w:rsidRDefault="008C4D74" w:rsidP="008C4D74">
      <w:pPr>
        <w:ind w:firstLineChars="200" w:firstLine="360"/>
        <w:rPr>
          <w:rFonts w:ascii="宋体" w:hAnsi="宋体"/>
          <w:sz w:val="18"/>
          <w:szCs w:val="18"/>
        </w:rPr>
      </w:pPr>
      <w:r>
        <w:rPr>
          <w:rFonts w:ascii="宋体" w:hAnsi="宋体" w:hint="eastAsia"/>
          <w:sz w:val="18"/>
          <w:szCs w:val="18"/>
        </w:rPr>
        <w:t>（二）</w:t>
      </w:r>
      <w:r>
        <w:rPr>
          <w:rFonts w:ascii="宋体" w:hAnsi="宋体"/>
          <w:sz w:val="18"/>
          <w:szCs w:val="18"/>
        </w:rPr>
        <w:t>接受并完成</w:t>
      </w:r>
      <w:r>
        <w:rPr>
          <w:rFonts w:ascii="宋体" w:hAnsi="宋体" w:hint="eastAsia"/>
          <w:sz w:val="18"/>
          <w:szCs w:val="18"/>
        </w:rPr>
        <w:t>销售机构</w:t>
      </w:r>
      <w:r>
        <w:rPr>
          <w:rFonts w:ascii="宋体" w:hAnsi="宋体"/>
          <w:sz w:val="18"/>
          <w:szCs w:val="18"/>
        </w:rPr>
        <w:t>对您的风险承受能力评估，并根据风险评估结果选择适合的产品。</w:t>
      </w:r>
    </w:p>
    <w:p w:rsidR="008C4D74" w:rsidRDefault="008C4D74" w:rsidP="008C4D74">
      <w:pPr>
        <w:ind w:firstLineChars="200" w:firstLine="360"/>
        <w:rPr>
          <w:rFonts w:ascii="宋体" w:hAnsi="宋体"/>
          <w:sz w:val="18"/>
          <w:szCs w:val="18"/>
        </w:rPr>
      </w:pPr>
      <w:r>
        <w:rPr>
          <w:rFonts w:ascii="宋体" w:hAnsi="宋体" w:hint="eastAsia"/>
          <w:sz w:val="18"/>
          <w:szCs w:val="18"/>
        </w:rPr>
        <w:t>（三）</w:t>
      </w:r>
      <w:r>
        <w:rPr>
          <w:rFonts w:ascii="宋体" w:hAnsi="宋体"/>
          <w:sz w:val="18"/>
          <w:szCs w:val="18"/>
        </w:rPr>
        <w:t>请仔细阅读《</w:t>
      </w:r>
      <w:r>
        <w:rPr>
          <w:rFonts w:ascii="宋体" w:hAnsi="宋体" w:hint="eastAsia"/>
          <w:sz w:val="18"/>
          <w:szCs w:val="18"/>
        </w:rPr>
        <w:t>投资</w:t>
      </w:r>
      <w:r>
        <w:rPr>
          <w:rFonts w:ascii="宋体" w:hAnsi="宋体"/>
          <w:sz w:val="18"/>
          <w:szCs w:val="18"/>
        </w:rPr>
        <w:t>协议书》、《产品说明书》、</w:t>
      </w:r>
      <w:r>
        <w:rPr>
          <w:rFonts w:ascii="宋体" w:hAnsi="宋体" w:hint="eastAsia"/>
          <w:sz w:val="18"/>
          <w:szCs w:val="18"/>
        </w:rPr>
        <w:t>《（代理）销售</w:t>
      </w:r>
      <w:r>
        <w:rPr>
          <w:rFonts w:ascii="宋体" w:hAnsi="宋体"/>
          <w:sz w:val="18"/>
          <w:szCs w:val="18"/>
        </w:rPr>
        <w:t>协议书</w:t>
      </w:r>
      <w:r>
        <w:rPr>
          <w:rFonts w:ascii="宋体" w:hAnsi="宋体" w:hint="eastAsia"/>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rsidR="008C4D74" w:rsidRDefault="008C4D74" w:rsidP="008C4D74">
      <w:pPr>
        <w:ind w:firstLineChars="200" w:firstLine="360"/>
        <w:rPr>
          <w:rFonts w:ascii="宋体" w:hAnsi="宋体"/>
          <w:sz w:val="18"/>
          <w:szCs w:val="18"/>
        </w:rPr>
      </w:pPr>
      <w:r>
        <w:rPr>
          <w:rFonts w:ascii="宋体" w:hAnsi="宋体" w:hint="eastAsia"/>
          <w:sz w:val="18"/>
          <w:szCs w:val="18"/>
        </w:rPr>
        <w:t>（四）销售机构营业网点或电子银行</w:t>
      </w:r>
      <w:r>
        <w:rPr>
          <w:rFonts w:ascii="宋体" w:hAnsi="宋体"/>
          <w:sz w:val="18"/>
          <w:szCs w:val="18"/>
        </w:rPr>
        <w:t>（包括但不限于网上银行、电话银行和手机银行）均可办理理财产品的购买手续，但是对于具体理财产品，</w:t>
      </w:r>
      <w:r>
        <w:rPr>
          <w:rFonts w:ascii="宋体" w:hAnsi="宋体" w:hint="eastAsia"/>
          <w:sz w:val="18"/>
          <w:szCs w:val="18"/>
        </w:rPr>
        <w:t>产品管理人</w:t>
      </w:r>
      <w:r>
        <w:rPr>
          <w:rFonts w:ascii="宋体" w:hAnsi="宋体"/>
          <w:sz w:val="18"/>
          <w:szCs w:val="18"/>
        </w:rPr>
        <w:t>将根据产品风险等级和市场情况自行确定发售渠道。</w:t>
      </w:r>
    </w:p>
    <w:p w:rsidR="008C4D74" w:rsidRDefault="008C4D74" w:rsidP="008C4D74">
      <w:pPr>
        <w:ind w:firstLineChars="200" w:firstLine="361"/>
        <w:rPr>
          <w:rFonts w:ascii="宋体" w:hAnsi="宋体"/>
          <w:b/>
          <w:sz w:val="18"/>
          <w:szCs w:val="18"/>
        </w:rPr>
      </w:pPr>
      <w:r>
        <w:rPr>
          <w:rFonts w:ascii="宋体" w:hAnsi="宋体" w:hint="eastAsia"/>
          <w:b/>
          <w:sz w:val="18"/>
          <w:szCs w:val="18"/>
        </w:rPr>
        <w:t>二、投资者风险承受能力与产品风险评级</w:t>
      </w:r>
    </w:p>
    <w:p w:rsidR="008C4D74" w:rsidRDefault="008C4D74" w:rsidP="008C4D74">
      <w:pPr>
        <w:ind w:firstLineChars="200" w:firstLine="361"/>
        <w:rPr>
          <w:rFonts w:ascii="宋体" w:hAnsi="宋体"/>
          <w:b/>
          <w:sz w:val="18"/>
          <w:szCs w:val="18"/>
        </w:rPr>
      </w:pPr>
      <w:r>
        <w:rPr>
          <w:rFonts w:ascii="宋体" w:hAnsi="宋体" w:hint="eastAsia"/>
          <w:b/>
          <w:sz w:val="18"/>
          <w:szCs w:val="18"/>
        </w:rPr>
        <w:t>（一）投资者风险承受能力评估说明</w:t>
      </w:r>
    </w:p>
    <w:p w:rsidR="008C4D74" w:rsidRDefault="008C4D74" w:rsidP="008C4D74">
      <w:pPr>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 xml:space="preserve"> </w:t>
      </w:r>
      <w:proofErr w:type="gramStart"/>
      <w:r>
        <w:rPr>
          <w:rFonts w:ascii="宋体" w:hAnsi="宋体" w:hint="eastAsia"/>
          <w:sz w:val="18"/>
          <w:szCs w:val="18"/>
        </w:rPr>
        <w:t>您首次</w:t>
      </w:r>
      <w:proofErr w:type="gramEnd"/>
      <w:r>
        <w:rPr>
          <w:rFonts w:ascii="宋体" w:hAnsi="宋体" w:hint="eastAsia"/>
          <w:sz w:val="18"/>
          <w:szCs w:val="18"/>
        </w:rPr>
        <w:t>购买兴银理财的理财产品前，需要进行风险承受能力评估，填写《个人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ascii="宋体" w:hAnsi="宋体" w:hint="eastAsia"/>
          <w:sz w:val="18"/>
          <w:szCs w:val="18"/>
        </w:rPr>
        <w:t>或</w:t>
      </w:r>
      <w:r>
        <w:rPr>
          <w:rFonts w:ascii="宋体" w:hAnsi="宋体"/>
          <w:sz w:val="18"/>
          <w:szCs w:val="18"/>
        </w:rPr>
        <w:t>线</w:t>
      </w:r>
      <w:proofErr w:type="gramStart"/>
      <w:r>
        <w:rPr>
          <w:rFonts w:ascii="宋体" w:hAnsi="宋体"/>
          <w:sz w:val="18"/>
          <w:szCs w:val="18"/>
        </w:rPr>
        <w:t>上渠道</w:t>
      </w:r>
      <w:proofErr w:type="gramEnd"/>
      <w:r>
        <w:rPr>
          <w:rFonts w:ascii="宋体" w:hAnsi="宋体" w:hint="eastAsia"/>
          <w:sz w:val="18"/>
          <w:szCs w:val="18"/>
        </w:rPr>
        <w:t>进行风险承受能力持续评估。</w:t>
      </w:r>
      <w:r>
        <w:rPr>
          <w:rFonts w:ascii="黑体" w:eastAsia="黑体" w:hAnsi="黑体" w:hint="eastAsia"/>
          <w:b/>
          <w:sz w:val="18"/>
          <w:szCs w:val="18"/>
        </w:rPr>
        <w:t>如影响</w:t>
      </w:r>
      <w:proofErr w:type="gramStart"/>
      <w:r>
        <w:rPr>
          <w:rFonts w:ascii="黑体" w:eastAsia="黑体" w:hAnsi="黑体" w:hint="eastAsia"/>
          <w:b/>
          <w:sz w:val="18"/>
          <w:szCs w:val="18"/>
        </w:rPr>
        <w:t>您风险</w:t>
      </w:r>
      <w:proofErr w:type="gramEnd"/>
      <w:r>
        <w:rPr>
          <w:rFonts w:ascii="黑体" w:eastAsia="黑体" w:hAnsi="黑体" w:hint="eastAsia"/>
          <w:b/>
          <w:sz w:val="18"/>
          <w:szCs w:val="18"/>
        </w:rPr>
        <w:t>承受能力的因素发生变化，请您及时重新完成风险承受能力评估。</w:t>
      </w:r>
    </w:p>
    <w:p w:rsidR="008C4D74" w:rsidRDefault="008C4D74" w:rsidP="008C4D74">
      <w:pPr>
        <w:ind w:firstLineChars="200" w:firstLine="361"/>
        <w:rPr>
          <w:rFonts w:ascii="宋体" w:hAnsi="宋体"/>
          <w:b/>
          <w:sz w:val="18"/>
          <w:szCs w:val="18"/>
        </w:rPr>
      </w:pPr>
      <w:r>
        <w:rPr>
          <w:rFonts w:ascii="宋体" w:hAnsi="宋体"/>
          <w:b/>
          <w:sz w:val="18"/>
          <w:szCs w:val="18"/>
        </w:rPr>
        <w:t xml:space="preserve">2. </w:t>
      </w:r>
      <w:r>
        <w:rPr>
          <w:rFonts w:ascii="宋体" w:hAnsi="宋体" w:hint="eastAsia"/>
          <w:b/>
          <w:sz w:val="18"/>
          <w:szCs w:val="18"/>
        </w:rPr>
        <w:t>投资者风险承受能力评级与理财产品风险评级</w:t>
      </w:r>
    </w:p>
    <w:p w:rsidR="008C4D74" w:rsidRDefault="008C4D74" w:rsidP="008C4D74">
      <w:pPr>
        <w:ind w:firstLineChars="200" w:firstLine="360"/>
        <w:rPr>
          <w:rFonts w:ascii="宋体" w:hAnsi="宋体"/>
          <w:sz w:val="18"/>
          <w:szCs w:val="18"/>
        </w:rPr>
      </w:pPr>
      <w:r>
        <w:rPr>
          <w:rFonts w:ascii="宋体" w:hAnsi="宋体" w:hint="eastAsia"/>
          <w:sz w:val="18"/>
          <w:szCs w:val="18"/>
        </w:rPr>
        <w:t>销售机构</w:t>
      </w:r>
      <w:r>
        <w:rPr>
          <w:rFonts w:ascii="宋体" w:hAnsi="宋体"/>
          <w:sz w:val="18"/>
          <w:szCs w:val="18"/>
        </w:rPr>
        <w:t>根据</w:t>
      </w:r>
      <w:r>
        <w:rPr>
          <w:rFonts w:ascii="宋体" w:hAnsi="宋体" w:hint="eastAsia"/>
          <w:sz w:val="18"/>
          <w:szCs w:val="18"/>
        </w:rPr>
        <w:t>投资者风险承受能力，个人投资者由低至高分为【C1至C</w:t>
      </w:r>
      <w:r>
        <w:rPr>
          <w:rFonts w:ascii="宋体" w:hAnsi="宋体"/>
          <w:sz w:val="18"/>
          <w:szCs w:val="18"/>
        </w:rPr>
        <w:t>6六</w:t>
      </w:r>
      <w:r>
        <w:rPr>
          <w:rFonts w:ascii="宋体" w:hAnsi="宋体" w:hint="eastAsia"/>
          <w:sz w:val="18"/>
          <w:szCs w:val="18"/>
        </w:rPr>
        <w:t>个等级】</w:t>
      </w:r>
      <w:r>
        <w:rPr>
          <w:rFonts w:ascii="宋体" w:hAnsi="宋体"/>
          <w:sz w:val="18"/>
          <w:szCs w:val="18"/>
        </w:rPr>
        <w:t>。其中，</w:t>
      </w:r>
      <w:r>
        <w:rPr>
          <w:rFonts w:ascii="宋体" w:hAnsi="宋体" w:hint="eastAsia"/>
          <w:sz w:val="18"/>
          <w:szCs w:val="18"/>
        </w:rPr>
        <w:t>【C1】</w:t>
      </w:r>
      <w:r>
        <w:rPr>
          <w:rFonts w:ascii="宋体" w:hAnsi="宋体"/>
          <w:sz w:val="18"/>
          <w:szCs w:val="18"/>
        </w:rPr>
        <w:t>为风险承受能力最低类别，</w:t>
      </w:r>
      <w:r>
        <w:rPr>
          <w:rFonts w:ascii="宋体" w:hAnsi="宋体" w:hint="eastAsia"/>
          <w:sz w:val="18"/>
          <w:szCs w:val="18"/>
        </w:rPr>
        <w:t>【C6】</w:t>
      </w:r>
      <w:r>
        <w:rPr>
          <w:rFonts w:ascii="宋体" w:hAnsi="宋体"/>
          <w:sz w:val="18"/>
          <w:szCs w:val="18"/>
        </w:rPr>
        <w:t>为风险承受能力最高类别。风险承受能力评级越高适合购买的理财产品风险评级越高，适合购买的理财产品类型越丰富</w:t>
      </w:r>
      <w:r>
        <w:rPr>
          <w:rFonts w:ascii="宋体" w:hAnsi="宋体" w:hint="eastAsia"/>
          <w:sz w:val="18"/>
          <w:szCs w:val="18"/>
        </w:rPr>
        <w:t>。</w:t>
      </w:r>
      <w:r>
        <w:rPr>
          <w:rFonts w:ascii="宋体" w:hAnsi="宋体"/>
          <w:sz w:val="18"/>
          <w:szCs w:val="18"/>
        </w:rPr>
        <w:t>投资者风险承受能力评级类型与适合购买的理财产品的对应关系为：</w:t>
      </w:r>
    </w:p>
    <w:tbl>
      <w:tblPr>
        <w:tblW w:w="8349"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325"/>
        <w:gridCol w:w="5311"/>
        <w:gridCol w:w="1713"/>
      </w:tblGrid>
      <w:tr w:rsidR="008C4D74" w:rsidRPr="00906902" w:rsidTr="008D10E8">
        <w:trPr>
          <w:trHeight w:val="289"/>
          <w:jc w:val="center"/>
        </w:trPr>
        <w:tc>
          <w:tcPr>
            <w:tcW w:w="1325" w:type="dxa"/>
            <w:vAlign w:val="center"/>
            <w:hideMark/>
          </w:tcPr>
          <w:p w:rsidR="008C4D74" w:rsidRPr="00906902" w:rsidRDefault="008C4D74" w:rsidP="008D10E8">
            <w:pPr>
              <w:jc w:val="center"/>
              <w:rPr>
                <w:rFonts w:ascii="宋体" w:hAnsi="宋体"/>
                <w:color w:val="000000" w:themeColor="text1"/>
                <w:sz w:val="18"/>
                <w:szCs w:val="18"/>
              </w:rPr>
            </w:pPr>
            <w:r w:rsidRPr="00906902">
              <w:rPr>
                <w:rFonts w:ascii="宋体" w:hAnsi="宋体" w:hint="eastAsia"/>
                <w:color w:val="000000" w:themeColor="text1"/>
                <w:sz w:val="18"/>
                <w:szCs w:val="18"/>
              </w:rPr>
              <w:t>风险评级</w:t>
            </w:r>
          </w:p>
        </w:tc>
        <w:tc>
          <w:tcPr>
            <w:tcW w:w="5311" w:type="dxa"/>
            <w:vAlign w:val="center"/>
            <w:hideMark/>
          </w:tcPr>
          <w:p w:rsidR="008C4D74" w:rsidRPr="00906902" w:rsidRDefault="008C4D74" w:rsidP="008D10E8">
            <w:pPr>
              <w:jc w:val="center"/>
              <w:rPr>
                <w:rFonts w:ascii="宋体" w:hAnsi="宋体"/>
                <w:color w:val="000000" w:themeColor="text1"/>
                <w:sz w:val="18"/>
                <w:szCs w:val="18"/>
              </w:rPr>
            </w:pPr>
            <w:r w:rsidRPr="00906902">
              <w:rPr>
                <w:rFonts w:ascii="宋体" w:hAnsi="宋体" w:hint="eastAsia"/>
                <w:color w:val="000000" w:themeColor="text1"/>
                <w:sz w:val="18"/>
                <w:szCs w:val="18"/>
              </w:rPr>
              <w:t>评级说明</w:t>
            </w:r>
          </w:p>
        </w:tc>
        <w:tc>
          <w:tcPr>
            <w:tcW w:w="1713" w:type="dxa"/>
            <w:vAlign w:val="center"/>
            <w:hideMark/>
          </w:tcPr>
          <w:p w:rsidR="008C4D74" w:rsidRPr="00906902" w:rsidRDefault="008C4D74" w:rsidP="008D10E8">
            <w:pPr>
              <w:jc w:val="center"/>
              <w:rPr>
                <w:rFonts w:ascii="宋体" w:hAnsi="宋体"/>
                <w:color w:val="000000" w:themeColor="text1"/>
                <w:sz w:val="18"/>
                <w:szCs w:val="18"/>
              </w:rPr>
            </w:pPr>
            <w:r w:rsidRPr="00906902">
              <w:rPr>
                <w:rFonts w:ascii="宋体" w:hAnsi="宋体" w:hint="eastAsia"/>
                <w:color w:val="000000" w:themeColor="text1"/>
                <w:sz w:val="18"/>
                <w:szCs w:val="18"/>
              </w:rPr>
              <w:t>投资者对象</w:t>
            </w:r>
          </w:p>
        </w:tc>
      </w:tr>
      <w:tr w:rsidR="008C4D74" w:rsidRPr="00906902" w:rsidTr="008D10E8">
        <w:trPr>
          <w:trHeight w:val="340"/>
          <w:jc w:val="center"/>
        </w:trPr>
        <w:tc>
          <w:tcPr>
            <w:tcW w:w="1325" w:type="dxa"/>
            <w:vAlign w:val="center"/>
            <w:hideMark/>
          </w:tcPr>
          <w:p w:rsidR="008C4D74" w:rsidRPr="00906902" w:rsidRDefault="008C4D74" w:rsidP="008D10E8">
            <w:pPr>
              <w:jc w:val="center"/>
              <w:rPr>
                <w:rFonts w:ascii="宋体" w:hAnsi="宋体"/>
                <w:color w:val="000000" w:themeColor="text1"/>
                <w:sz w:val="18"/>
                <w:szCs w:val="18"/>
              </w:rPr>
            </w:pPr>
            <w:r>
              <w:rPr>
                <w:rFonts w:ascii="宋体" w:hAnsi="宋体" w:hint="eastAsia"/>
                <w:color w:val="000000" w:themeColor="text1"/>
                <w:sz w:val="18"/>
                <w:szCs w:val="18"/>
              </w:rPr>
              <w:t>安逸型（</w:t>
            </w:r>
            <w:r w:rsidRPr="00906902">
              <w:rPr>
                <w:rFonts w:ascii="宋体" w:hAnsi="宋体" w:hint="eastAsia"/>
                <w:color w:val="000000" w:themeColor="text1"/>
                <w:sz w:val="18"/>
                <w:szCs w:val="18"/>
              </w:rPr>
              <w:t>R1</w:t>
            </w:r>
            <w:r>
              <w:rPr>
                <w:rFonts w:ascii="宋体" w:hAnsi="宋体" w:hint="eastAsia"/>
                <w:color w:val="000000" w:themeColor="text1"/>
                <w:sz w:val="18"/>
                <w:szCs w:val="18"/>
              </w:rPr>
              <w:t>）</w:t>
            </w:r>
          </w:p>
        </w:tc>
        <w:tc>
          <w:tcPr>
            <w:tcW w:w="5311"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本金风险低，产品投资目标不能实现的概率较低；或投资范围仅限于货币市场工具等风险极低的短期金融资产。</w:t>
            </w:r>
          </w:p>
        </w:tc>
        <w:tc>
          <w:tcPr>
            <w:tcW w:w="1713"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安逸型（</w:t>
            </w:r>
            <w:r w:rsidRPr="00906902">
              <w:rPr>
                <w:rFonts w:ascii="宋体" w:hAnsi="宋体" w:hint="eastAsia"/>
                <w:color w:val="000000" w:themeColor="text1"/>
                <w:sz w:val="18"/>
                <w:szCs w:val="18"/>
              </w:rPr>
              <w:t>C1</w:t>
            </w:r>
            <w:r>
              <w:rPr>
                <w:rFonts w:ascii="宋体" w:hAnsi="宋体" w:hint="eastAsia"/>
                <w:color w:val="000000" w:themeColor="text1"/>
                <w:sz w:val="18"/>
                <w:szCs w:val="18"/>
              </w:rPr>
              <w:t>）</w:t>
            </w:r>
            <w:r w:rsidRPr="00906902">
              <w:rPr>
                <w:rFonts w:ascii="宋体" w:hAnsi="宋体" w:hint="eastAsia"/>
                <w:color w:val="000000" w:themeColor="text1"/>
                <w:sz w:val="18"/>
                <w:szCs w:val="18"/>
              </w:rPr>
              <w:t>及以上</w:t>
            </w:r>
          </w:p>
        </w:tc>
      </w:tr>
      <w:tr w:rsidR="008C4D74" w:rsidRPr="00906902" w:rsidTr="008D10E8">
        <w:trPr>
          <w:trHeight w:val="340"/>
          <w:jc w:val="center"/>
        </w:trPr>
        <w:tc>
          <w:tcPr>
            <w:tcW w:w="1325" w:type="dxa"/>
            <w:vAlign w:val="center"/>
            <w:hideMark/>
          </w:tcPr>
          <w:p w:rsidR="008C4D74" w:rsidRPr="00906902" w:rsidRDefault="008C4D74" w:rsidP="008D10E8">
            <w:pPr>
              <w:jc w:val="center"/>
              <w:rPr>
                <w:rFonts w:ascii="宋体" w:hAnsi="宋体"/>
                <w:color w:val="000000" w:themeColor="text1"/>
                <w:sz w:val="18"/>
                <w:szCs w:val="18"/>
              </w:rPr>
            </w:pPr>
            <w:r>
              <w:rPr>
                <w:rFonts w:ascii="宋体" w:hAnsi="宋体" w:hint="eastAsia"/>
                <w:color w:val="000000" w:themeColor="text1"/>
                <w:sz w:val="18"/>
                <w:szCs w:val="18"/>
              </w:rPr>
              <w:t>谨慎型（</w:t>
            </w:r>
            <w:r w:rsidRPr="00906902">
              <w:rPr>
                <w:rFonts w:ascii="宋体" w:hAnsi="宋体" w:hint="eastAsia"/>
                <w:color w:val="000000" w:themeColor="text1"/>
                <w:sz w:val="18"/>
                <w:szCs w:val="18"/>
              </w:rPr>
              <w:t>R2</w:t>
            </w:r>
            <w:r>
              <w:rPr>
                <w:rFonts w:ascii="宋体" w:hAnsi="宋体" w:hint="eastAsia"/>
                <w:color w:val="000000" w:themeColor="text1"/>
                <w:sz w:val="18"/>
                <w:szCs w:val="18"/>
              </w:rPr>
              <w:t>）</w:t>
            </w:r>
          </w:p>
        </w:tc>
        <w:tc>
          <w:tcPr>
            <w:tcW w:w="5311"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本金风险相对较小，收益浮动但相对较小。产品结构简单，过往业绩及净值的历史波动率低；投资标的流动性很好或为较高等级的信用主体；或者衍生品及杠杆交易对净值波动极小；估值政策清晰。</w:t>
            </w:r>
          </w:p>
        </w:tc>
        <w:tc>
          <w:tcPr>
            <w:tcW w:w="1713"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谨慎型（</w:t>
            </w:r>
            <w:r w:rsidRPr="00906902">
              <w:rPr>
                <w:rFonts w:ascii="宋体" w:hAnsi="宋体" w:hint="eastAsia"/>
                <w:color w:val="000000" w:themeColor="text1"/>
                <w:sz w:val="18"/>
                <w:szCs w:val="18"/>
              </w:rPr>
              <w:t>C2</w:t>
            </w:r>
            <w:r>
              <w:rPr>
                <w:rFonts w:ascii="宋体" w:hAnsi="宋体" w:hint="eastAsia"/>
                <w:color w:val="000000" w:themeColor="text1"/>
                <w:sz w:val="18"/>
                <w:szCs w:val="18"/>
              </w:rPr>
              <w:t>）</w:t>
            </w:r>
            <w:r w:rsidRPr="00906902">
              <w:rPr>
                <w:rFonts w:ascii="宋体" w:hAnsi="宋体" w:hint="eastAsia"/>
                <w:color w:val="000000" w:themeColor="text1"/>
                <w:sz w:val="18"/>
                <w:szCs w:val="18"/>
              </w:rPr>
              <w:t>及以上</w:t>
            </w:r>
          </w:p>
        </w:tc>
      </w:tr>
      <w:tr w:rsidR="008C4D74" w:rsidRPr="00906902" w:rsidTr="008D10E8">
        <w:trPr>
          <w:trHeight w:val="340"/>
          <w:jc w:val="center"/>
        </w:trPr>
        <w:tc>
          <w:tcPr>
            <w:tcW w:w="1325" w:type="dxa"/>
            <w:vAlign w:val="center"/>
            <w:hideMark/>
          </w:tcPr>
          <w:p w:rsidR="008C4D74" w:rsidRPr="00906902" w:rsidRDefault="008C4D74" w:rsidP="008D10E8">
            <w:pPr>
              <w:jc w:val="center"/>
              <w:rPr>
                <w:rFonts w:ascii="宋体" w:hAnsi="宋体"/>
                <w:color w:val="000000" w:themeColor="text1"/>
                <w:sz w:val="18"/>
                <w:szCs w:val="18"/>
              </w:rPr>
            </w:pPr>
            <w:r>
              <w:rPr>
                <w:rFonts w:ascii="宋体" w:hAnsi="宋体" w:hint="eastAsia"/>
                <w:color w:val="000000" w:themeColor="text1"/>
                <w:sz w:val="18"/>
                <w:szCs w:val="18"/>
              </w:rPr>
              <w:t>稳健型（</w:t>
            </w:r>
            <w:r w:rsidRPr="00906902">
              <w:rPr>
                <w:rFonts w:ascii="宋体" w:hAnsi="宋体" w:hint="eastAsia"/>
                <w:color w:val="000000" w:themeColor="text1"/>
                <w:sz w:val="18"/>
                <w:szCs w:val="18"/>
              </w:rPr>
              <w:t>R3</w:t>
            </w:r>
            <w:r>
              <w:rPr>
                <w:rFonts w:ascii="宋体" w:hAnsi="宋体" w:hint="eastAsia"/>
                <w:color w:val="000000" w:themeColor="text1"/>
                <w:sz w:val="18"/>
                <w:szCs w:val="18"/>
              </w:rPr>
              <w:t>）</w:t>
            </w:r>
          </w:p>
        </w:tc>
        <w:tc>
          <w:tcPr>
            <w:tcW w:w="5311"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产品有一定的本金风险，收益浮动且有一定波动。产品结构简单，过往业绩及净值的历史波动率较低；投资标的流动性好或为中等及以上的信用主体；或者投资衍生品以套期保值为目的，衍生品及杠杆交易对净值波动较小；估值政策清晰。</w:t>
            </w:r>
          </w:p>
        </w:tc>
        <w:tc>
          <w:tcPr>
            <w:tcW w:w="1713"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稳健型（</w:t>
            </w:r>
            <w:r w:rsidRPr="00906902">
              <w:rPr>
                <w:rFonts w:ascii="宋体" w:hAnsi="宋体" w:hint="eastAsia"/>
                <w:color w:val="000000" w:themeColor="text1"/>
                <w:sz w:val="18"/>
                <w:szCs w:val="18"/>
              </w:rPr>
              <w:t>C3</w:t>
            </w:r>
            <w:r>
              <w:rPr>
                <w:rFonts w:ascii="宋体" w:hAnsi="宋体" w:hint="eastAsia"/>
                <w:color w:val="000000" w:themeColor="text1"/>
                <w:sz w:val="18"/>
                <w:szCs w:val="18"/>
              </w:rPr>
              <w:t>）</w:t>
            </w:r>
            <w:r w:rsidRPr="00906902">
              <w:rPr>
                <w:rFonts w:ascii="宋体" w:hAnsi="宋体" w:hint="eastAsia"/>
                <w:color w:val="000000" w:themeColor="text1"/>
                <w:sz w:val="18"/>
                <w:szCs w:val="18"/>
              </w:rPr>
              <w:t>及以上</w:t>
            </w:r>
          </w:p>
        </w:tc>
      </w:tr>
      <w:tr w:rsidR="008C4D74" w:rsidRPr="00906902" w:rsidTr="008D10E8">
        <w:trPr>
          <w:trHeight w:val="340"/>
          <w:jc w:val="center"/>
        </w:trPr>
        <w:tc>
          <w:tcPr>
            <w:tcW w:w="1325" w:type="dxa"/>
            <w:vAlign w:val="center"/>
            <w:hideMark/>
          </w:tcPr>
          <w:p w:rsidR="008C4D74" w:rsidRPr="00906902" w:rsidRDefault="008C4D74" w:rsidP="008D10E8">
            <w:pPr>
              <w:jc w:val="center"/>
              <w:rPr>
                <w:rFonts w:ascii="宋体" w:hAnsi="宋体"/>
                <w:color w:val="000000" w:themeColor="text1"/>
                <w:sz w:val="18"/>
                <w:szCs w:val="18"/>
              </w:rPr>
            </w:pPr>
            <w:r>
              <w:rPr>
                <w:rFonts w:ascii="宋体" w:hAnsi="宋体" w:hint="eastAsia"/>
                <w:color w:val="000000" w:themeColor="text1"/>
                <w:sz w:val="18"/>
                <w:szCs w:val="18"/>
              </w:rPr>
              <w:t>增长型（</w:t>
            </w:r>
            <w:r w:rsidRPr="00906902">
              <w:rPr>
                <w:rFonts w:ascii="宋体" w:hAnsi="宋体" w:hint="eastAsia"/>
                <w:color w:val="000000" w:themeColor="text1"/>
                <w:sz w:val="18"/>
                <w:szCs w:val="18"/>
              </w:rPr>
              <w:t>R4</w:t>
            </w:r>
            <w:r>
              <w:rPr>
                <w:rFonts w:ascii="宋体" w:hAnsi="宋体" w:hint="eastAsia"/>
                <w:color w:val="000000" w:themeColor="text1"/>
                <w:sz w:val="18"/>
                <w:szCs w:val="18"/>
              </w:rPr>
              <w:t>）</w:t>
            </w:r>
          </w:p>
        </w:tc>
        <w:tc>
          <w:tcPr>
            <w:tcW w:w="5311"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产品本金风险较大。产品主要投资于流动性较好的投资标的，产品</w:t>
            </w:r>
            <w:r>
              <w:rPr>
                <w:rFonts w:ascii="宋体" w:hAnsi="宋体" w:hint="eastAsia"/>
                <w:color w:val="000000" w:themeColor="text1"/>
                <w:sz w:val="18"/>
                <w:szCs w:val="18"/>
              </w:rPr>
              <w:lastRenderedPageBreak/>
              <w:t>结构简单，但收益浮动且波动很大，过往业绩及净值的历史波动率较高；或者投资标的流动性较差或为中等以下的信用主体，但产品结构简单，且不投资于衍生品及杠杆交易；估值政策简单；或者投资衍生品以套期保值为目的，衍生品及杠杆交易对净值波动较大，估值政策较清晰。</w:t>
            </w:r>
          </w:p>
        </w:tc>
        <w:tc>
          <w:tcPr>
            <w:tcW w:w="1713"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lastRenderedPageBreak/>
              <w:t>增长型（</w:t>
            </w:r>
            <w:r w:rsidRPr="00906902">
              <w:rPr>
                <w:rFonts w:ascii="宋体" w:hAnsi="宋体" w:hint="eastAsia"/>
                <w:color w:val="000000" w:themeColor="text1"/>
                <w:sz w:val="18"/>
                <w:szCs w:val="18"/>
              </w:rPr>
              <w:t>C4</w:t>
            </w:r>
            <w:r>
              <w:rPr>
                <w:rFonts w:ascii="宋体" w:hAnsi="宋体" w:hint="eastAsia"/>
                <w:color w:val="000000" w:themeColor="text1"/>
                <w:sz w:val="18"/>
                <w:szCs w:val="18"/>
              </w:rPr>
              <w:t>）</w:t>
            </w:r>
            <w:r w:rsidRPr="00906902">
              <w:rPr>
                <w:rFonts w:ascii="宋体" w:hAnsi="宋体" w:hint="eastAsia"/>
                <w:color w:val="000000" w:themeColor="text1"/>
                <w:sz w:val="18"/>
                <w:szCs w:val="18"/>
              </w:rPr>
              <w:t>及以上</w:t>
            </w:r>
          </w:p>
        </w:tc>
      </w:tr>
      <w:tr w:rsidR="008C4D74" w:rsidRPr="00906902" w:rsidTr="008D10E8">
        <w:trPr>
          <w:trHeight w:val="340"/>
          <w:jc w:val="center"/>
        </w:trPr>
        <w:tc>
          <w:tcPr>
            <w:tcW w:w="1325" w:type="dxa"/>
            <w:vAlign w:val="center"/>
            <w:hideMark/>
          </w:tcPr>
          <w:p w:rsidR="008C4D74" w:rsidRPr="00906902" w:rsidRDefault="008C4D74" w:rsidP="008D10E8">
            <w:pPr>
              <w:jc w:val="center"/>
              <w:rPr>
                <w:rFonts w:ascii="宋体" w:hAnsi="宋体"/>
                <w:color w:val="000000" w:themeColor="text1"/>
                <w:sz w:val="18"/>
                <w:szCs w:val="18"/>
              </w:rPr>
            </w:pPr>
            <w:r>
              <w:rPr>
                <w:rFonts w:ascii="宋体" w:hAnsi="宋体" w:hint="eastAsia"/>
                <w:color w:val="000000" w:themeColor="text1"/>
                <w:sz w:val="18"/>
                <w:szCs w:val="18"/>
              </w:rPr>
              <w:t>进取型（</w:t>
            </w:r>
            <w:r w:rsidRPr="00906902">
              <w:rPr>
                <w:rFonts w:ascii="宋体" w:hAnsi="宋体" w:hint="eastAsia"/>
                <w:color w:val="000000" w:themeColor="text1"/>
                <w:sz w:val="18"/>
                <w:szCs w:val="18"/>
              </w:rPr>
              <w:t>R5</w:t>
            </w:r>
            <w:r>
              <w:rPr>
                <w:rFonts w:ascii="宋体" w:hAnsi="宋体" w:hint="eastAsia"/>
                <w:color w:val="000000" w:themeColor="text1"/>
                <w:sz w:val="18"/>
                <w:szCs w:val="18"/>
              </w:rPr>
              <w:t>）</w:t>
            </w:r>
          </w:p>
        </w:tc>
        <w:tc>
          <w:tcPr>
            <w:tcW w:w="5311"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产品本金风险很大，收益浮动且波动很大。产品结构较复杂，过往业绩及净值的历史波动率高；或者投资标的流动性较差或为低等级的信用主体，期限较长；或者投资衍生品以追求收益为目的，衍生品及杠杆交易对净值波动很大；估值政策较复杂。投资者要</w:t>
            </w:r>
            <w:proofErr w:type="gramStart"/>
            <w:r>
              <w:rPr>
                <w:rFonts w:ascii="宋体" w:hAnsi="宋体" w:hint="eastAsia"/>
                <w:color w:val="000000" w:themeColor="text1"/>
                <w:sz w:val="18"/>
                <w:szCs w:val="18"/>
              </w:rPr>
              <w:t>作出</w:t>
            </w:r>
            <w:proofErr w:type="gramEnd"/>
            <w:r>
              <w:rPr>
                <w:rFonts w:ascii="宋体" w:hAnsi="宋体" w:hint="eastAsia"/>
                <w:color w:val="000000" w:themeColor="text1"/>
                <w:sz w:val="18"/>
                <w:szCs w:val="18"/>
              </w:rPr>
              <w:t>谨慎的产品选择，积极的关注相关风险。</w:t>
            </w:r>
          </w:p>
        </w:tc>
        <w:tc>
          <w:tcPr>
            <w:tcW w:w="1713"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进取型（</w:t>
            </w:r>
            <w:r w:rsidRPr="00906902">
              <w:rPr>
                <w:rFonts w:ascii="宋体" w:hAnsi="宋体" w:hint="eastAsia"/>
                <w:color w:val="000000" w:themeColor="text1"/>
                <w:sz w:val="18"/>
                <w:szCs w:val="18"/>
              </w:rPr>
              <w:t>C5</w:t>
            </w:r>
            <w:r>
              <w:rPr>
                <w:rFonts w:ascii="宋体" w:hAnsi="宋体" w:hint="eastAsia"/>
                <w:color w:val="000000" w:themeColor="text1"/>
                <w:sz w:val="18"/>
                <w:szCs w:val="18"/>
              </w:rPr>
              <w:t>）</w:t>
            </w:r>
            <w:r w:rsidRPr="00906902">
              <w:rPr>
                <w:rFonts w:ascii="宋体" w:hAnsi="宋体" w:hint="eastAsia"/>
                <w:color w:val="000000" w:themeColor="text1"/>
                <w:sz w:val="18"/>
                <w:szCs w:val="18"/>
              </w:rPr>
              <w:t>及以上</w:t>
            </w:r>
          </w:p>
        </w:tc>
      </w:tr>
      <w:tr w:rsidR="008C4D74" w:rsidRPr="00906902" w:rsidTr="008D10E8">
        <w:trPr>
          <w:trHeight w:val="340"/>
          <w:jc w:val="center"/>
        </w:trPr>
        <w:tc>
          <w:tcPr>
            <w:tcW w:w="1325" w:type="dxa"/>
            <w:vAlign w:val="center"/>
            <w:hideMark/>
          </w:tcPr>
          <w:p w:rsidR="008C4D74" w:rsidRPr="00906902" w:rsidRDefault="008C4D74" w:rsidP="008D10E8">
            <w:pPr>
              <w:jc w:val="center"/>
              <w:rPr>
                <w:rFonts w:ascii="宋体" w:hAnsi="宋体"/>
                <w:color w:val="000000" w:themeColor="text1"/>
                <w:sz w:val="18"/>
                <w:szCs w:val="18"/>
              </w:rPr>
            </w:pPr>
            <w:r>
              <w:rPr>
                <w:rFonts w:ascii="宋体" w:hAnsi="宋体" w:hint="eastAsia"/>
                <w:color w:val="000000" w:themeColor="text1"/>
                <w:sz w:val="18"/>
                <w:szCs w:val="18"/>
              </w:rPr>
              <w:t>激进型（</w:t>
            </w:r>
            <w:r w:rsidRPr="00906902">
              <w:rPr>
                <w:rFonts w:ascii="宋体" w:hAnsi="宋体" w:hint="eastAsia"/>
                <w:color w:val="000000" w:themeColor="text1"/>
                <w:sz w:val="18"/>
                <w:szCs w:val="18"/>
              </w:rPr>
              <w:t>R6</w:t>
            </w:r>
            <w:r>
              <w:rPr>
                <w:rFonts w:ascii="宋体" w:hAnsi="宋体" w:hint="eastAsia"/>
                <w:color w:val="000000" w:themeColor="text1"/>
                <w:sz w:val="18"/>
                <w:szCs w:val="18"/>
              </w:rPr>
              <w:t>）</w:t>
            </w:r>
          </w:p>
        </w:tc>
        <w:tc>
          <w:tcPr>
            <w:tcW w:w="5311"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产品本金风险极大，收益浮动且波动极大。产品结构复杂，过往业绩及净值的历史波动率很高；或者投资标的流动性很差或为极低等级的信用主体，期限很长；或者投资衍生品以追求收益为目的，衍生品及杠杆交易对净值波动极大；估值政策非常复杂。投资者需要非常谨慎的产品选择、十分积极的关注相关风险。</w:t>
            </w:r>
          </w:p>
        </w:tc>
        <w:tc>
          <w:tcPr>
            <w:tcW w:w="1713" w:type="dxa"/>
            <w:vAlign w:val="center"/>
            <w:hideMark/>
          </w:tcPr>
          <w:p w:rsidR="008C4D74" w:rsidRPr="00906902" w:rsidRDefault="008C4D74" w:rsidP="008D10E8">
            <w:pPr>
              <w:rPr>
                <w:rFonts w:ascii="宋体" w:hAnsi="宋体"/>
                <w:color w:val="000000" w:themeColor="text1"/>
                <w:sz w:val="18"/>
                <w:szCs w:val="18"/>
              </w:rPr>
            </w:pPr>
            <w:r>
              <w:rPr>
                <w:rFonts w:ascii="宋体" w:hAnsi="宋体" w:hint="eastAsia"/>
                <w:color w:val="000000" w:themeColor="text1"/>
                <w:sz w:val="18"/>
                <w:szCs w:val="18"/>
              </w:rPr>
              <w:t>激进型（</w:t>
            </w:r>
            <w:r w:rsidRPr="00906902">
              <w:rPr>
                <w:rFonts w:ascii="宋体" w:hAnsi="宋体" w:hint="eastAsia"/>
                <w:color w:val="000000" w:themeColor="text1"/>
                <w:sz w:val="18"/>
                <w:szCs w:val="18"/>
              </w:rPr>
              <w:t>C6</w:t>
            </w:r>
            <w:r>
              <w:rPr>
                <w:rFonts w:ascii="宋体" w:hAnsi="宋体" w:hint="eastAsia"/>
                <w:color w:val="000000" w:themeColor="text1"/>
                <w:sz w:val="18"/>
                <w:szCs w:val="18"/>
              </w:rPr>
              <w:t>）</w:t>
            </w:r>
            <w:r w:rsidRPr="00906902">
              <w:rPr>
                <w:rFonts w:ascii="宋体" w:hAnsi="宋体" w:hint="eastAsia"/>
                <w:color w:val="000000" w:themeColor="text1"/>
                <w:sz w:val="18"/>
                <w:szCs w:val="18"/>
              </w:rPr>
              <w:t xml:space="preserve"> </w:t>
            </w:r>
          </w:p>
        </w:tc>
      </w:tr>
    </w:tbl>
    <w:p w:rsidR="008C4D74" w:rsidRDefault="008C4D74" w:rsidP="008C4D74">
      <w:pPr>
        <w:ind w:firstLineChars="200" w:firstLine="360"/>
        <w:rPr>
          <w:rFonts w:ascii="黑体" w:eastAsia="黑体" w:hAnsi="黑体"/>
          <w:sz w:val="18"/>
          <w:szCs w:val="18"/>
        </w:rPr>
      </w:pPr>
      <w:r>
        <w:rPr>
          <w:rFonts w:ascii="黑体" w:eastAsia="黑体" w:hAnsi="黑体" w:cs="仿宋_GB2312" w:hint="eastAsia"/>
          <w:bCs/>
          <w:kern w:val="0"/>
          <w:sz w:val="18"/>
          <w:szCs w:val="18"/>
        </w:rPr>
        <w:t>★</w:t>
      </w:r>
      <w:r>
        <w:rPr>
          <w:rFonts w:ascii="黑体" w:eastAsia="黑体" w:hAnsi="黑体" w:hint="eastAsia"/>
          <w:sz w:val="18"/>
          <w:szCs w:val="18"/>
        </w:rPr>
        <w:t>（二）针对“理财产品风险评级”、 “投资者风险承受能力”、“适合投资者类型”的不同划分与表述的特别提示</w:t>
      </w:r>
    </w:p>
    <w:p w:rsidR="008C4D74" w:rsidRDefault="008C4D74" w:rsidP="008C4D74">
      <w:pPr>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w:t>
      </w:r>
      <w:r>
        <w:rPr>
          <w:rFonts w:ascii="黑体" w:eastAsia="黑体" w:hAnsi="黑体" w:hint="eastAsia"/>
          <w:sz w:val="18"/>
          <w:szCs w:val="18"/>
        </w:rPr>
        <w:t>销售机构在销售本产品时，其对“理财产品风险评级”、“投资者风险承受能力”、“适合投资者类型”等级的划分与表述可能与产品管理人存在差异，即采用销售机构设置的标准。</w:t>
      </w:r>
    </w:p>
    <w:p w:rsidR="008C4D74" w:rsidRDefault="008C4D74" w:rsidP="008C4D74">
      <w:pPr>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销售机构应以书面的方式向投资者明示其对“理财产品风险评级”、“投资者风险承受能力等级”的划分与“适合投资者类型”的表述。</w:t>
      </w:r>
    </w:p>
    <w:p w:rsidR="008C4D74" w:rsidRDefault="008C4D74" w:rsidP="008C4D74">
      <w:pPr>
        <w:ind w:firstLineChars="200" w:firstLine="361"/>
        <w:rPr>
          <w:rFonts w:ascii="宋体" w:hAnsi="宋体"/>
          <w:b/>
          <w:sz w:val="18"/>
          <w:szCs w:val="18"/>
        </w:rPr>
      </w:pPr>
      <w:r>
        <w:rPr>
          <w:rFonts w:ascii="宋体" w:hAnsi="宋体" w:hint="eastAsia"/>
          <w:b/>
          <w:sz w:val="18"/>
          <w:szCs w:val="18"/>
        </w:rPr>
        <w:t>三、关于理财产品的信息披露</w:t>
      </w:r>
    </w:p>
    <w:p w:rsidR="008C4D74" w:rsidRDefault="008C4D74" w:rsidP="008C4D74">
      <w:pPr>
        <w:ind w:firstLineChars="200" w:firstLine="360"/>
        <w:rPr>
          <w:rFonts w:asciiTheme="minorEastAsia" w:hAnsiTheme="minorEastAsia"/>
          <w:sz w:val="18"/>
          <w:szCs w:val="18"/>
        </w:rPr>
      </w:pPr>
      <w:r>
        <w:rPr>
          <w:rFonts w:asciiTheme="minorEastAsia" w:hAnsiTheme="minorEastAsia" w:hint="eastAsia"/>
          <w:sz w:val="18"/>
          <w:szCs w:val="18"/>
        </w:rPr>
        <w:t>理财产品的信息披露将通过兴业银行</w:t>
      </w:r>
      <w:r>
        <w:rPr>
          <w:rFonts w:asciiTheme="minorEastAsia" w:hAnsiTheme="minorEastAsia"/>
          <w:sz w:val="18"/>
          <w:szCs w:val="18"/>
        </w:rPr>
        <w:t>或</w:t>
      </w:r>
      <w:r>
        <w:rPr>
          <w:rFonts w:asciiTheme="minorEastAsia" w:hAnsiTheme="minorEastAsia" w:hint="eastAsia"/>
          <w:sz w:val="18"/>
          <w:szCs w:val="18"/>
        </w:rPr>
        <w:t>销售机构</w:t>
      </w:r>
      <w:r>
        <w:rPr>
          <w:rFonts w:ascii="宋体" w:hAnsi="宋体" w:hint="eastAsia"/>
          <w:bCs/>
          <w:sz w:val="18"/>
          <w:szCs w:val="18"/>
        </w:rPr>
        <w:t>的信息披露渠道（包括但不限于兴业</w:t>
      </w:r>
      <w:r>
        <w:rPr>
          <w:rFonts w:ascii="宋体" w:hAnsi="宋体"/>
          <w:bCs/>
          <w:sz w:val="18"/>
          <w:szCs w:val="18"/>
        </w:rPr>
        <w:t>银</w:t>
      </w:r>
      <w:r>
        <w:rPr>
          <w:rFonts w:ascii="宋体" w:hAnsi="宋体" w:hint="eastAsia"/>
          <w:bCs/>
          <w:sz w:val="18"/>
          <w:szCs w:val="18"/>
        </w:rPr>
        <w:t>行或销售机构的营业网点、门户网站、电子销售渠道等）进行。</w:t>
      </w:r>
      <w:r>
        <w:rPr>
          <w:rFonts w:asciiTheme="minorEastAsia" w:hAnsiTheme="minorEastAsia"/>
          <w:sz w:val="18"/>
          <w:szCs w:val="18"/>
        </w:rPr>
        <w:t>具体</w:t>
      </w:r>
      <w:r>
        <w:rPr>
          <w:rFonts w:asciiTheme="minorEastAsia" w:hAnsiTheme="minorEastAsia" w:hint="eastAsia"/>
          <w:sz w:val="18"/>
          <w:szCs w:val="18"/>
        </w:rPr>
        <w:t>信息披露条款</w:t>
      </w:r>
      <w:r>
        <w:rPr>
          <w:rFonts w:asciiTheme="minorEastAsia" w:hAnsiTheme="minorEastAsia"/>
          <w:sz w:val="18"/>
          <w:szCs w:val="18"/>
        </w:rPr>
        <w:t>以《产品说明书》中“信息披露</w:t>
      </w:r>
      <w:r>
        <w:rPr>
          <w:rFonts w:asciiTheme="minorEastAsia" w:hAnsiTheme="minorEastAsia" w:hint="eastAsia"/>
          <w:sz w:val="18"/>
          <w:szCs w:val="18"/>
        </w:rPr>
        <w:t>”约定为准。</w:t>
      </w:r>
    </w:p>
    <w:p w:rsidR="008C4D74" w:rsidRDefault="008C4D74" w:rsidP="008C4D74">
      <w:pPr>
        <w:ind w:firstLineChars="200" w:firstLine="361"/>
        <w:rPr>
          <w:rFonts w:asciiTheme="minorEastAsia" w:hAnsiTheme="minorEastAsia"/>
          <w:b/>
          <w:sz w:val="18"/>
          <w:szCs w:val="18"/>
        </w:rPr>
      </w:pPr>
      <w:r>
        <w:rPr>
          <w:rFonts w:ascii="宋体" w:hAnsi="宋体" w:hint="eastAsia"/>
          <w:b/>
          <w:sz w:val="18"/>
          <w:szCs w:val="18"/>
        </w:rPr>
        <w:t>四、关于投诉与建议</w:t>
      </w:r>
    </w:p>
    <w:p w:rsidR="008C4D74" w:rsidRDefault="008C4D74" w:rsidP="008C4D74">
      <w:pPr>
        <w:ind w:firstLineChars="200" w:firstLine="360"/>
        <w:rPr>
          <w:rFonts w:ascii="宋体" w:hAnsi="宋体"/>
          <w:sz w:val="18"/>
          <w:szCs w:val="18"/>
        </w:rPr>
      </w:pPr>
      <w:r>
        <w:rPr>
          <w:rFonts w:ascii="宋体" w:hAnsi="宋体" w:hint="eastAsia"/>
          <w:sz w:val="18"/>
          <w:szCs w:val="18"/>
        </w:rPr>
        <w:t>（一）</w:t>
      </w:r>
      <w:r>
        <w:rPr>
          <w:rFonts w:asciiTheme="minorEastAsia" w:hAnsiTheme="minorEastAsia" w:hint="eastAsia"/>
          <w:sz w:val="18"/>
          <w:szCs w:val="18"/>
        </w:rPr>
        <w:t>您对本产品有任何意见或异议，可向产品管理人或</w:t>
      </w:r>
      <w:r>
        <w:rPr>
          <w:rFonts w:ascii="宋体" w:hAnsi="宋体" w:hint="eastAsia"/>
          <w:sz w:val="18"/>
          <w:szCs w:val="18"/>
        </w:rPr>
        <w:t>销售机构</w:t>
      </w:r>
      <w:r>
        <w:rPr>
          <w:rFonts w:asciiTheme="minorEastAsia" w:hAnsiTheme="minorEastAsia" w:hint="eastAsia"/>
          <w:sz w:val="18"/>
          <w:szCs w:val="18"/>
        </w:rPr>
        <w:t>反馈</w:t>
      </w:r>
      <w:r>
        <w:rPr>
          <w:rFonts w:ascii="宋体" w:hAnsi="宋体" w:hint="eastAsia"/>
          <w:sz w:val="18"/>
          <w:szCs w:val="18"/>
        </w:rPr>
        <w:t>，产品管理人或销售机构将由专人接听、记录您的意见或建议，并由各方协商共同解决。</w:t>
      </w:r>
    </w:p>
    <w:p w:rsidR="008C4D74" w:rsidRDefault="008C4D74" w:rsidP="008C4D74">
      <w:pPr>
        <w:ind w:firstLineChars="200" w:firstLine="360"/>
        <w:rPr>
          <w:rFonts w:ascii="宋体" w:hAnsi="宋体"/>
          <w:sz w:val="18"/>
          <w:szCs w:val="18"/>
        </w:rPr>
      </w:pPr>
      <w:r>
        <w:rPr>
          <w:rFonts w:ascii="宋体" w:hAnsi="宋体" w:hint="eastAsia"/>
          <w:sz w:val="18"/>
          <w:szCs w:val="18"/>
        </w:rPr>
        <w:t>（二）联络方式</w:t>
      </w:r>
      <w:r>
        <w:rPr>
          <w:rFonts w:ascii="宋体" w:hAnsi="宋体"/>
          <w:sz w:val="18"/>
          <w:szCs w:val="18"/>
        </w:rPr>
        <w:t xml:space="preserve"> </w:t>
      </w:r>
    </w:p>
    <w:p w:rsidR="008C4D74" w:rsidRDefault="008C4D74" w:rsidP="008C4D74">
      <w:pPr>
        <w:ind w:firstLineChars="200" w:firstLine="360"/>
        <w:rPr>
          <w:rFonts w:ascii="宋体" w:hAnsi="宋体"/>
          <w:sz w:val="18"/>
          <w:szCs w:val="18"/>
        </w:rPr>
      </w:pPr>
      <w:r>
        <w:rPr>
          <w:rFonts w:ascii="宋体" w:hAnsi="宋体" w:hint="eastAsia"/>
          <w:sz w:val="18"/>
          <w:szCs w:val="18"/>
        </w:rPr>
        <w:t>兴银理财客户服务热线：40015-95561。</w:t>
      </w:r>
    </w:p>
    <w:p w:rsidR="008C4D74" w:rsidRDefault="008C4D74" w:rsidP="008C4D74">
      <w:pPr>
        <w:spacing w:line="280" w:lineRule="atLeast"/>
        <w:ind w:firstLineChars="200" w:firstLine="360"/>
        <w:rPr>
          <w:rFonts w:ascii="宋体" w:hAnsi="宋体"/>
          <w:sz w:val="18"/>
          <w:szCs w:val="18"/>
        </w:rPr>
      </w:pPr>
      <w:r>
        <w:rPr>
          <w:rFonts w:ascii="宋体" w:hAnsi="宋体"/>
          <w:sz w:val="18"/>
          <w:szCs w:val="18"/>
        </w:rPr>
        <w:t>通过</w:t>
      </w:r>
      <w:r>
        <w:rPr>
          <w:rFonts w:ascii="宋体" w:hAnsi="宋体" w:hint="eastAsia"/>
          <w:sz w:val="18"/>
          <w:szCs w:val="18"/>
        </w:rPr>
        <w:t>兴业银行（作为销售机构）购</w:t>
      </w:r>
      <w:r>
        <w:rPr>
          <w:rFonts w:ascii="宋体" w:hAnsi="宋体"/>
          <w:sz w:val="18"/>
          <w:szCs w:val="18"/>
        </w:rPr>
        <w:t>买本产品的请联系兴业银行</w:t>
      </w:r>
      <w:r>
        <w:rPr>
          <w:rFonts w:ascii="宋体" w:hAnsi="宋体" w:hint="eastAsia"/>
          <w:sz w:val="18"/>
          <w:szCs w:val="18"/>
        </w:rPr>
        <w:t>，兴业银行客户服务热线：【</w:t>
      </w:r>
      <w:r>
        <w:rPr>
          <w:rFonts w:asciiTheme="minorEastAsia" w:hAnsiTheme="minorEastAsia"/>
          <w:sz w:val="18"/>
          <w:szCs w:val="18"/>
        </w:rPr>
        <w:t>95561</w:t>
      </w:r>
      <w:r>
        <w:rPr>
          <w:rFonts w:ascii="宋体" w:hAnsi="宋体" w:hint="eastAsia"/>
          <w:sz w:val="18"/>
          <w:szCs w:val="18"/>
        </w:rPr>
        <w:t>】；兴业银行门户网站：【</w:t>
      </w:r>
      <w:r>
        <w:rPr>
          <w:rFonts w:asciiTheme="minorEastAsia" w:hAnsiTheme="minorEastAsia"/>
          <w:sz w:val="18"/>
          <w:szCs w:val="18"/>
        </w:rPr>
        <w:t>www.cib.com.cn</w:t>
      </w:r>
      <w:r>
        <w:rPr>
          <w:rFonts w:ascii="宋体" w:hAnsi="宋体" w:hint="eastAsia"/>
          <w:sz w:val="18"/>
          <w:szCs w:val="18"/>
        </w:rPr>
        <w:t>】。</w:t>
      </w:r>
    </w:p>
    <w:p w:rsidR="008C4D74" w:rsidRDefault="008C4D74" w:rsidP="008C4D74">
      <w:pPr>
        <w:ind w:firstLineChars="200" w:firstLine="360"/>
        <w:rPr>
          <w:rFonts w:ascii="宋体" w:hAnsi="宋体"/>
          <w:sz w:val="18"/>
          <w:szCs w:val="18"/>
        </w:rPr>
      </w:pPr>
      <w:r>
        <w:rPr>
          <w:rFonts w:ascii="宋体" w:hAnsi="宋体" w:hint="eastAsia"/>
          <w:sz w:val="18"/>
          <w:szCs w:val="18"/>
        </w:rPr>
        <w:t>通过【        】（作为销售机构）购买本产品的，请联系【            】，【          】客户服务热线：【           】；【          】门户网站：【                  】。</w:t>
      </w:r>
    </w:p>
    <w:p w:rsidR="008C4D74" w:rsidRDefault="008C4D74" w:rsidP="008C4D74">
      <w:pPr>
        <w:autoSpaceDE w:val="0"/>
        <w:autoSpaceDN w:val="0"/>
        <w:adjustRightInd w:val="0"/>
        <w:jc w:val="left"/>
        <w:rPr>
          <w:rFonts w:ascii="仿宋_GB2312" w:eastAsia="仿宋_GB2312" w:cs="仿宋_GB2312"/>
          <w:color w:val="000000"/>
          <w:kern w:val="0"/>
          <w:sz w:val="24"/>
          <w:szCs w:val="24"/>
        </w:rPr>
      </w:pPr>
    </w:p>
    <w:p w:rsidR="008C4D74" w:rsidRDefault="008C4D74" w:rsidP="008C4D74">
      <w:pPr>
        <w:autoSpaceDE w:val="0"/>
        <w:autoSpaceDN w:val="0"/>
        <w:adjustRightInd w:val="0"/>
        <w:jc w:val="left"/>
        <w:rPr>
          <w:rFonts w:ascii="仿宋_GB2312" w:eastAsia="仿宋_GB2312" w:cs="仿宋_GB2312"/>
          <w:color w:val="000000"/>
          <w:kern w:val="0"/>
          <w:sz w:val="24"/>
          <w:szCs w:val="24"/>
        </w:rPr>
      </w:pPr>
    </w:p>
    <w:p w:rsidR="008C4D74" w:rsidRDefault="008C4D74" w:rsidP="008C4D74">
      <w:pPr>
        <w:jc w:val="right"/>
        <w:rPr>
          <w:rFonts w:ascii="宋体" w:hAnsi="宋体"/>
          <w:sz w:val="18"/>
          <w:szCs w:val="18"/>
        </w:rPr>
      </w:pPr>
    </w:p>
    <w:p w:rsidR="008C4D74" w:rsidRDefault="008C4D74" w:rsidP="008C4D74">
      <w:pPr>
        <w:ind w:rightChars="40" w:right="84"/>
        <w:jc w:val="right"/>
        <w:rPr>
          <w:rFonts w:ascii="宋体" w:hAnsi="宋体"/>
          <w:sz w:val="18"/>
          <w:szCs w:val="18"/>
        </w:rPr>
      </w:pPr>
      <w:r>
        <w:rPr>
          <w:rFonts w:ascii="宋体" w:hAnsi="宋体"/>
          <w:sz w:val="18"/>
          <w:szCs w:val="18"/>
        </w:rPr>
        <w:t xml:space="preserve"> </w:t>
      </w:r>
    </w:p>
    <w:p w:rsidR="008C4D74" w:rsidRDefault="008C4D74" w:rsidP="008C4D74">
      <w:pPr>
        <w:widowControl/>
        <w:jc w:val="left"/>
        <w:rPr>
          <w:rFonts w:ascii="宋体" w:hAnsi="宋体"/>
          <w:b/>
          <w:sz w:val="28"/>
          <w:szCs w:val="28"/>
        </w:rPr>
      </w:pPr>
      <w:r>
        <w:rPr>
          <w:rFonts w:ascii="宋体" w:hAnsi="宋体"/>
          <w:b/>
          <w:sz w:val="28"/>
          <w:szCs w:val="28"/>
        </w:rPr>
        <w:br w:type="page"/>
      </w:r>
    </w:p>
    <w:p w:rsidR="008C4D74" w:rsidRDefault="008C4D74" w:rsidP="008C4D74">
      <w:pPr>
        <w:adjustRightInd w:val="0"/>
        <w:spacing w:line="280" w:lineRule="atLeast"/>
        <w:jc w:val="center"/>
        <w:rPr>
          <w:rStyle w:val="a6"/>
          <w:rFonts w:ascii="黑体" w:eastAsia="黑体" w:hAnsi="黑体"/>
          <w:sz w:val="28"/>
          <w:szCs w:val="28"/>
        </w:rPr>
      </w:pPr>
      <w:r>
        <w:rPr>
          <w:rStyle w:val="a6"/>
          <w:rFonts w:ascii="黑体" w:eastAsia="黑体" w:hAnsi="黑体" w:hint="eastAsia"/>
          <w:sz w:val="28"/>
          <w:szCs w:val="28"/>
        </w:rPr>
        <w:lastRenderedPageBreak/>
        <w:t>兴银理财天天万利</w:t>
      </w:r>
      <w:proofErr w:type="gramStart"/>
      <w:r>
        <w:rPr>
          <w:rStyle w:val="a6"/>
          <w:rFonts w:ascii="黑体" w:eastAsia="黑体" w:hAnsi="黑体" w:hint="eastAsia"/>
          <w:sz w:val="28"/>
          <w:szCs w:val="28"/>
        </w:rPr>
        <w:t>宝稳利</w:t>
      </w:r>
      <w:proofErr w:type="gramEnd"/>
      <w:r>
        <w:rPr>
          <w:rStyle w:val="a6"/>
          <w:rFonts w:ascii="黑体" w:eastAsia="黑体" w:hAnsi="黑体" w:hint="eastAsia"/>
          <w:sz w:val="28"/>
          <w:szCs w:val="28"/>
        </w:rPr>
        <w:t>净值型理财产品</w:t>
      </w:r>
    </w:p>
    <w:p w:rsidR="008C4D74" w:rsidRDefault="008C4D74" w:rsidP="008C4D74">
      <w:pPr>
        <w:adjustRightInd w:val="0"/>
        <w:spacing w:line="280" w:lineRule="atLeast"/>
        <w:jc w:val="center"/>
        <w:rPr>
          <w:rStyle w:val="a6"/>
          <w:rFonts w:ascii="黑体" w:eastAsia="黑体" w:hAnsi="黑体"/>
          <w:sz w:val="28"/>
          <w:szCs w:val="28"/>
        </w:rPr>
      </w:pPr>
      <w:r>
        <w:rPr>
          <w:rStyle w:val="a6"/>
          <w:rFonts w:ascii="黑体" w:eastAsia="黑体" w:hAnsi="黑体" w:hint="eastAsia"/>
          <w:sz w:val="28"/>
          <w:szCs w:val="28"/>
        </w:rPr>
        <w:t>投资者权益须知</w:t>
      </w:r>
    </w:p>
    <w:p w:rsidR="008C4D74" w:rsidRDefault="008C4D74" w:rsidP="008C4D74">
      <w:pPr>
        <w:pStyle w:val="Default"/>
        <w:spacing w:line="280" w:lineRule="atLeast"/>
        <w:jc w:val="center"/>
        <w:rPr>
          <w:rFonts w:hAnsi="宋体"/>
          <w:b/>
          <w:color w:val="auto"/>
          <w:sz w:val="28"/>
          <w:szCs w:val="28"/>
        </w:rPr>
      </w:pPr>
      <w:r>
        <w:rPr>
          <w:rFonts w:hAnsi="宋体" w:hint="eastAsia"/>
          <w:b/>
          <w:color w:val="auto"/>
          <w:sz w:val="28"/>
          <w:szCs w:val="28"/>
        </w:rPr>
        <w:t>（适用于机构投资者：</w:t>
      </w:r>
      <w:r>
        <w:rPr>
          <w:rFonts w:hAnsi="宋体"/>
          <w:b/>
          <w:color w:val="auto"/>
          <w:sz w:val="28"/>
          <w:szCs w:val="28"/>
        </w:rPr>
        <w:t>一般机构客户</w:t>
      </w:r>
      <w:r>
        <w:rPr>
          <w:rFonts w:hAnsi="宋体" w:hint="eastAsia"/>
          <w:b/>
          <w:color w:val="auto"/>
          <w:sz w:val="28"/>
          <w:szCs w:val="28"/>
        </w:rPr>
        <w:t>）</w:t>
      </w:r>
    </w:p>
    <w:p w:rsidR="008C4D74" w:rsidRDefault="008C4D74" w:rsidP="008C4D74">
      <w:pPr>
        <w:spacing w:line="280" w:lineRule="atLeast"/>
        <w:rPr>
          <w:rFonts w:ascii="宋体" w:hAnsi="宋体"/>
          <w:b/>
          <w:sz w:val="18"/>
          <w:szCs w:val="18"/>
        </w:rPr>
      </w:pPr>
      <w:r>
        <w:rPr>
          <w:rFonts w:ascii="宋体" w:hAnsi="宋体" w:hint="eastAsia"/>
          <w:b/>
          <w:sz w:val="18"/>
          <w:szCs w:val="18"/>
        </w:rPr>
        <w:t>尊敬的投资者：</w:t>
      </w:r>
    </w:p>
    <w:p w:rsidR="008C4D74" w:rsidRDefault="008C4D74" w:rsidP="008C4D74">
      <w:pPr>
        <w:spacing w:line="320" w:lineRule="exact"/>
        <w:ind w:firstLineChars="200" w:firstLine="360"/>
        <w:jc w:val="left"/>
        <w:rPr>
          <w:rFonts w:ascii="宋体" w:hAnsi="宋体"/>
          <w:sz w:val="18"/>
          <w:szCs w:val="18"/>
        </w:rPr>
      </w:pPr>
      <w:r>
        <w:rPr>
          <w:rFonts w:ascii="宋体" w:hAnsi="宋体" w:hint="eastAsia"/>
          <w:sz w:val="18"/>
          <w:szCs w:val="18"/>
        </w:rPr>
        <w:t>感谢您通过销售机构【  】以(□ 直销：产品管理人销售/</w:t>
      </w:r>
      <w:r>
        <w:rPr>
          <w:rFonts w:asciiTheme="majorEastAsia" w:eastAsiaTheme="majorEastAsia" w:hAnsiTheme="majorEastAsia" w:hint="eastAsia"/>
          <w:bCs/>
          <w:color w:val="000000" w:themeColor="text1"/>
          <w:sz w:val="18"/>
          <w:szCs w:val="18"/>
        </w:rPr>
        <w:t>■</w:t>
      </w:r>
      <w:r>
        <w:rPr>
          <w:rFonts w:ascii="宋体" w:hAnsi="宋体" w:hint="eastAsia"/>
          <w:sz w:val="18"/>
          <w:szCs w:val="18"/>
        </w:rPr>
        <w:t xml:space="preserve"> 代销：代理销售机构销售)的形式购买兴银理财有限责任公司（以下简称“兴银理财”）作为产品管理人管理的理财产品。</w:t>
      </w:r>
    </w:p>
    <w:p w:rsidR="008C4D74" w:rsidRDefault="008C4D74" w:rsidP="008C4D74">
      <w:pPr>
        <w:spacing w:line="320" w:lineRule="exact"/>
        <w:ind w:firstLineChars="200" w:firstLine="360"/>
        <w:jc w:val="left"/>
        <w:rPr>
          <w:rFonts w:ascii="宋体" w:hAnsi="宋体"/>
          <w:sz w:val="18"/>
          <w:szCs w:val="18"/>
        </w:rPr>
      </w:pPr>
      <w:r>
        <w:rPr>
          <w:rFonts w:ascii="宋体" w:hAnsi="宋体" w:hint="eastAsia"/>
          <w:sz w:val="18"/>
          <w:szCs w:val="18"/>
        </w:rPr>
        <w:t>请仔细阅读本《投资者权益须知》，行使您在本业务项下的权益。</w:t>
      </w:r>
      <w:r>
        <w:rPr>
          <w:rFonts w:ascii="宋体" w:hAnsi="宋体"/>
          <w:sz w:val="18"/>
          <w:szCs w:val="18"/>
        </w:rPr>
        <w:t xml:space="preserve"> </w:t>
      </w:r>
    </w:p>
    <w:p w:rsidR="008C4D74" w:rsidRDefault="008C4D74" w:rsidP="008C4D74">
      <w:pPr>
        <w:spacing w:line="280" w:lineRule="atLeast"/>
        <w:ind w:firstLineChars="200" w:firstLine="360"/>
        <w:rPr>
          <w:rFonts w:ascii="宋体" w:hAnsi="宋体"/>
          <w:sz w:val="18"/>
          <w:szCs w:val="18"/>
        </w:rPr>
      </w:pPr>
    </w:p>
    <w:p w:rsidR="008C4D74" w:rsidRDefault="008C4D74" w:rsidP="008C4D74">
      <w:pPr>
        <w:spacing w:line="280" w:lineRule="atLeast"/>
        <w:ind w:firstLineChars="200" w:firstLine="361"/>
        <w:rPr>
          <w:rFonts w:ascii="宋体" w:hAnsi="宋体"/>
          <w:b/>
          <w:sz w:val="18"/>
          <w:szCs w:val="18"/>
        </w:rPr>
      </w:pPr>
      <w:r>
        <w:rPr>
          <w:rFonts w:ascii="宋体" w:hAnsi="宋体" w:hint="eastAsia"/>
          <w:b/>
          <w:sz w:val="18"/>
          <w:szCs w:val="18"/>
        </w:rPr>
        <w:t>一、理财产品购买流程</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（一）</w:t>
      </w:r>
      <w:r>
        <w:rPr>
          <w:rFonts w:ascii="宋体" w:hAnsi="宋体"/>
          <w:sz w:val="18"/>
          <w:szCs w:val="18"/>
        </w:rPr>
        <w:t>开立或持有</w:t>
      </w:r>
      <w:r>
        <w:rPr>
          <w:rFonts w:ascii="宋体" w:hAnsi="宋体" w:hint="eastAsia"/>
          <w:sz w:val="18"/>
          <w:szCs w:val="18"/>
        </w:rPr>
        <w:t>销售机构</w:t>
      </w:r>
      <w:r>
        <w:rPr>
          <w:rFonts w:ascii="宋体" w:hAnsi="宋体"/>
          <w:sz w:val="18"/>
          <w:szCs w:val="18"/>
        </w:rPr>
        <w:t>账户，该账户用于本产品的理财资金划转及</w:t>
      </w:r>
      <w:r>
        <w:rPr>
          <w:rFonts w:ascii="宋体" w:hAnsi="宋体" w:hint="eastAsia"/>
          <w:sz w:val="18"/>
          <w:szCs w:val="18"/>
        </w:rPr>
        <w:t>分配</w:t>
      </w:r>
      <w:r>
        <w:rPr>
          <w:rFonts w:ascii="宋体" w:hAnsi="宋体"/>
          <w:sz w:val="18"/>
          <w:szCs w:val="18"/>
        </w:rPr>
        <w:t>，您应确保持有本产品期间所指定账户不做销户。</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（二）</w:t>
      </w:r>
      <w:r>
        <w:rPr>
          <w:rFonts w:ascii="宋体" w:hAnsi="宋体"/>
          <w:sz w:val="18"/>
          <w:szCs w:val="18"/>
        </w:rPr>
        <w:t>接受并完成</w:t>
      </w:r>
      <w:r>
        <w:rPr>
          <w:rFonts w:ascii="宋体" w:hAnsi="宋体" w:hint="eastAsia"/>
          <w:sz w:val="18"/>
          <w:szCs w:val="18"/>
        </w:rPr>
        <w:t>销售机构</w:t>
      </w:r>
      <w:r>
        <w:rPr>
          <w:rFonts w:ascii="宋体" w:hAnsi="宋体"/>
          <w:sz w:val="18"/>
          <w:szCs w:val="18"/>
        </w:rPr>
        <w:t>对您的风险承受能力评估，并根据风险评估结果选择适合的产品。</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（三）</w:t>
      </w:r>
      <w:r>
        <w:rPr>
          <w:rFonts w:ascii="宋体" w:hAnsi="宋体"/>
          <w:sz w:val="18"/>
          <w:szCs w:val="18"/>
        </w:rPr>
        <w:t>请仔细阅读《</w:t>
      </w:r>
      <w:r>
        <w:rPr>
          <w:rFonts w:ascii="宋体" w:hAnsi="宋体" w:hint="eastAsia"/>
          <w:sz w:val="18"/>
          <w:szCs w:val="18"/>
        </w:rPr>
        <w:t>投资</w:t>
      </w:r>
      <w:r>
        <w:rPr>
          <w:rFonts w:ascii="宋体" w:hAnsi="宋体"/>
          <w:sz w:val="18"/>
          <w:szCs w:val="18"/>
        </w:rPr>
        <w:t>协议书》、《产品说明书》、</w:t>
      </w:r>
      <w:r>
        <w:rPr>
          <w:rFonts w:ascii="宋体" w:hAnsi="宋体" w:hint="eastAsia"/>
          <w:sz w:val="18"/>
          <w:szCs w:val="18"/>
        </w:rPr>
        <w:t>《（代理）销售</w:t>
      </w:r>
      <w:r>
        <w:rPr>
          <w:rFonts w:ascii="宋体" w:hAnsi="宋体"/>
          <w:sz w:val="18"/>
          <w:szCs w:val="18"/>
        </w:rPr>
        <w:t>协议书</w:t>
      </w:r>
      <w:r>
        <w:rPr>
          <w:rFonts w:ascii="宋体" w:hAnsi="宋体" w:hint="eastAsia"/>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rsidR="008C4D74" w:rsidRDefault="008C4D74" w:rsidP="008C4D74">
      <w:pPr>
        <w:spacing w:line="280" w:lineRule="atLeast"/>
        <w:ind w:firstLineChars="200" w:firstLine="361"/>
        <w:rPr>
          <w:rFonts w:ascii="宋体" w:hAnsi="宋体"/>
          <w:b/>
          <w:sz w:val="18"/>
          <w:szCs w:val="18"/>
        </w:rPr>
      </w:pPr>
      <w:r>
        <w:rPr>
          <w:rFonts w:ascii="宋体" w:hAnsi="宋体" w:hint="eastAsia"/>
          <w:b/>
          <w:sz w:val="18"/>
          <w:szCs w:val="18"/>
        </w:rPr>
        <w:t>二、投资者风险承受能力与产品风险评级</w:t>
      </w:r>
    </w:p>
    <w:p w:rsidR="008C4D74" w:rsidRDefault="008C4D74" w:rsidP="008C4D74">
      <w:pPr>
        <w:spacing w:line="280" w:lineRule="atLeast"/>
        <w:ind w:firstLineChars="200" w:firstLine="361"/>
        <w:rPr>
          <w:rFonts w:ascii="宋体" w:hAnsi="宋体"/>
          <w:b/>
          <w:sz w:val="18"/>
          <w:szCs w:val="18"/>
        </w:rPr>
      </w:pPr>
      <w:r>
        <w:rPr>
          <w:rFonts w:ascii="宋体" w:hAnsi="宋体" w:hint="eastAsia"/>
          <w:b/>
          <w:sz w:val="18"/>
          <w:szCs w:val="18"/>
        </w:rPr>
        <w:t>（一）投资者风险承受能力评估说明</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1.</w:t>
      </w:r>
      <w:proofErr w:type="gramStart"/>
      <w:r>
        <w:rPr>
          <w:rFonts w:ascii="宋体" w:hAnsi="宋体" w:hint="eastAsia"/>
          <w:sz w:val="18"/>
          <w:szCs w:val="18"/>
        </w:rPr>
        <w:t>您首次</w:t>
      </w:r>
      <w:proofErr w:type="gramEnd"/>
      <w:r>
        <w:rPr>
          <w:rFonts w:ascii="宋体" w:hAnsi="宋体" w:hint="eastAsia"/>
          <w:sz w:val="18"/>
          <w:szCs w:val="18"/>
        </w:rPr>
        <w:t>购买兴银理财的理财产品前，需要进行风险承受能力评估，填写《机构投资者风险承受能力评估问卷》，理财销售管理系统会记录投资者身份信息及风险评估结果信息。该评估结果有效期一年，并将作为评价您是否适合购买理财产品的重要因素。您可以通过销售机构</w:t>
      </w:r>
      <w:r>
        <w:rPr>
          <w:rFonts w:ascii="宋体" w:hAnsi="宋体"/>
          <w:sz w:val="18"/>
          <w:szCs w:val="18"/>
        </w:rPr>
        <w:t>线下渠道</w:t>
      </w:r>
      <w:r>
        <w:rPr>
          <w:rFonts w:ascii="宋体" w:hAnsi="宋体" w:hint="eastAsia"/>
          <w:sz w:val="18"/>
          <w:szCs w:val="18"/>
        </w:rPr>
        <w:t>或</w:t>
      </w:r>
      <w:r>
        <w:rPr>
          <w:rFonts w:ascii="宋体" w:hAnsi="宋体"/>
          <w:sz w:val="18"/>
          <w:szCs w:val="18"/>
        </w:rPr>
        <w:t>线</w:t>
      </w:r>
      <w:proofErr w:type="gramStart"/>
      <w:r>
        <w:rPr>
          <w:rFonts w:ascii="宋体" w:hAnsi="宋体"/>
          <w:sz w:val="18"/>
          <w:szCs w:val="18"/>
        </w:rPr>
        <w:t>上渠道</w:t>
      </w:r>
      <w:proofErr w:type="gramEnd"/>
      <w:r>
        <w:rPr>
          <w:rFonts w:ascii="宋体" w:hAnsi="宋体" w:hint="eastAsia"/>
          <w:sz w:val="18"/>
          <w:szCs w:val="18"/>
        </w:rPr>
        <w:t>进行风险承受能力持续评估。</w:t>
      </w:r>
      <w:r>
        <w:rPr>
          <w:rFonts w:ascii="宋体" w:hAnsi="宋体" w:hint="eastAsia"/>
          <w:b/>
          <w:sz w:val="18"/>
          <w:szCs w:val="18"/>
        </w:rPr>
        <w:t>如影响</w:t>
      </w:r>
      <w:proofErr w:type="gramStart"/>
      <w:r>
        <w:rPr>
          <w:rFonts w:ascii="宋体" w:hAnsi="宋体" w:hint="eastAsia"/>
          <w:b/>
          <w:sz w:val="18"/>
          <w:szCs w:val="18"/>
        </w:rPr>
        <w:t>您风险</w:t>
      </w:r>
      <w:proofErr w:type="gramEnd"/>
      <w:r>
        <w:rPr>
          <w:rFonts w:ascii="宋体" w:hAnsi="宋体" w:hint="eastAsia"/>
          <w:b/>
          <w:sz w:val="18"/>
          <w:szCs w:val="18"/>
        </w:rPr>
        <w:t>承受能力的因素发生变化，请您及时重新完成风险承受能力评估。</w:t>
      </w:r>
    </w:p>
    <w:p w:rsidR="008C4D74" w:rsidRDefault="008C4D74" w:rsidP="008C4D74">
      <w:pPr>
        <w:ind w:firstLineChars="200" w:firstLine="361"/>
        <w:rPr>
          <w:rFonts w:ascii="宋体" w:hAnsi="宋体"/>
          <w:b/>
          <w:sz w:val="18"/>
          <w:szCs w:val="18"/>
        </w:rPr>
      </w:pPr>
      <w:r>
        <w:rPr>
          <w:rFonts w:ascii="宋体" w:hAnsi="宋体"/>
          <w:b/>
          <w:sz w:val="18"/>
          <w:szCs w:val="18"/>
        </w:rPr>
        <w:t>2</w:t>
      </w:r>
      <w:r>
        <w:rPr>
          <w:rFonts w:ascii="宋体" w:hAnsi="宋体" w:hint="eastAsia"/>
          <w:b/>
          <w:sz w:val="18"/>
          <w:szCs w:val="18"/>
        </w:rPr>
        <w:t>. 投资者风险承受能力评级与理财产品风险评级</w:t>
      </w:r>
    </w:p>
    <w:p w:rsidR="008C4D74" w:rsidRDefault="008C4D74" w:rsidP="008C4D74">
      <w:pPr>
        <w:ind w:firstLineChars="200" w:firstLine="360"/>
        <w:rPr>
          <w:rFonts w:ascii="宋体" w:hAnsi="宋体"/>
          <w:sz w:val="18"/>
          <w:szCs w:val="18"/>
        </w:rPr>
      </w:pPr>
      <w:r>
        <w:rPr>
          <w:rFonts w:ascii="宋体" w:hAnsi="宋体" w:hint="eastAsia"/>
          <w:sz w:val="18"/>
          <w:szCs w:val="18"/>
        </w:rPr>
        <w:t>销售机构</w:t>
      </w:r>
      <w:r>
        <w:rPr>
          <w:rFonts w:ascii="宋体" w:hAnsi="宋体"/>
          <w:sz w:val="18"/>
          <w:szCs w:val="18"/>
        </w:rPr>
        <w:t>根据</w:t>
      </w:r>
      <w:r>
        <w:rPr>
          <w:rFonts w:ascii="宋体" w:hAnsi="宋体" w:hint="eastAsia"/>
          <w:sz w:val="18"/>
          <w:szCs w:val="18"/>
        </w:rPr>
        <w:t>投资者风险承受能力，机构投资者由低至高分为【C1至C5五个等级】</w:t>
      </w:r>
      <w:r>
        <w:rPr>
          <w:rFonts w:ascii="宋体" w:hAnsi="宋体"/>
          <w:sz w:val="18"/>
          <w:szCs w:val="18"/>
        </w:rPr>
        <w:t>。其中，</w:t>
      </w:r>
      <w:r>
        <w:rPr>
          <w:rFonts w:ascii="宋体" w:hAnsi="宋体" w:hint="eastAsia"/>
          <w:sz w:val="18"/>
          <w:szCs w:val="18"/>
        </w:rPr>
        <w:t>【C1】</w:t>
      </w:r>
      <w:r>
        <w:rPr>
          <w:rFonts w:ascii="宋体" w:hAnsi="宋体"/>
          <w:sz w:val="18"/>
          <w:szCs w:val="18"/>
        </w:rPr>
        <w:t>为风险承受能力最低类别，</w:t>
      </w:r>
      <w:r>
        <w:rPr>
          <w:rFonts w:ascii="宋体" w:hAnsi="宋体" w:hint="eastAsia"/>
          <w:sz w:val="18"/>
          <w:szCs w:val="18"/>
        </w:rPr>
        <w:t>【C5】</w:t>
      </w:r>
      <w:r>
        <w:rPr>
          <w:rFonts w:ascii="宋体" w:hAnsi="宋体"/>
          <w:sz w:val="18"/>
          <w:szCs w:val="18"/>
        </w:rPr>
        <w:t>为风险承受能力最高类别。风险承受能力评级越高适合购买的理财产品风险评级越高，适合购买的理财产品类型越丰富</w:t>
      </w:r>
      <w:r>
        <w:rPr>
          <w:rFonts w:ascii="宋体" w:hAnsi="宋体" w:hint="eastAsia"/>
          <w:sz w:val="18"/>
          <w:szCs w:val="18"/>
        </w:rPr>
        <w:t>。</w:t>
      </w:r>
      <w:r>
        <w:rPr>
          <w:rFonts w:ascii="宋体" w:hAnsi="宋体"/>
          <w:sz w:val="18"/>
          <w:szCs w:val="18"/>
        </w:rPr>
        <w:t>投资者风险承受能力评级类型与适合购买的理财产品的对应关系为：</w:t>
      </w:r>
    </w:p>
    <w:tbl>
      <w:tblPr>
        <w:tblW w:w="848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777"/>
        <w:gridCol w:w="4840"/>
        <w:gridCol w:w="2865"/>
      </w:tblGrid>
      <w:tr w:rsidR="008C4D74" w:rsidTr="008D10E8">
        <w:trPr>
          <w:trHeight w:val="461"/>
          <w:jc w:val="center"/>
        </w:trPr>
        <w:tc>
          <w:tcPr>
            <w:tcW w:w="5617" w:type="dxa"/>
            <w:gridSpan w:val="2"/>
            <w:tcBorders>
              <w:top w:val="single" w:sz="12" w:space="0" w:color="auto"/>
              <w:left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hint="eastAsia"/>
                <w:sz w:val="18"/>
                <w:szCs w:val="18"/>
              </w:rPr>
              <w:t>理财产品风险评级及风险评级说明</w:t>
            </w:r>
          </w:p>
        </w:tc>
        <w:tc>
          <w:tcPr>
            <w:tcW w:w="2865" w:type="dxa"/>
            <w:tcBorders>
              <w:top w:val="single" w:sz="12" w:space="0" w:color="auto"/>
              <w:left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hint="eastAsia"/>
                <w:sz w:val="18"/>
                <w:szCs w:val="18"/>
              </w:rPr>
              <w:t>对应的投资者风险承受能力评级</w:t>
            </w:r>
          </w:p>
        </w:tc>
      </w:tr>
      <w:tr w:rsidR="008C4D74" w:rsidTr="008D10E8">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R1</w:t>
            </w:r>
          </w:p>
        </w:tc>
        <w:tc>
          <w:tcPr>
            <w:tcW w:w="4840"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rPr>
                <w:rFonts w:ascii="宋体" w:hAnsi="宋体"/>
                <w:sz w:val="18"/>
                <w:szCs w:val="18"/>
              </w:rPr>
            </w:pPr>
            <w:r>
              <w:rPr>
                <w:rFonts w:ascii="宋体" w:hAnsi="宋体" w:hint="eastAsia"/>
                <w:sz w:val="18"/>
                <w:szCs w:val="18"/>
              </w:rPr>
              <w:t>低风险理财产品。理财产品的总体风险很低，净值波动很小，理财投资本金遭受损失的可能性很低，且产品具有较高的流动性。</w:t>
            </w:r>
          </w:p>
        </w:tc>
        <w:tc>
          <w:tcPr>
            <w:tcW w:w="2865"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C1及以上</w:t>
            </w:r>
          </w:p>
        </w:tc>
      </w:tr>
      <w:tr w:rsidR="008C4D74" w:rsidTr="008D10E8">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R2</w:t>
            </w:r>
          </w:p>
        </w:tc>
        <w:tc>
          <w:tcPr>
            <w:tcW w:w="4840"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rPr>
                <w:rFonts w:ascii="宋体" w:hAnsi="宋体"/>
                <w:sz w:val="18"/>
                <w:szCs w:val="18"/>
              </w:rPr>
            </w:pPr>
            <w:r>
              <w:rPr>
                <w:rFonts w:ascii="宋体" w:hAnsi="宋体" w:hint="eastAsia"/>
                <w:sz w:val="18"/>
                <w:szCs w:val="18"/>
              </w:rPr>
              <w:t>较低风险理财产品。理财产品的总体风险较低，净值波动较小，理财投资本金遭受损失的可能性较低。</w:t>
            </w:r>
          </w:p>
        </w:tc>
        <w:tc>
          <w:tcPr>
            <w:tcW w:w="2865"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C2及以上</w:t>
            </w:r>
          </w:p>
        </w:tc>
      </w:tr>
      <w:tr w:rsidR="008C4D74" w:rsidTr="008D10E8">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R3</w:t>
            </w:r>
          </w:p>
        </w:tc>
        <w:tc>
          <w:tcPr>
            <w:tcW w:w="4840"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rPr>
                <w:rFonts w:ascii="宋体" w:hAnsi="宋体"/>
                <w:sz w:val="18"/>
                <w:szCs w:val="18"/>
              </w:rPr>
            </w:pPr>
            <w:r>
              <w:rPr>
                <w:rFonts w:ascii="宋体" w:hAnsi="宋体" w:hint="eastAsia"/>
                <w:sz w:val="18"/>
                <w:szCs w:val="18"/>
              </w:rPr>
              <w:t>中等风险理财产品。理财产品的总体风险适中，净值波动明显，产品本金出现损失的可能性不容忽视。</w:t>
            </w:r>
          </w:p>
        </w:tc>
        <w:tc>
          <w:tcPr>
            <w:tcW w:w="2865"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C3及以上</w:t>
            </w:r>
          </w:p>
        </w:tc>
      </w:tr>
      <w:tr w:rsidR="008C4D74" w:rsidTr="008D10E8">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R4</w:t>
            </w:r>
          </w:p>
        </w:tc>
        <w:tc>
          <w:tcPr>
            <w:tcW w:w="4840"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rPr>
                <w:rFonts w:ascii="宋体" w:hAnsi="宋体"/>
                <w:sz w:val="18"/>
                <w:szCs w:val="18"/>
              </w:rPr>
            </w:pPr>
            <w:r>
              <w:rPr>
                <w:rFonts w:ascii="宋体" w:hAnsi="宋体" w:hint="eastAsia"/>
                <w:sz w:val="18"/>
                <w:szCs w:val="18"/>
              </w:rPr>
              <w:t>较高风险理财产品。理财产品的总体风险较高，净值波动明显，产品本金出现损失的可能性较高。</w:t>
            </w:r>
          </w:p>
        </w:tc>
        <w:tc>
          <w:tcPr>
            <w:tcW w:w="2865"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C4及以上</w:t>
            </w:r>
          </w:p>
        </w:tc>
      </w:tr>
      <w:tr w:rsidR="008C4D74" w:rsidTr="008D10E8">
        <w:trPr>
          <w:trHeight w:val="289"/>
          <w:jc w:val="center"/>
        </w:trPr>
        <w:tc>
          <w:tcPr>
            <w:tcW w:w="777"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lastRenderedPageBreak/>
              <w:t>R5</w:t>
            </w:r>
          </w:p>
        </w:tc>
        <w:tc>
          <w:tcPr>
            <w:tcW w:w="4840"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rPr>
                <w:rFonts w:ascii="宋体" w:hAnsi="宋体"/>
                <w:sz w:val="18"/>
                <w:szCs w:val="18"/>
              </w:rPr>
            </w:pPr>
            <w:r>
              <w:rPr>
                <w:rFonts w:ascii="宋体" w:hAnsi="宋体" w:hint="eastAsia"/>
                <w:sz w:val="18"/>
                <w:szCs w:val="18"/>
              </w:rPr>
              <w:t>高风险理财产品。理财产品的总体风险程度高，净值波动明显，产品本金出现重大损失的可能性高。</w:t>
            </w:r>
          </w:p>
        </w:tc>
        <w:tc>
          <w:tcPr>
            <w:tcW w:w="2865" w:type="dxa"/>
            <w:tcBorders>
              <w:top w:val="single" w:sz="12" w:space="0" w:color="auto"/>
              <w:left w:val="single" w:sz="12" w:space="0" w:color="auto"/>
              <w:bottom w:val="single" w:sz="12" w:space="0" w:color="auto"/>
              <w:right w:val="single" w:sz="12" w:space="0" w:color="auto"/>
            </w:tcBorders>
            <w:vAlign w:val="center"/>
          </w:tcPr>
          <w:p w:rsidR="008C4D74" w:rsidRDefault="008C4D74" w:rsidP="008D10E8">
            <w:pPr>
              <w:jc w:val="center"/>
              <w:rPr>
                <w:rFonts w:ascii="宋体" w:hAnsi="宋体"/>
                <w:sz w:val="18"/>
                <w:szCs w:val="18"/>
              </w:rPr>
            </w:pPr>
            <w:r>
              <w:rPr>
                <w:rFonts w:ascii="宋体" w:hAnsi="宋体"/>
                <w:sz w:val="18"/>
                <w:szCs w:val="18"/>
              </w:rPr>
              <w:t>C5及以上</w:t>
            </w:r>
          </w:p>
        </w:tc>
      </w:tr>
    </w:tbl>
    <w:p w:rsidR="008C4D74" w:rsidRDefault="008C4D74" w:rsidP="008C4D74">
      <w:pPr>
        <w:ind w:firstLineChars="200" w:firstLine="360"/>
        <w:rPr>
          <w:rFonts w:ascii="黑体" w:eastAsia="黑体" w:hAnsi="黑体"/>
          <w:sz w:val="18"/>
          <w:szCs w:val="18"/>
        </w:rPr>
      </w:pPr>
      <w:r>
        <w:rPr>
          <w:rFonts w:ascii="黑体" w:eastAsia="黑体" w:hAnsi="黑体" w:cs="仿宋_GB2312" w:hint="eastAsia"/>
          <w:bCs/>
          <w:kern w:val="0"/>
          <w:sz w:val="18"/>
          <w:szCs w:val="18"/>
        </w:rPr>
        <w:t>★</w:t>
      </w:r>
      <w:r>
        <w:rPr>
          <w:rFonts w:ascii="黑体" w:eastAsia="黑体" w:hAnsi="黑体" w:hint="eastAsia"/>
          <w:sz w:val="18"/>
          <w:szCs w:val="18"/>
        </w:rPr>
        <w:t>（二）针对“理财产品风险评级”、 “投资者风险承受能力”、“适合投资者类型”的不同划分与表述的特别提示</w:t>
      </w:r>
    </w:p>
    <w:p w:rsidR="008C4D74" w:rsidRDefault="008C4D74" w:rsidP="008C4D74">
      <w:pPr>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w:t>
      </w:r>
      <w:r>
        <w:rPr>
          <w:rFonts w:ascii="黑体" w:eastAsia="黑体" w:hAnsi="黑体" w:hint="eastAsia"/>
          <w:sz w:val="18"/>
          <w:szCs w:val="18"/>
        </w:rPr>
        <w:t>销售机构在销售本产品时，其对“理财产品风险评级”、“投资者风险承受能力”、“适合投资者类型”等级的划分与表述可能与产品管理人存在差异，即采用销售机构设置的标准。</w:t>
      </w:r>
    </w:p>
    <w:p w:rsidR="008C4D74" w:rsidRDefault="008C4D74" w:rsidP="008C4D74">
      <w:pPr>
        <w:ind w:firstLineChars="200" w:firstLine="360"/>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销售机构应以书面的方式向投资者明示其对“理财产品风险评级”、“投资者风险承受能力等级”的划分与“适合投资者类型”的表述。</w:t>
      </w:r>
    </w:p>
    <w:p w:rsidR="008C4D74" w:rsidRDefault="008C4D74" w:rsidP="008C4D74">
      <w:pPr>
        <w:spacing w:line="280" w:lineRule="atLeast"/>
        <w:ind w:firstLineChars="200" w:firstLine="361"/>
        <w:rPr>
          <w:rFonts w:ascii="宋体" w:hAnsi="宋体"/>
          <w:b/>
          <w:sz w:val="18"/>
          <w:szCs w:val="18"/>
        </w:rPr>
      </w:pPr>
      <w:r>
        <w:rPr>
          <w:rFonts w:ascii="宋体" w:hAnsi="宋体" w:hint="eastAsia"/>
          <w:b/>
          <w:sz w:val="18"/>
          <w:szCs w:val="18"/>
        </w:rPr>
        <w:t>三、关于理财产品的信息披露</w:t>
      </w:r>
    </w:p>
    <w:p w:rsidR="008C4D74" w:rsidRDefault="008C4D74" w:rsidP="008C4D74">
      <w:pPr>
        <w:spacing w:line="280" w:lineRule="atLeast"/>
        <w:ind w:firstLineChars="200" w:firstLine="360"/>
        <w:rPr>
          <w:rFonts w:asciiTheme="minorEastAsia" w:hAnsiTheme="minorEastAsia"/>
          <w:sz w:val="18"/>
          <w:szCs w:val="18"/>
        </w:rPr>
      </w:pPr>
      <w:r>
        <w:rPr>
          <w:rFonts w:asciiTheme="minorEastAsia" w:hAnsiTheme="minorEastAsia" w:hint="eastAsia"/>
          <w:sz w:val="18"/>
          <w:szCs w:val="18"/>
        </w:rPr>
        <w:t>理财产品的信息披露将通过兴业</w:t>
      </w:r>
      <w:r>
        <w:rPr>
          <w:rFonts w:asciiTheme="minorEastAsia" w:hAnsiTheme="minorEastAsia"/>
          <w:sz w:val="18"/>
          <w:szCs w:val="18"/>
        </w:rPr>
        <w:t>银行</w:t>
      </w:r>
      <w:r>
        <w:rPr>
          <w:rFonts w:asciiTheme="minorEastAsia" w:hAnsiTheme="minorEastAsia" w:hint="eastAsia"/>
          <w:sz w:val="18"/>
          <w:szCs w:val="18"/>
        </w:rPr>
        <w:t>或销售机构</w:t>
      </w:r>
      <w:r>
        <w:rPr>
          <w:rFonts w:ascii="宋体" w:hAnsi="宋体" w:hint="eastAsia"/>
          <w:bCs/>
          <w:sz w:val="18"/>
          <w:szCs w:val="18"/>
        </w:rPr>
        <w:t>的信息披露渠道（包括但不限于兴业</w:t>
      </w:r>
      <w:r>
        <w:rPr>
          <w:rFonts w:ascii="宋体" w:hAnsi="宋体"/>
          <w:bCs/>
          <w:sz w:val="18"/>
          <w:szCs w:val="18"/>
        </w:rPr>
        <w:t>银行</w:t>
      </w:r>
      <w:r>
        <w:rPr>
          <w:rFonts w:ascii="宋体" w:hAnsi="宋体" w:hint="eastAsia"/>
          <w:bCs/>
          <w:sz w:val="18"/>
          <w:szCs w:val="18"/>
        </w:rPr>
        <w:t>或销售机构的营业网点、门户网站、电子销售渠道等）进行。</w:t>
      </w:r>
      <w:r>
        <w:rPr>
          <w:rFonts w:asciiTheme="minorEastAsia" w:hAnsiTheme="minorEastAsia"/>
          <w:sz w:val="18"/>
          <w:szCs w:val="18"/>
        </w:rPr>
        <w:t>具体</w:t>
      </w:r>
      <w:r>
        <w:rPr>
          <w:rFonts w:asciiTheme="minorEastAsia" w:hAnsiTheme="minorEastAsia" w:hint="eastAsia"/>
          <w:sz w:val="18"/>
          <w:szCs w:val="18"/>
        </w:rPr>
        <w:t>信息披露内容</w:t>
      </w:r>
      <w:r>
        <w:rPr>
          <w:rFonts w:asciiTheme="minorEastAsia" w:hAnsiTheme="minorEastAsia"/>
          <w:sz w:val="18"/>
          <w:szCs w:val="18"/>
        </w:rPr>
        <w:t>以《产品说明书》中“信息披露</w:t>
      </w:r>
      <w:r>
        <w:rPr>
          <w:rFonts w:asciiTheme="minorEastAsia" w:hAnsiTheme="minorEastAsia" w:hint="eastAsia"/>
          <w:sz w:val="18"/>
          <w:szCs w:val="18"/>
        </w:rPr>
        <w:t xml:space="preserve">”约定为准。  </w:t>
      </w:r>
    </w:p>
    <w:p w:rsidR="008C4D74" w:rsidRDefault="008C4D74" w:rsidP="008C4D74">
      <w:pPr>
        <w:spacing w:line="280" w:lineRule="atLeast"/>
        <w:ind w:firstLineChars="200" w:firstLine="360"/>
        <w:rPr>
          <w:rFonts w:asciiTheme="minorEastAsia" w:hAnsiTheme="minorEastAsia"/>
          <w:sz w:val="18"/>
          <w:szCs w:val="18"/>
        </w:rPr>
      </w:pPr>
      <w:r>
        <w:rPr>
          <w:rFonts w:asciiTheme="minorEastAsia" w:hAnsiTheme="minorEastAsia" w:hint="eastAsia"/>
          <w:sz w:val="18"/>
          <w:szCs w:val="18"/>
        </w:rPr>
        <w:t xml:space="preserve"> </w:t>
      </w:r>
      <w:r>
        <w:rPr>
          <w:rFonts w:ascii="宋体" w:hAnsi="宋体" w:hint="eastAsia"/>
          <w:b/>
          <w:sz w:val="18"/>
          <w:szCs w:val="18"/>
        </w:rPr>
        <w:t>四、关于投诉与建议</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（一）</w:t>
      </w:r>
      <w:r>
        <w:rPr>
          <w:rFonts w:asciiTheme="minorEastAsia" w:hAnsiTheme="minorEastAsia" w:hint="eastAsia"/>
          <w:sz w:val="18"/>
          <w:szCs w:val="18"/>
        </w:rPr>
        <w:t>您对本产品有任何意见或异议，可向产品管理人或</w:t>
      </w:r>
      <w:r>
        <w:rPr>
          <w:rFonts w:ascii="宋体" w:hAnsi="宋体" w:hint="eastAsia"/>
          <w:sz w:val="18"/>
          <w:szCs w:val="18"/>
        </w:rPr>
        <w:t>销售机构</w:t>
      </w:r>
      <w:r>
        <w:rPr>
          <w:rFonts w:asciiTheme="minorEastAsia" w:hAnsiTheme="minorEastAsia" w:hint="eastAsia"/>
          <w:sz w:val="18"/>
          <w:szCs w:val="18"/>
        </w:rPr>
        <w:t>反馈</w:t>
      </w:r>
      <w:r>
        <w:rPr>
          <w:rFonts w:ascii="宋体" w:hAnsi="宋体" w:hint="eastAsia"/>
          <w:sz w:val="18"/>
          <w:szCs w:val="18"/>
        </w:rPr>
        <w:t>，产品管理人或销售机构将由专人接听、记录您的意见或建议，并由各方协商共同解决。</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（二）联络方式：</w:t>
      </w:r>
    </w:p>
    <w:p w:rsidR="008C4D74" w:rsidRDefault="008C4D74" w:rsidP="008C4D74">
      <w:pPr>
        <w:ind w:firstLineChars="200" w:firstLine="360"/>
        <w:rPr>
          <w:rFonts w:ascii="宋体" w:hAnsi="宋体"/>
          <w:sz w:val="18"/>
          <w:szCs w:val="18"/>
        </w:rPr>
      </w:pPr>
      <w:r>
        <w:rPr>
          <w:rFonts w:ascii="宋体" w:hAnsi="宋体" w:hint="eastAsia"/>
          <w:sz w:val="18"/>
          <w:szCs w:val="18"/>
        </w:rPr>
        <w:t>兴银理财客户服务热线：40015-95561。</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通过兴业银行（作为销售机构）购</w:t>
      </w:r>
      <w:r>
        <w:rPr>
          <w:rFonts w:ascii="宋体" w:hAnsi="宋体"/>
          <w:sz w:val="18"/>
          <w:szCs w:val="18"/>
        </w:rPr>
        <w:t>买本产品的</w:t>
      </w:r>
      <w:r>
        <w:rPr>
          <w:rFonts w:ascii="宋体" w:hAnsi="宋体" w:hint="eastAsia"/>
          <w:sz w:val="18"/>
          <w:szCs w:val="18"/>
        </w:rPr>
        <w:t>，</w:t>
      </w:r>
      <w:r>
        <w:rPr>
          <w:rFonts w:ascii="宋体" w:hAnsi="宋体"/>
          <w:sz w:val="18"/>
          <w:szCs w:val="18"/>
        </w:rPr>
        <w:t>请联系兴业银行</w:t>
      </w:r>
      <w:r>
        <w:rPr>
          <w:rFonts w:ascii="宋体" w:hAnsi="宋体" w:hint="eastAsia"/>
          <w:sz w:val="18"/>
          <w:szCs w:val="18"/>
        </w:rPr>
        <w:t>，兴业银行客户服务热线：【</w:t>
      </w:r>
      <w:r>
        <w:rPr>
          <w:rFonts w:asciiTheme="minorEastAsia" w:hAnsiTheme="minorEastAsia"/>
          <w:sz w:val="18"/>
          <w:szCs w:val="18"/>
        </w:rPr>
        <w:t>95561</w:t>
      </w:r>
      <w:r>
        <w:rPr>
          <w:rFonts w:ascii="宋体" w:hAnsi="宋体" w:hint="eastAsia"/>
          <w:sz w:val="18"/>
          <w:szCs w:val="18"/>
        </w:rPr>
        <w:t>】；兴业银行门户网站：【</w:t>
      </w:r>
      <w:r>
        <w:rPr>
          <w:rFonts w:asciiTheme="minorEastAsia" w:hAnsiTheme="minorEastAsia"/>
          <w:sz w:val="18"/>
          <w:szCs w:val="18"/>
        </w:rPr>
        <w:t>www.cib.com.cn</w:t>
      </w:r>
      <w:r>
        <w:rPr>
          <w:rFonts w:ascii="宋体" w:hAnsi="宋体" w:hint="eastAsia"/>
          <w:sz w:val="18"/>
          <w:szCs w:val="18"/>
        </w:rPr>
        <w:t>】。</w:t>
      </w:r>
    </w:p>
    <w:p w:rsidR="008C4D74" w:rsidRDefault="008C4D74" w:rsidP="008C4D74">
      <w:pPr>
        <w:ind w:firstLineChars="200" w:firstLine="360"/>
        <w:rPr>
          <w:rFonts w:ascii="宋体" w:hAnsi="宋体"/>
          <w:sz w:val="18"/>
          <w:szCs w:val="18"/>
        </w:rPr>
      </w:pPr>
      <w:r>
        <w:rPr>
          <w:rFonts w:ascii="宋体" w:hAnsi="宋体" w:hint="eastAsia"/>
          <w:sz w:val="18"/>
          <w:szCs w:val="18"/>
        </w:rPr>
        <w:t>通过【        】（作为销售机构）购买本产品的，请联系【            】，【          】客户服务热线：【           】；【          】门户网站：【                  】。</w:t>
      </w:r>
    </w:p>
    <w:p w:rsidR="008C4D74" w:rsidRDefault="008C4D74" w:rsidP="008C4D74">
      <w:pPr>
        <w:autoSpaceDE w:val="0"/>
        <w:autoSpaceDN w:val="0"/>
        <w:adjustRightInd w:val="0"/>
        <w:spacing w:line="280" w:lineRule="atLeast"/>
        <w:jc w:val="left"/>
        <w:rPr>
          <w:rFonts w:ascii="仿宋_GB2312" w:eastAsia="仿宋_GB2312" w:cs="仿宋_GB2312"/>
          <w:color w:val="000000"/>
          <w:kern w:val="0"/>
          <w:sz w:val="24"/>
          <w:szCs w:val="24"/>
        </w:rPr>
      </w:pPr>
    </w:p>
    <w:p w:rsidR="008C4D74" w:rsidRDefault="008C4D74" w:rsidP="008C4D74">
      <w:pPr>
        <w:autoSpaceDE w:val="0"/>
        <w:autoSpaceDN w:val="0"/>
        <w:adjustRightInd w:val="0"/>
        <w:spacing w:line="280" w:lineRule="atLeast"/>
        <w:jc w:val="left"/>
        <w:rPr>
          <w:rFonts w:ascii="仿宋_GB2312" w:eastAsia="仿宋_GB2312" w:cs="仿宋_GB2312"/>
          <w:color w:val="000000"/>
          <w:kern w:val="0"/>
          <w:sz w:val="24"/>
          <w:szCs w:val="24"/>
        </w:rPr>
      </w:pPr>
    </w:p>
    <w:p w:rsidR="008C4D74" w:rsidRDefault="008C4D74" w:rsidP="008C4D74">
      <w:pPr>
        <w:spacing w:line="280" w:lineRule="atLeast"/>
        <w:jc w:val="right"/>
        <w:rPr>
          <w:rFonts w:ascii="宋体" w:hAnsi="宋体"/>
          <w:sz w:val="18"/>
          <w:szCs w:val="18"/>
        </w:rPr>
      </w:pPr>
    </w:p>
    <w:p w:rsidR="008C4D74" w:rsidRDefault="008C4D74" w:rsidP="008C4D74">
      <w:pPr>
        <w:spacing w:line="280" w:lineRule="atLeast"/>
        <w:ind w:rightChars="40" w:right="84"/>
        <w:jc w:val="right"/>
        <w:rPr>
          <w:rFonts w:ascii="宋体" w:hAnsi="宋体"/>
          <w:sz w:val="18"/>
          <w:szCs w:val="18"/>
        </w:rPr>
      </w:pPr>
    </w:p>
    <w:p w:rsidR="008C4D74" w:rsidRDefault="008C4D74" w:rsidP="008C4D74">
      <w:pPr>
        <w:widowControl/>
        <w:spacing w:line="280" w:lineRule="atLeast"/>
        <w:jc w:val="left"/>
        <w:rPr>
          <w:rFonts w:ascii="宋体" w:hAnsi="宋体"/>
          <w:b/>
          <w:sz w:val="28"/>
          <w:szCs w:val="28"/>
        </w:rPr>
      </w:pPr>
      <w:r>
        <w:rPr>
          <w:rFonts w:ascii="宋体" w:hAnsi="宋体"/>
          <w:b/>
          <w:sz w:val="28"/>
          <w:szCs w:val="28"/>
        </w:rPr>
        <w:br w:type="page"/>
      </w:r>
    </w:p>
    <w:p w:rsidR="008C4D74" w:rsidRDefault="008C4D74" w:rsidP="008C4D74">
      <w:pPr>
        <w:adjustRightInd w:val="0"/>
        <w:spacing w:line="276" w:lineRule="auto"/>
        <w:jc w:val="center"/>
        <w:rPr>
          <w:rStyle w:val="a6"/>
          <w:rFonts w:ascii="黑体" w:eastAsia="黑体" w:hAnsi="黑体"/>
          <w:sz w:val="28"/>
          <w:szCs w:val="28"/>
        </w:rPr>
      </w:pPr>
      <w:r>
        <w:rPr>
          <w:rStyle w:val="a6"/>
          <w:rFonts w:ascii="黑体" w:eastAsia="黑体" w:hAnsi="黑体" w:hint="eastAsia"/>
          <w:sz w:val="28"/>
          <w:szCs w:val="28"/>
        </w:rPr>
        <w:lastRenderedPageBreak/>
        <w:t>兴银理财天天万利</w:t>
      </w:r>
      <w:proofErr w:type="gramStart"/>
      <w:r>
        <w:rPr>
          <w:rStyle w:val="a6"/>
          <w:rFonts w:ascii="黑体" w:eastAsia="黑体" w:hAnsi="黑体" w:hint="eastAsia"/>
          <w:sz w:val="28"/>
          <w:szCs w:val="28"/>
        </w:rPr>
        <w:t>宝稳利</w:t>
      </w:r>
      <w:proofErr w:type="gramEnd"/>
      <w:r>
        <w:rPr>
          <w:rStyle w:val="a6"/>
          <w:rFonts w:ascii="黑体" w:eastAsia="黑体" w:hAnsi="黑体" w:hint="eastAsia"/>
          <w:sz w:val="28"/>
          <w:szCs w:val="28"/>
        </w:rPr>
        <w:t>净值型理财产品</w:t>
      </w:r>
    </w:p>
    <w:p w:rsidR="008C4D74" w:rsidRDefault="008C4D74" w:rsidP="008C4D74">
      <w:pPr>
        <w:adjustRightInd w:val="0"/>
        <w:spacing w:line="276" w:lineRule="auto"/>
        <w:jc w:val="center"/>
        <w:rPr>
          <w:rStyle w:val="a6"/>
          <w:rFonts w:ascii="黑体" w:eastAsia="黑体" w:hAnsi="黑体"/>
          <w:sz w:val="28"/>
          <w:szCs w:val="28"/>
        </w:rPr>
      </w:pPr>
      <w:r>
        <w:rPr>
          <w:rStyle w:val="a6"/>
          <w:rFonts w:ascii="黑体" w:eastAsia="黑体" w:hAnsi="黑体" w:hint="eastAsia"/>
          <w:sz w:val="28"/>
          <w:szCs w:val="28"/>
        </w:rPr>
        <w:t>投资者权益须知</w:t>
      </w:r>
    </w:p>
    <w:p w:rsidR="008C4D74" w:rsidRDefault="008C4D74" w:rsidP="008C4D74">
      <w:pPr>
        <w:pStyle w:val="Default"/>
        <w:jc w:val="center"/>
        <w:rPr>
          <w:rFonts w:hAnsi="宋体"/>
          <w:b/>
          <w:color w:val="auto"/>
          <w:sz w:val="28"/>
          <w:szCs w:val="28"/>
        </w:rPr>
      </w:pPr>
      <w:r>
        <w:rPr>
          <w:rFonts w:hAnsi="宋体" w:hint="eastAsia"/>
          <w:b/>
          <w:color w:val="auto"/>
          <w:sz w:val="28"/>
          <w:szCs w:val="28"/>
        </w:rPr>
        <w:t>（适用于机构投资者：金融</w:t>
      </w:r>
      <w:r>
        <w:rPr>
          <w:rFonts w:hAnsi="宋体"/>
          <w:b/>
          <w:color w:val="auto"/>
          <w:sz w:val="28"/>
          <w:szCs w:val="28"/>
        </w:rPr>
        <w:t>同业客户</w:t>
      </w:r>
      <w:r>
        <w:rPr>
          <w:rFonts w:hAnsi="宋体" w:hint="eastAsia"/>
          <w:b/>
          <w:color w:val="auto"/>
          <w:sz w:val="28"/>
          <w:szCs w:val="28"/>
        </w:rPr>
        <w:t>）</w:t>
      </w:r>
    </w:p>
    <w:p w:rsidR="008C4D74" w:rsidRDefault="008C4D74" w:rsidP="008C4D74">
      <w:pPr>
        <w:rPr>
          <w:rFonts w:ascii="宋体" w:hAnsi="宋体"/>
          <w:b/>
          <w:sz w:val="18"/>
          <w:szCs w:val="18"/>
        </w:rPr>
      </w:pPr>
      <w:r>
        <w:rPr>
          <w:rFonts w:ascii="宋体" w:hAnsi="宋体" w:hint="eastAsia"/>
          <w:b/>
          <w:sz w:val="18"/>
          <w:szCs w:val="18"/>
        </w:rPr>
        <w:t>尊敬的投资者：</w:t>
      </w:r>
    </w:p>
    <w:p w:rsidR="008C4D74" w:rsidRDefault="008C4D74" w:rsidP="008C4D74">
      <w:pPr>
        <w:spacing w:line="320" w:lineRule="exact"/>
        <w:ind w:firstLineChars="200" w:firstLine="360"/>
        <w:jc w:val="left"/>
        <w:rPr>
          <w:rFonts w:ascii="宋体" w:hAnsi="宋体"/>
          <w:sz w:val="18"/>
          <w:szCs w:val="18"/>
        </w:rPr>
      </w:pPr>
      <w:r>
        <w:rPr>
          <w:rFonts w:ascii="宋体" w:hAnsi="宋体" w:hint="eastAsia"/>
          <w:sz w:val="18"/>
          <w:szCs w:val="18"/>
        </w:rPr>
        <w:t>感谢您通过销售机构【</w:t>
      </w:r>
      <w:r w:rsidR="00607F15">
        <w:rPr>
          <w:rFonts w:ascii="宋体" w:hAnsi="宋体" w:hint="eastAsia"/>
          <w:sz w:val="18"/>
          <w:szCs w:val="18"/>
        </w:rPr>
        <w:t xml:space="preserve"> </w:t>
      </w:r>
      <w:bookmarkStart w:id="243" w:name="_GoBack"/>
      <w:bookmarkEnd w:id="243"/>
      <w:r>
        <w:rPr>
          <w:rFonts w:ascii="宋体" w:hAnsi="宋体" w:hint="eastAsia"/>
          <w:sz w:val="18"/>
          <w:szCs w:val="18"/>
        </w:rPr>
        <w:t>】以(□ 直销：产品管理人销售/□ 代销：代理销售机构销售)的形式购买兴银理财有限责任公司（以下简称“兴银理财”）作为产品管理人管理的理财产品。</w:t>
      </w:r>
    </w:p>
    <w:p w:rsidR="008C4D74" w:rsidRDefault="008C4D74" w:rsidP="008C4D74">
      <w:pPr>
        <w:spacing w:line="320" w:lineRule="exact"/>
        <w:ind w:firstLineChars="200" w:firstLine="360"/>
        <w:jc w:val="left"/>
        <w:rPr>
          <w:rFonts w:ascii="宋体" w:hAnsi="宋体"/>
          <w:sz w:val="18"/>
          <w:szCs w:val="18"/>
        </w:rPr>
      </w:pPr>
      <w:r>
        <w:rPr>
          <w:rFonts w:ascii="宋体" w:hAnsi="宋体" w:hint="eastAsia"/>
          <w:sz w:val="18"/>
          <w:szCs w:val="18"/>
        </w:rPr>
        <w:t>请仔细阅读本《投资者权益须知》，行使您在本业务项下的权益。</w:t>
      </w:r>
      <w:r>
        <w:rPr>
          <w:rFonts w:ascii="宋体" w:hAnsi="宋体"/>
          <w:sz w:val="18"/>
          <w:szCs w:val="18"/>
        </w:rPr>
        <w:t xml:space="preserve"> </w:t>
      </w:r>
    </w:p>
    <w:p w:rsidR="008C4D74" w:rsidRDefault="008C4D74" w:rsidP="008C4D74">
      <w:pPr>
        <w:ind w:firstLineChars="200" w:firstLine="361"/>
        <w:rPr>
          <w:rFonts w:ascii="宋体" w:hAnsi="宋体"/>
          <w:b/>
          <w:sz w:val="18"/>
          <w:szCs w:val="18"/>
        </w:rPr>
      </w:pPr>
    </w:p>
    <w:p w:rsidR="008C4D74" w:rsidRDefault="008C4D74" w:rsidP="008C4D74">
      <w:pPr>
        <w:ind w:firstLineChars="200" w:firstLine="361"/>
        <w:rPr>
          <w:rFonts w:ascii="宋体" w:hAnsi="宋体"/>
          <w:b/>
          <w:sz w:val="18"/>
          <w:szCs w:val="18"/>
        </w:rPr>
      </w:pPr>
      <w:r>
        <w:rPr>
          <w:rFonts w:ascii="宋体" w:hAnsi="宋体" w:hint="eastAsia"/>
          <w:b/>
          <w:sz w:val="18"/>
          <w:szCs w:val="18"/>
        </w:rPr>
        <w:t>一、理财产品购买流程</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（一）</w:t>
      </w:r>
      <w:r>
        <w:rPr>
          <w:rFonts w:ascii="宋体" w:hAnsi="宋体"/>
          <w:sz w:val="18"/>
          <w:szCs w:val="18"/>
        </w:rPr>
        <w:t>开立或持有</w:t>
      </w:r>
      <w:r>
        <w:rPr>
          <w:rFonts w:ascii="宋体" w:hAnsi="宋体" w:hint="eastAsia"/>
          <w:sz w:val="18"/>
          <w:szCs w:val="18"/>
        </w:rPr>
        <w:t>销售机构</w:t>
      </w:r>
      <w:r>
        <w:rPr>
          <w:rFonts w:ascii="宋体" w:hAnsi="宋体"/>
          <w:sz w:val="18"/>
          <w:szCs w:val="18"/>
        </w:rPr>
        <w:t>账户，该账户用于本产品的理财资金划转及</w:t>
      </w:r>
      <w:r>
        <w:rPr>
          <w:rFonts w:ascii="宋体" w:hAnsi="宋体" w:hint="eastAsia"/>
          <w:sz w:val="18"/>
          <w:szCs w:val="18"/>
        </w:rPr>
        <w:t>分配</w:t>
      </w:r>
      <w:r>
        <w:rPr>
          <w:rFonts w:ascii="宋体" w:hAnsi="宋体"/>
          <w:sz w:val="18"/>
          <w:szCs w:val="18"/>
        </w:rPr>
        <w:t>，您应确保持有本产品期间所指定账户不做销户。</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（二）</w:t>
      </w:r>
      <w:r>
        <w:rPr>
          <w:rFonts w:ascii="宋体" w:hAnsi="宋体"/>
          <w:sz w:val="18"/>
          <w:szCs w:val="18"/>
        </w:rPr>
        <w:t>接受并完成</w:t>
      </w:r>
      <w:r>
        <w:rPr>
          <w:rFonts w:ascii="宋体" w:hAnsi="宋体" w:hint="eastAsia"/>
          <w:sz w:val="18"/>
          <w:szCs w:val="18"/>
        </w:rPr>
        <w:t>销售机构</w:t>
      </w:r>
      <w:r>
        <w:rPr>
          <w:rFonts w:ascii="宋体" w:hAnsi="宋体"/>
          <w:sz w:val="18"/>
          <w:szCs w:val="18"/>
        </w:rPr>
        <w:t>对您的风险承受能力评估，并根据风险评估结果选择适合的产品。</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（三）</w:t>
      </w:r>
      <w:r>
        <w:rPr>
          <w:rFonts w:ascii="宋体" w:hAnsi="宋体"/>
          <w:sz w:val="18"/>
          <w:szCs w:val="18"/>
        </w:rPr>
        <w:t>请仔细阅读《</w:t>
      </w:r>
      <w:r>
        <w:rPr>
          <w:rFonts w:ascii="宋体" w:hAnsi="宋体" w:hint="eastAsia"/>
          <w:sz w:val="18"/>
          <w:szCs w:val="18"/>
        </w:rPr>
        <w:t>投资</w:t>
      </w:r>
      <w:r>
        <w:rPr>
          <w:rFonts w:ascii="宋体" w:hAnsi="宋体"/>
          <w:sz w:val="18"/>
          <w:szCs w:val="18"/>
        </w:rPr>
        <w:t>协议书》、《产品说明书》、</w:t>
      </w:r>
      <w:r>
        <w:rPr>
          <w:rFonts w:ascii="宋体" w:hAnsi="宋体" w:hint="eastAsia"/>
          <w:sz w:val="18"/>
          <w:szCs w:val="18"/>
        </w:rPr>
        <w:t>《（代理）销售</w:t>
      </w:r>
      <w:r>
        <w:rPr>
          <w:rFonts w:ascii="宋体" w:hAnsi="宋体"/>
          <w:sz w:val="18"/>
          <w:szCs w:val="18"/>
        </w:rPr>
        <w:t>协议书</w:t>
      </w:r>
      <w:r>
        <w:rPr>
          <w:rFonts w:ascii="宋体" w:hAnsi="宋体" w:hint="eastAsia"/>
          <w:sz w:val="18"/>
          <w:szCs w:val="18"/>
        </w:rPr>
        <w:t>》、</w:t>
      </w:r>
      <w:r>
        <w:rPr>
          <w:rFonts w:ascii="宋体" w:hAnsi="宋体"/>
          <w:sz w:val="18"/>
          <w:szCs w:val="18"/>
        </w:rPr>
        <w:t>《风险揭示书》、《投资者权益须知》以及其他有关文件（如有），确认已同意相关内容、充分了解相关风险并无疑问和异议后，签署相关销售文件，并办理购买手续。</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（四）销售机构</w:t>
      </w:r>
      <w:r>
        <w:rPr>
          <w:rFonts w:ascii="宋体" w:hAnsi="宋体"/>
          <w:sz w:val="18"/>
          <w:szCs w:val="18"/>
        </w:rPr>
        <w:t>营业网点或者电子银行（包括但不限于网上银行、电话银行和手机银行）均可办理理财产品的购买手续，但是对于具体理财产品，产品管理人将根据产品风险等级和市场情况自行确定发售渠道。</w:t>
      </w:r>
    </w:p>
    <w:p w:rsidR="008C4D74" w:rsidRDefault="008C4D74" w:rsidP="008C4D74">
      <w:pPr>
        <w:spacing w:line="280" w:lineRule="atLeast"/>
        <w:ind w:firstLineChars="200" w:firstLine="361"/>
        <w:rPr>
          <w:rFonts w:ascii="宋体" w:hAnsi="宋体"/>
          <w:b/>
          <w:sz w:val="18"/>
          <w:szCs w:val="18"/>
        </w:rPr>
      </w:pPr>
      <w:r>
        <w:rPr>
          <w:rFonts w:ascii="宋体" w:hAnsi="宋体" w:hint="eastAsia"/>
          <w:b/>
          <w:sz w:val="18"/>
          <w:szCs w:val="18"/>
        </w:rPr>
        <w:t>二、投资者风险承受能力与产品风险评级</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鉴于您为金融同业客户，销售机构暂不对您进行风险承受能力评估，请您根据您自身的</w:t>
      </w:r>
      <w:r>
        <w:rPr>
          <w:rFonts w:ascii="宋体" w:hAnsi="宋体"/>
          <w:sz w:val="18"/>
          <w:szCs w:val="18"/>
        </w:rPr>
        <w:t>风险承受能力购买</w:t>
      </w:r>
      <w:r>
        <w:rPr>
          <w:rFonts w:ascii="宋体" w:hAnsi="宋体" w:hint="eastAsia"/>
          <w:sz w:val="18"/>
          <w:szCs w:val="18"/>
        </w:rPr>
        <w:t>产品风险评级适合您的</w:t>
      </w:r>
      <w:r>
        <w:rPr>
          <w:rFonts w:ascii="宋体" w:hAnsi="宋体"/>
          <w:sz w:val="18"/>
          <w:szCs w:val="18"/>
        </w:rPr>
        <w:t>理财产品</w:t>
      </w:r>
      <w:r>
        <w:rPr>
          <w:rFonts w:ascii="宋体" w:hAnsi="宋体" w:hint="eastAsia"/>
          <w:sz w:val="18"/>
          <w:szCs w:val="18"/>
        </w:rPr>
        <w:t>。</w:t>
      </w:r>
    </w:p>
    <w:p w:rsidR="008C4D74" w:rsidRDefault="008C4D74" w:rsidP="008C4D74">
      <w:pPr>
        <w:ind w:firstLineChars="200" w:firstLine="361"/>
        <w:rPr>
          <w:rFonts w:ascii="宋体" w:hAnsi="宋体"/>
          <w:b/>
          <w:sz w:val="18"/>
          <w:szCs w:val="18"/>
        </w:rPr>
      </w:pPr>
      <w:r>
        <w:rPr>
          <w:rFonts w:ascii="宋体" w:hAnsi="宋体" w:hint="eastAsia"/>
          <w:b/>
          <w:sz w:val="18"/>
          <w:szCs w:val="18"/>
        </w:rPr>
        <w:t>三、关于理财产品的信息披露</w:t>
      </w:r>
    </w:p>
    <w:p w:rsidR="008C4D74" w:rsidRDefault="008C4D74" w:rsidP="008C4D74">
      <w:pPr>
        <w:spacing w:line="280" w:lineRule="atLeast"/>
        <w:ind w:firstLineChars="200" w:firstLine="360"/>
        <w:rPr>
          <w:rFonts w:asciiTheme="minorEastAsia" w:hAnsiTheme="minorEastAsia"/>
          <w:sz w:val="18"/>
          <w:szCs w:val="18"/>
        </w:rPr>
      </w:pPr>
      <w:r>
        <w:rPr>
          <w:rFonts w:asciiTheme="minorEastAsia" w:hAnsiTheme="minorEastAsia" w:hint="eastAsia"/>
          <w:sz w:val="18"/>
          <w:szCs w:val="18"/>
        </w:rPr>
        <w:t>理财产品的信息披露将通过兴业</w:t>
      </w:r>
      <w:r>
        <w:rPr>
          <w:rFonts w:asciiTheme="minorEastAsia" w:hAnsiTheme="minorEastAsia"/>
          <w:sz w:val="18"/>
          <w:szCs w:val="18"/>
        </w:rPr>
        <w:t>银行</w:t>
      </w:r>
      <w:r>
        <w:rPr>
          <w:rFonts w:asciiTheme="minorEastAsia" w:hAnsiTheme="minorEastAsia" w:hint="eastAsia"/>
          <w:sz w:val="18"/>
          <w:szCs w:val="18"/>
        </w:rPr>
        <w:t>或销售机构</w:t>
      </w:r>
      <w:r>
        <w:rPr>
          <w:rFonts w:ascii="宋体" w:hAnsi="宋体" w:hint="eastAsia"/>
          <w:bCs/>
          <w:sz w:val="18"/>
          <w:szCs w:val="18"/>
        </w:rPr>
        <w:t>的信息披露渠道（包括但不限于兴业</w:t>
      </w:r>
      <w:r>
        <w:rPr>
          <w:rFonts w:ascii="宋体" w:hAnsi="宋体"/>
          <w:bCs/>
          <w:sz w:val="18"/>
          <w:szCs w:val="18"/>
        </w:rPr>
        <w:t>银行</w:t>
      </w:r>
      <w:r>
        <w:rPr>
          <w:rFonts w:ascii="宋体" w:hAnsi="宋体" w:hint="eastAsia"/>
          <w:bCs/>
          <w:sz w:val="18"/>
          <w:szCs w:val="18"/>
        </w:rPr>
        <w:t>或销售机构的营业网点、门户网站、电子销售渠道等）进行。</w:t>
      </w:r>
      <w:r>
        <w:rPr>
          <w:rFonts w:asciiTheme="minorEastAsia" w:hAnsiTheme="minorEastAsia"/>
          <w:sz w:val="18"/>
          <w:szCs w:val="18"/>
        </w:rPr>
        <w:t>具体</w:t>
      </w:r>
      <w:r>
        <w:rPr>
          <w:rFonts w:asciiTheme="minorEastAsia" w:hAnsiTheme="minorEastAsia" w:hint="eastAsia"/>
          <w:sz w:val="18"/>
          <w:szCs w:val="18"/>
        </w:rPr>
        <w:t>信息披露内容</w:t>
      </w:r>
      <w:r>
        <w:rPr>
          <w:rFonts w:asciiTheme="minorEastAsia" w:hAnsiTheme="minorEastAsia"/>
          <w:sz w:val="18"/>
          <w:szCs w:val="18"/>
        </w:rPr>
        <w:t>以《产品说明书》中“信息披露</w:t>
      </w:r>
      <w:r>
        <w:rPr>
          <w:rFonts w:asciiTheme="minorEastAsia" w:hAnsiTheme="minorEastAsia" w:hint="eastAsia"/>
          <w:sz w:val="18"/>
          <w:szCs w:val="18"/>
        </w:rPr>
        <w:t xml:space="preserve">”约定为准。  </w:t>
      </w:r>
    </w:p>
    <w:p w:rsidR="008C4D74" w:rsidRDefault="008C4D74" w:rsidP="008C4D74">
      <w:pPr>
        <w:ind w:firstLineChars="200" w:firstLine="361"/>
        <w:rPr>
          <w:rFonts w:asciiTheme="minorEastAsia" w:hAnsiTheme="minorEastAsia"/>
          <w:b/>
          <w:bCs/>
          <w:sz w:val="18"/>
          <w:szCs w:val="18"/>
        </w:rPr>
      </w:pPr>
      <w:r>
        <w:rPr>
          <w:rFonts w:ascii="宋体" w:hAnsi="宋体" w:hint="eastAsia"/>
          <w:b/>
          <w:bCs/>
          <w:sz w:val="18"/>
          <w:szCs w:val="18"/>
        </w:rPr>
        <w:t>四、关于投诉与建议</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（一）</w:t>
      </w:r>
      <w:r>
        <w:rPr>
          <w:rFonts w:asciiTheme="minorEastAsia" w:hAnsiTheme="minorEastAsia" w:hint="eastAsia"/>
          <w:sz w:val="18"/>
          <w:szCs w:val="18"/>
        </w:rPr>
        <w:t>您对本产品有任何意见或异议，可向产品管理人或</w:t>
      </w:r>
      <w:r>
        <w:rPr>
          <w:rFonts w:ascii="宋体" w:hAnsi="宋体" w:hint="eastAsia"/>
          <w:sz w:val="18"/>
          <w:szCs w:val="18"/>
        </w:rPr>
        <w:t>销售机构</w:t>
      </w:r>
      <w:r>
        <w:rPr>
          <w:rFonts w:asciiTheme="minorEastAsia" w:hAnsiTheme="minorEastAsia" w:hint="eastAsia"/>
          <w:sz w:val="18"/>
          <w:szCs w:val="18"/>
        </w:rPr>
        <w:t>反馈</w:t>
      </w:r>
      <w:r>
        <w:rPr>
          <w:rFonts w:ascii="宋体" w:hAnsi="宋体" w:hint="eastAsia"/>
          <w:sz w:val="18"/>
          <w:szCs w:val="18"/>
        </w:rPr>
        <w:t>，产品管理人或销售机构将由专人接听、记录您的意见或建议，并由各方协商共同解决。</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（二）联络方式：</w:t>
      </w:r>
    </w:p>
    <w:p w:rsidR="008C4D74" w:rsidRDefault="008C4D74" w:rsidP="008C4D74">
      <w:pPr>
        <w:ind w:firstLineChars="200" w:firstLine="360"/>
        <w:rPr>
          <w:rFonts w:ascii="宋体" w:hAnsi="宋体"/>
          <w:sz w:val="18"/>
          <w:szCs w:val="18"/>
        </w:rPr>
      </w:pPr>
      <w:r>
        <w:rPr>
          <w:rFonts w:ascii="宋体" w:hAnsi="宋体" w:hint="eastAsia"/>
          <w:sz w:val="18"/>
          <w:szCs w:val="18"/>
        </w:rPr>
        <w:t>兴银理财客户服务热线：40015-95561。</w:t>
      </w:r>
    </w:p>
    <w:p w:rsidR="008C4D74" w:rsidRDefault="008C4D74" w:rsidP="008C4D74">
      <w:pPr>
        <w:spacing w:line="280" w:lineRule="atLeast"/>
        <w:ind w:firstLineChars="200" w:firstLine="360"/>
        <w:rPr>
          <w:rFonts w:ascii="宋体" w:hAnsi="宋体"/>
          <w:sz w:val="18"/>
          <w:szCs w:val="18"/>
        </w:rPr>
      </w:pPr>
      <w:r>
        <w:rPr>
          <w:rFonts w:ascii="宋体" w:hAnsi="宋体" w:hint="eastAsia"/>
          <w:sz w:val="18"/>
          <w:szCs w:val="18"/>
        </w:rPr>
        <w:t>通过兴业银行（作为销售机构）购</w:t>
      </w:r>
      <w:r>
        <w:rPr>
          <w:rFonts w:ascii="宋体" w:hAnsi="宋体"/>
          <w:sz w:val="18"/>
          <w:szCs w:val="18"/>
        </w:rPr>
        <w:t>买本产品的</w:t>
      </w:r>
      <w:r>
        <w:rPr>
          <w:rFonts w:ascii="宋体" w:hAnsi="宋体" w:hint="eastAsia"/>
          <w:sz w:val="18"/>
          <w:szCs w:val="18"/>
        </w:rPr>
        <w:t>，</w:t>
      </w:r>
      <w:r>
        <w:rPr>
          <w:rFonts w:ascii="宋体" w:hAnsi="宋体"/>
          <w:sz w:val="18"/>
          <w:szCs w:val="18"/>
        </w:rPr>
        <w:t>请联系兴业银行</w:t>
      </w:r>
      <w:r>
        <w:rPr>
          <w:rFonts w:ascii="宋体" w:hAnsi="宋体" w:hint="eastAsia"/>
          <w:sz w:val="18"/>
          <w:szCs w:val="18"/>
        </w:rPr>
        <w:t>，兴业银行客户服务热线：【</w:t>
      </w:r>
      <w:r>
        <w:rPr>
          <w:rFonts w:asciiTheme="minorEastAsia" w:hAnsiTheme="minorEastAsia"/>
          <w:sz w:val="18"/>
          <w:szCs w:val="18"/>
        </w:rPr>
        <w:t>95561</w:t>
      </w:r>
      <w:r>
        <w:rPr>
          <w:rFonts w:ascii="宋体" w:hAnsi="宋体" w:hint="eastAsia"/>
          <w:sz w:val="18"/>
          <w:szCs w:val="18"/>
        </w:rPr>
        <w:t>】；兴业银行门户网站：【</w:t>
      </w:r>
      <w:r>
        <w:rPr>
          <w:rFonts w:asciiTheme="minorEastAsia" w:hAnsiTheme="minorEastAsia"/>
          <w:sz w:val="18"/>
          <w:szCs w:val="18"/>
        </w:rPr>
        <w:t>www.cib.com.cn</w:t>
      </w:r>
      <w:r>
        <w:rPr>
          <w:rFonts w:ascii="宋体" w:hAnsi="宋体" w:hint="eastAsia"/>
          <w:sz w:val="18"/>
          <w:szCs w:val="18"/>
        </w:rPr>
        <w:t>】。</w:t>
      </w:r>
    </w:p>
    <w:p w:rsidR="008C4D74" w:rsidRDefault="008C4D74" w:rsidP="008C4D74">
      <w:pPr>
        <w:ind w:firstLineChars="200" w:firstLine="360"/>
        <w:rPr>
          <w:rFonts w:ascii="宋体" w:hAnsi="宋体"/>
          <w:sz w:val="18"/>
          <w:szCs w:val="18"/>
        </w:rPr>
      </w:pPr>
      <w:r>
        <w:rPr>
          <w:rFonts w:ascii="宋体" w:hAnsi="宋体" w:hint="eastAsia"/>
          <w:sz w:val="18"/>
          <w:szCs w:val="18"/>
        </w:rPr>
        <w:t>通过【        】（作为销售机构）购买本产品的，请联系【            】，【          】客户服务热线：【           】；【          】门户网站：【                  】。</w:t>
      </w:r>
    </w:p>
    <w:p w:rsidR="008C4D74" w:rsidRDefault="008C4D74" w:rsidP="008C4D74"/>
    <w:p w:rsidR="0068178B" w:rsidRPr="008C4D74" w:rsidRDefault="0068178B"/>
    <w:sectPr w:rsidR="0068178B" w:rsidRPr="008C4D74">
      <w:headerReference w:type="default" r:id="rId23"/>
      <w:footerReference w:type="default" r:id="rId24"/>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3141" w:rsidRDefault="000B3141" w:rsidP="008C4D74">
      <w:r>
        <w:separator/>
      </w:r>
    </w:p>
  </w:endnote>
  <w:endnote w:type="continuationSeparator" w:id="0">
    <w:p w:rsidR="000B3141" w:rsidRDefault="000B3141" w:rsidP="008C4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宋体"/>
    <w:panose1 w:val="00000000000000000000"/>
    <w:charset w:val="86"/>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6B43BC" w:rsidRDefault="000B3141">
        <w:pPr>
          <w:pStyle w:val="a3"/>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607F15">
          <w:rPr>
            <w:noProof/>
            <w:lang w:val="zh-CN"/>
          </w:rPr>
          <w:t>10</w:t>
        </w:r>
        <w:r>
          <w:rPr>
            <w:lang w:val="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D74" w:rsidRDefault="008C4D74">
    <w:pPr>
      <w:pStyle w:val="aa"/>
      <w:jc w:val="both"/>
      <w:rPr>
        <w:rFonts w:ascii="黑体" w:eastAsia="黑体" w:hAnsi="黑体"/>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D74" w:rsidRDefault="008C4D74">
    <w:pPr>
      <w:pStyle w:val="aa"/>
      <w:jc w:val="both"/>
      <w:rPr>
        <w:rFonts w:ascii="黑体" w:eastAsia="黑体" w:hAnsi="黑体"/>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D74" w:rsidRDefault="008C4D74">
    <w:pPr>
      <w:pStyle w:val="aa"/>
      <w:jc w:val="both"/>
      <w:rPr>
        <w:rFonts w:ascii="黑体" w:eastAsia="黑体" w:hAnsi="黑体"/>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715647"/>
    </w:sdtPr>
    <w:sdtEndPr/>
    <w:sdtContent>
      <w:p w:rsidR="00F9529B" w:rsidRDefault="000B3141">
        <w:pPr>
          <w:pStyle w:val="a3"/>
          <w:jc w:val="center"/>
        </w:pPr>
        <w:r>
          <w:fldChar w:fldCharType="begin"/>
        </w:r>
        <w:r>
          <w:instrText xml:space="preserve"> PAGE   \* MERGEFORMAT </w:instrText>
        </w:r>
        <w:r>
          <w:fldChar w:fldCharType="separate"/>
        </w:r>
        <w:r w:rsidR="00607F15" w:rsidRPr="00607F15">
          <w:rPr>
            <w:noProof/>
            <w:lang w:val="zh-CN"/>
          </w:rPr>
          <w:t>40</w:t>
        </w:r>
        <w:r>
          <w:fldChar w:fldCharType="end"/>
        </w:r>
      </w:p>
    </w:sdtContent>
  </w:sdt>
  <w:p w:rsidR="00F9529B" w:rsidRDefault="000B3141">
    <w:pPr>
      <w:pStyle w:val="aa"/>
      <w:jc w:val="both"/>
      <w:rPr>
        <w:rFonts w:ascii="黑体" w:eastAsia="黑体" w:hAnsi="黑体"/>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3017656"/>
    </w:sdtPr>
    <w:sdtEndPr/>
    <w:sdtContent>
      <w:p w:rsidR="00D7199E" w:rsidRDefault="000B3141">
        <w:pPr>
          <w:pStyle w:val="a3"/>
          <w:jc w:val="center"/>
        </w:pPr>
        <w:r>
          <w:fldChar w:fldCharType="begin"/>
        </w:r>
        <w:r>
          <w:instrText xml:space="preserve">PAGE   \* </w:instrText>
        </w:r>
        <w:r>
          <w:instrText>MERGEFORMAT</w:instrText>
        </w:r>
        <w:r>
          <w:fldChar w:fldCharType="separate"/>
        </w:r>
        <w:r w:rsidR="00607F15" w:rsidRPr="00607F15">
          <w:rPr>
            <w:noProof/>
            <w:lang w:val="zh-CN"/>
          </w:rPr>
          <w:t>53</w:t>
        </w:r>
        <w:r>
          <w:fldChar w:fldCharType="end"/>
        </w:r>
      </w:p>
    </w:sdtContent>
  </w:sdt>
  <w:p w:rsidR="00D7199E" w:rsidRDefault="000B3141">
    <w:pPr>
      <w:pStyle w:val="a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3202528"/>
    </w:sdtPr>
    <w:sdtEndPr/>
    <w:sdtContent>
      <w:p w:rsidR="00CE3508" w:rsidRDefault="000B3141">
        <w:pPr>
          <w:pStyle w:val="a3"/>
          <w:jc w:val="center"/>
        </w:pPr>
        <w:r>
          <w:rPr>
            <w:rFonts w:hint="eastAsia"/>
          </w:rPr>
          <w:t>第</w:t>
        </w:r>
        <w:r>
          <w:fldChar w:fldCharType="begin"/>
        </w:r>
        <w:r>
          <w:instrText>PAGE   \* MERGEFORMAT</w:instrText>
        </w:r>
        <w:r>
          <w:fldChar w:fldCharType="separate"/>
        </w:r>
        <w:r w:rsidR="00607F15" w:rsidRPr="00607F15">
          <w:rPr>
            <w:noProof/>
            <w:lang w:val="zh-CN"/>
          </w:rPr>
          <w:t>1</w:t>
        </w:r>
        <w:r>
          <w:fldChar w:fldCharType="end"/>
        </w:r>
        <w:r>
          <w:rPr>
            <w:rFonts w:hint="eastAsia"/>
          </w:rPr>
          <w:t>页</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3141" w:rsidRDefault="000B3141" w:rsidP="008C4D74">
      <w:r>
        <w:separator/>
      </w:r>
    </w:p>
  </w:footnote>
  <w:footnote w:type="continuationSeparator" w:id="0">
    <w:p w:rsidR="000B3141" w:rsidRDefault="000B3141" w:rsidP="008C4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43BC" w:rsidRDefault="000B3141">
    <w:pPr>
      <w:pStyle w:val="a4"/>
      <w:pBdr>
        <w:bottom w:val="thickThinLargeGap" w:sz="24" w:space="10" w:color="auto"/>
      </w:pBdr>
      <w:tabs>
        <w:tab w:val="right" w:pos="8280"/>
      </w:tabs>
      <w:wordWrap w:val="0"/>
      <w:adjustRightInd w:val="0"/>
      <w:jc w:val="right"/>
      <w:rPr>
        <w:b/>
      </w:rPr>
    </w:pPr>
    <w:r>
      <w:rPr>
        <w:rFonts w:hint="eastAsia"/>
        <w:b/>
      </w:rPr>
      <w:t>投资协议书</w:t>
    </w:r>
  </w:p>
  <w:p w:rsidR="006B43BC" w:rsidRDefault="000B3141">
    <w:pPr>
      <w:pStyle w:val="a4"/>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D74" w:rsidRDefault="008C4D74">
    <w:pPr>
      <w:pStyle w:val="a4"/>
      <w:pBdr>
        <w:bottom w:val="thickThinLargeGap" w:sz="24" w:space="10" w:color="auto"/>
      </w:pBdr>
      <w:tabs>
        <w:tab w:val="right" w:pos="8280"/>
      </w:tabs>
      <w:wordWrap w:val="0"/>
      <w:adjustRightInd w:val="0"/>
      <w:jc w:val="right"/>
      <w:rPr>
        <w:b/>
      </w:rPr>
    </w:pPr>
    <w:r>
      <w:rPr>
        <w:rFonts w:hint="eastAsia"/>
        <w:b/>
      </w:rPr>
      <w:t>投资协议书</w:t>
    </w:r>
  </w:p>
  <w:p w:rsidR="008C4D74" w:rsidRDefault="008C4D74">
    <w:pPr>
      <w:pStyle w:val="a4"/>
      <w:pBdr>
        <w:bottom w:val="thickThinLargeGap" w:sz="24" w:space="10" w:color="auto"/>
      </w:pBdr>
      <w:tabs>
        <w:tab w:val="right" w:pos="8280"/>
      </w:tabs>
      <w:wordWrap w:val="0"/>
      <w:adjustRightInd w:val="0"/>
      <w:jc w:val="right"/>
      <w:rPr>
        <w:b/>
      </w:rPr>
    </w:pPr>
    <w:r>
      <w:rPr>
        <w:rFonts w:hint="eastAsia"/>
        <w:b/>
      </w:rPr>
      <w:t>注：本文件由兴银理财有限责任公司统一编制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D74" w:rsidRDefault="008C4D74">
    <w:pPr>
      <w:pStyle w:val="a4"/>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8C4D74" w:rsidRDefault="008C4D74">
    <w:pPr>
      <w:pStyle w:val="a4"/>
      <w:pBdr>
        <w:bottom w:val="thickThinLargeGap" w:sz="24" w:space="0" w:color="auto"/>
      </w:pBdr>
      <w:tabs>
        <w:tab w:val="right" w:pos="8280"/>
      </w:tabs>
      <w:adjustRightInd w:val="0"/>
      <w:jc w:val="right"/>
    </w:pPr>
    <w:r>
      <w:rPr>
        <w:rFonts w:hint="eastAsia"/>
        <w:b/>
      </w:rPr>
      <w:t>注：本文件由兴银理财有限责任公司统一编制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4D74" w:rsidRDefault="008C4D74">
    <w:pPr>
      <w:pStyle w:val="a4"/>
      <w:pBdr>
        <w:bottom w:val="thickThinLargeGap" w:sz="24" w:space="0" w:color="auto"/>
      </w:pBdr>
      <w:tabs>
        <w:tab w:val="right" w:pos="8280"/>
      </w:tabs>
      <w:wordWrap w:val="0"/>
      <w:adjustRightInd w:val="0"/>
      <w:jc w:val="right"/>
      <w:rPr>
        <w:b/>
      </w:rPr>
    </w:pPr>
    <w:r>
      <w:rPr>
        <w:rFonts w:hint="eastAsia"/>
      </w:rPr>
      <w:t xml:space="preserve"> </w:t>
    </w:r>
    <w:r>
      <w:rPr>
        <w:rFonts w:hint="eastAsia"/>
        <w:b/>
      </w:rPr>
      <w:t>产品说明书</w:t>
    </w:r>
  </w:p>
  <w:p w:rsidR="008C4D74" w:rsidRDefault="008C4D74">
    <w:pPr>
      <w:pStyle w:val="a4"/>
      <w:pBdr>
        <w:bottom w:val="thickThinLargeGap" w:sz="24" w:space="0" w:color="auto"/>
      </w:pBdr>
      <w:tabs>
        <w:tab w:val="right" w:pos="8280"/>
      </w:tabs>
      <w:adjustRightInd w:val="0"/>
      <w:jc w:val="right"/>
    </w:pPr>
    <w:r>
      <w:rPr>
        <w:rFonts w:hint="eastAsia"/>
        <w:b/>
      </w:rPr>
      <w:t>注：本文件由兴银理财有限责任公司统一编制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199E" w:rsidRDefault="000B3141">
    <w:pPr>
      <w:pStyle w:val="a4"/>
      <w:pBdr>
        <w:bottom w:val="thickThinLargeGap" w:sz="24" w:space="10" w:color="auto"/>
      </w:pBdr>
      <w:tabs>
        <w:tab w:val="right" w:pos="8280"/>
      </w:tabs>
      <w:wordWrap w:val="0"/>
      <w:adjustRightInd w:val="0"/>
      <w:jc w:val="right"/>
      <w:rPr>
        <w:b/>
      </w:rPr>
    </w:pPr>
    <w:r>
      <w:rPr>
        <w:rFonts w:hint="eastAsia"/>
      </w:rPr>
      <w:t xml:space="preserve">                             </w:t>
    </w:r>
    <w:r>
      <w:t xml:space="preserve">    </w:t>
    </w:r>
    <w:r>
      <w:rPr>
        <w:rFonts w:hint="eastAsia"/>
      </w:rPr>
      <w:t xml:space="preserve"> </w:t>
    </w:r>
    <w:r>
      <w:t xml:space="preserve">                        </w:t>
    </w:r>
    <w:r>
      <w:rPr>
        <w:rFonts w:hint="eastAsia"/>
      </w:rPr>
      <w:t xml:space="preserve">  </w:t>
    </w:r>
    <w:r>
      <w:rPr>
        <w:b/>
      </w:rPr>
      <w:t xml:space="preserve">  </w:t>
    </w:r>
    <w:r>
      <w:rPr>
        <w:rFonts w:hint="eastAsia"/>
        <w:b/>
      </w:rPr>
      <w:t>（代理）销售协议书</w:t>
    </w:r>
  </w:p>
  <w:p w:rsidR="00D7199E" w:rsidRDefault="000B3141">
    <w:pPr>
      <w:pStyle w:val="a4"/>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7AF" w:rsidRDefault="000B3141">
    <w:pPr>
      <w:pStyle w:val="a4"/>
      <w:pBdr>
        <w:bottom w:val="thickThinLargeGap" w:sz="24" w:space="10" w:color="auto"/>
      </w:pBdr>
      <w:tabs>
        <w:tab w:val="right" w:pos="8280"/>
      </w:tabs>
      <w:wordWrap w:val="0"/>
      <w:adjustRightInd w:val="0"/>
      <w:ind w:firstLineChars="100" w:firstLine="180"/>
      <w:jc w:val="right"/>
    </w:pPr>
    <w:r>
      <w:rPr>
        <w:rFonts w:hint="eastAsia"/>
      </w:rPr>
      <w:t>风险揭示书</w:t>
    </w:r>
  </w:p>
  <w:p w:rsidR="00AB57AF" w:rsidRDefault="000B3141">
    <w:pPr>
      <w:pStyle w:val="a4"/>
      <w:pBdr>
        <w:bottom w:val="thickThinLargeGap" w:sz="24" w:space="10" w:color="auto"/>
      </w:pBdr>
      <w:tabs>
        <w:tab w:val="right" w:pos="8280"/>
      </w:tabs>
      <w:wordWrap w:val="0"/>
      <w:adjustRightInd w:val="0"/>
      <w:ind w:firstLineChars="100" w:firstLine="180"/>
      <w:jc w:val="right"/>
    </w:pPr>
    <w:r>
      <w:t>注</w:t>
    </w:r>
    <w:r>
      <w:rPr>
        <w:rFonts w:hint="eastAsia"/>
      </w:rPr>
      <w:t>：</w:t>
    </w:r>
    <w:r>
      <w:t>本文件由兴银理财有限责任公司统一编制</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508" w:rsidRDefault="000B3141">
    <w:pPr>
      <w:pStyle w:val="a4"/>
      <w:pBdr>
        <w:bottom w:val="thickThinLargeGap" w:sz="24" w:space="10" w:color="auto"/>
      </w:pBdr>
      <w:tabs>
        <w:tab w:val="right" w:pos="8280"/>
      </w:tabs>
      <w:wordWrap w:val="0"/>
      <w:adjustRightInd w:val="0"/>
      <w:ind w:firstLineChars="100" w:firstLine="180"/>
      <w:jc w:val="right"/>
    </w:pPr>
    <w:r>
      <w:rPr>
        <w:rFonts w:hint="eastAsia"/>
      </w:rPr>
      <w:t>投资者权益须知</w:t>
    </w:r>
  </w:p>
  <w:p w:rsidR="00CE3508" w:rsidRDefault="000B3141">
    <w:pPr>
      <w:pStyle w:val="a4"/>
      <w:pBdr>
        <w:bottom w:val="thickThinLargeGap" w:sz="24" w:space="10" w:color="auto"/>
      </w:pBdr>
      <w:tabs>
        <w:tab w:val="right" w:pos="8280"/>
      </w:tabs>
      <w:wordWrap w:val="0"/>
      <w:adjustRightInd w:val="0"/>
      <w:ind w:firstLineChars="100" w:firstLine="181"/>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9A2"/>
    <w:rsid w:val="000B3141"/>
    <w:rsid w:val="00607F15"/>
    <w:rsid w:val="0068178B"/>
    <w:rsid w:val="008C4D74"/>
    <w:rsid w:val="009B4474"/>
    <w:rsid w:val="00CA0551"/>
    <w:rsid w:val="00FF69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FF97F70-8AF5-4AE9-9162-7965667F3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D74"/>
    <w:pPr>
      <w:widowControl w:val="0"/>
      <w:jc w:val="both"/>
    </w:pPr>
    <w:rPr>
      <w:rFonts w:ascii="Times New Roman" w:eastAsia="宋体" w:hAnsi="Times New Roman" w:cs="Times New Roman"/>
      <w:szCs w:val="20"/>
    </w:rPr>
  </w:style>
  <w:style w:type="paragraph" w:styleId="1">
    <w:name w:val="heading 1"/>
    <w:basedOn w:val="a"/>
    <w:next w:val="a"/>
    <w:link w:val="1Char"/>
    <w:qFormat/>
    <w:rsid w:val="008C4D74"/>
    <w:pPr>
      <w:keepNext/>
      <w:keepLines/>
      <w:spacing w:before="120" w:after="120" w:line="360" w:lineRule="auto"/>
      <w:outlineLvl w:val="0"/>
    </w:pPr>
    <w:rPr>
      <w:rFonts w:ascii="宋体"/>
      <w:b/>
      <w:color w:val="000000"/>
      <w:kern w:val="0"/>
      <w:sz w:val="24"/>
    </w:rPr>
  </w:style>
  <w:style w:type="paragraph" w:styleId="2">
    <w:name w:val="heading 2"/>
    <w:basedOn w:val="a"/>
    <w:next w:val="a"/>
    <w:link w:val="2Char"/>
    <w:qFormat/>
    <w:rsid w:val="008C4D74"/>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rsid w:val="008C4D74"/>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rsid w:val="008C4D7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qFormat/>
    <w:rsid w:val="008C4D74"/>
    <w:rPr>
      <w:rFonts w:ascii="宋体" w:eastAsia="宋体" w:hAnsi="Times New Roman" w:cs="Times New Roman"/>
      <w:b/>
      <w:color w:val="000000"/>
      <w:kern w:val="0"/>
      <w:sz w:val="24"/>
      <w:szCs w:val="20"/>
    </w:rPr>
  </w:style>
  <w:style w:type="paragraph" w:styleId="a3">
    <w:name w:val="footer"/>
    <w:basedOn w:val="a"/>
    <w:link w:val="Char"/>
    <w:uiPriority w:val="99"/>
    <w:qFormat/>
    <w:rsid w:val="008C4D74"/>
    <w:pPr>
      <w:tabs>
        <w:tab w:val="center" w:pos="4153"/>
        <w:tab w:val="right" w:pos="8306"/>
      </w:tabs>
      <w:snapToGrid w:val="0"/>
      <w:jc w:val="left"/>
    </w:pPr>
    <w:rPr>
      <w:sz w:val="18"/>
    </w:rPr>
  </w:style>
  <w:style w:type="character" w:customStyle="1" w:styleId="Char">
    <w:name w:val="页脚 Char"/>
    <w:basedOn w:val="a0"/>
    <w:link w:val="a3"/>
    <w:uiPriority w:val="99"/>
    <w:qFormat/>
    <w:rsid w:val="008C4D74"/>
    <w:rPr>
      <w:rFonts w:ascii="Times New Roman" w:eastAsia="宋体" w:hAnsi="Times New Roman" w:cs="Times New Roman"/>
      <w:sz w:val="18"/>
      <w:szCs w:val="20"/>
    </w:rPr>
  </w:style>
  <w:style w:type="paragraph" w:styleId="a4">
    <w:name w:val="header"/>
    <w:basedOn w:val="a"/>
    <w:link w:val="Char0"/>
    <w:qFormat/>
    <w:rsid w:val="008C4D74"/>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4"/>
    <w:qFormat/>
    <w:rsid w:val="008C4D74"/>
    <w:rPr>
      <w:rFonts w:ascii="Times New Roman" w:eastAsia="宋体" w:hAnsi="Times New Roman" w:cs="Times New Roman"/>
      <w:sz w:val="18"/>
      <w:szCs w:val="20"/>
    </w:rPr>
  </w:style>
  <w:style w:type="paragraph" w:styleId="10">
    <w:name w:val="toc 1"/>
    <w:basedOn w:val="a"/>
    <w:next w:val="a"/>
    <w:uiPriority w:val="39"/>
    <w:qFormat/>
    <w:rsid w:val="008C4D74"/>
    <w:pPr>
      <w:tabs>
        <w:tab w:val="right" w:leader="dot" w:pos="8296"/>
      </w:tabs>
      <w:spacing w:line="360" w:lineRule="auto"/>
    </w:pPr>
  </w:style>
  <w:style w:type="paragraph" w:styleId="a5">
    <w:name w:val="Normal (Web)"/>
    <w:basedOn w:val="a"/>
    <w:unhideWhenUsed/>
    <w:qFormat/>
    <w:rsid w:val="008C4D74"/>
    <w:pPr>
      <w:widowControl/>
      <w:spacing w:before="100" w:beforeAutospacing="1" w:after="100" w:afterAutospacing="1"/>
      <w:jc w:val="left"/>
    </w:pPr>
    <w:rPr>
      <w:rFonts w:ascii="宋体" w:hAnsi="宋体" w:cs="宋体"/>
      <w:kern w:val="0"/>
      <w:sz w:val="24"/>
      <w:szCs w:val="24"/>
    </w:rPr>
  </w:style>
  <w:style w:type="character" w:styleId="a6">
    <w:name w:val="Strong"/>
    <w:uiPriority w:val="22"/>
    <w:qFormat/>
    <w:rsid w:val="008C4D74"/>
    <w:rPr>
      <w:b/>
      <w:bCs/>
    </w:rPr>
  </w:style>
  <w:style w:type="character" w:styleId="a7">
    <w:name w:val="Hyperlink"/>
    <w:uiPriority w:val="99"/>
    <w:qFormat/>
    <w:rsid w:val="008C4D74"/>
    <w:rPr>
      <w:color w:val="0000FF"/>
      <w:u w:val="single"/>
    </w:rPr>
  </w:style>
  <w:style w:type="table" w:styleId="a8">
    <w:name w:val="Table Grid"/>
    <w:basedOn w:val="a1"/>
    <w:qFormat/>
    <w:rsid w:val="008C4D74"/>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8C4D74"/>
    <w:pPr>
      <w:widowControl w:val="0"/>
      <w:autoSpaceDE w:val="0"/>
      <w:autoSpaceDN w:val="0"/>
      <w:adjustRightInd w:val="0"/>
    </w:pPr>
    <w:rPr>
      <w:rFonts w:ascii="宋体" w:eastAsia="宋体" w:hAnsi="Times New Roman" w:cs="Times New Roman"/>
      <w:color w:val="000000"/>
      <w:kern w:val="0"/>
      <w:sz w:val="24"/>
      <w:szCs w:val="20"/>
    </w:rPr>
  </w:style>
  <w:style w:type="paragraph" w:styleId="a9">
    <w:name w:val="List Paragraph"/>
    <w:basedOn w:val="a"/>
    <w:qFormat/>
    <w:rsid w:val="008C4D74"/>
    <w:pPr>
      <w:ind w:firstLineChars="200" w:firstLine="420"/>
    </w:pPr>
  </w:style>
  <w:style w:type="paragraph" w:customStyle="1" w:styleId="TOC1">
    <w:name w:val="TOC 标题1"/>
    <w:basedOn w:val="1"/>
    <w:next w:val="a"/>
    <w:uiPriority w:val="39"/>
    <w:unhideWhenUsed/>
    <w:qFormat/>
    <w:rsid w:val="008C4D74"/>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2Char">
    <w:name w:val="标题 2 Char"/>
    <w:basedOn w:val="a0"/>
    <w:link w:val="2"/>
    <w:qFormat/>
    <w:rsid w:val="008C4D74"/>
    <w:rPr>
      <w:rFonts w:ascii="Arial" w:eastAsia="黑体" w:hAnsi="Arial" w:cs="Times New Roman"/>
      <w:b/>
      <w:sz w:val="32"/>
      <w:szCs w:val="20"/>
    </w:rPr>
  </w:style>
  <w:style w:type="character" w:customStyle="1" w:styleId="3Char">
    <w:name w:val="标题 3 Char"/>
    <w:basedOn w:val="a0"/>
    <w:link w:val="3"/>
    <w:qFormat/>
    <w:rsid w:val="008C4D74"/>
    <w:rPr>
      <w:rFonts w:ascii="Times New Roman" w:eastAsia="宋体" w:hAnsi="Times New Roman" w:cs="Times New Roman"/>
      <w:b/>
      <w:sz w:val="32"/>
      <w:szCs w:val="20"/>
    </w:rPr>
  </w:style>
  <w:style w:type="character" w:customStyle="1" w:styleId="4Char">
    <w:name w:val="标题 4 Char"/>
    <w:basedOn w:val="a0"/>
    <w:link w:val="4"/>
    <w:uiPriority w:val="9"/>
    <w:semiHidden/>
    <w:qFormat/>
    <w:rsid w:val="008C4D74"/>
    <w:rPr>
      <w:rFonts w:asciiTheme="majorHAnsi" w:eastAsiaTheme="majorEastAsia" w:hAnsiTheme="majorHAnsi" w:cstheme="majorBidi"/>
      <w:b/>
      <w:bCs/>
      <w:sz w:val="28"/>
      <w:szCs w:val="28"/>
    </w:rPr>
  </w:style>
  <w:style w:type="paragraph" w:styleId="aa">
    <w:name w:val="annotation text"/>
    <w:basedOn w:val="a"/>
    <w:link w:val="Char1"/>
    <w:uiPriority w:val="99"/>
    <w:unhideWhenUsed/>
    <w:qFormat/>
    <w:rsid w:val="008C4D74"/>
    <w:pPr>
      <w:jc w:val="left"/>
    </w:pPr>
  </w:style>
  <w:style w:type="character" w:customStyle="1" w:styleId="Char1">
    <w:name w:val="批注文字 Char"/>
    <w:basedOn w:val="a0"/>
    <w:link w:val="aa"/>
    <w:uiPriority w:val="99"/>
    <w:qFormat/>
    <w:rsid w:val="008C4D74"/>
    <w:rPr>
      <w:rFonts w:ascii="Times New Roman" w:eastAsia="宋体" w:hAnsi="Times New Roman" w:cs="Times New Roman"/>
      <w:szCs w:val="20"/>
    </w:rPr>
  </w:style>
  <w:style w:type="paragraph" w:styleId="ab">
    <w:name w:val="annotation subject"/>
    <w:basedOn w:val="aa"/>
    <w:next w:val="aa"/>
    <w:link w:val="Char2"/>
    <w:qFormat/>
    <w:rsid w:val="008C4D74"/>
    <w:rPr>
      <w:rFonts w:ascii="Calibri" w:hAnsi="Calibri" w:cs="宋体"/>
      <w:b/>
      <w:bCs/>
      <w:szCs w:val="22"/>
    </w:rPr>
  </w:style>
  <w:style w:type="character" w:customStyle="1" w:styleId="Char2">
    <w:name w:val="批注主题 Char"/>
    <w:basedOn w:val="Char1"/>
    <w:link w:val="ab"/>
    <w:qFormat/>
    <w:rsid w:val="008C4D74"/>
    <w:rPr>
      <w:rFonts w:ascii="Calibri" w:eastAsia="宋体" w:hAnsi="Calibri" w:cs="宋体"/>
      <w:b/>
      <w:bCs/>
      <w:szCs w:val="20"/>
    </w:rPr>
  </w:style>
  <w:style w:type="paragraph" w:styleId="ac">
    <w:name w:val="Normal Indent"/>
    <w:basedOn w:val="a"/>
    <w:qFormat/>
    <w:rsid w:val="008C4D74"/>
    <w:pPr>
      <w:ind w:firstLineChars="200" w:firstLine="420"/>
    </w:pPr>
  </w:style>
  <w:style w:type="paragraph" w:styleId="ad">
    <w:name w:val="Document Map"/>
    <w:basedOn w:val="a"/>
    <w:link w:val="Char3"/>
    <w:qFormat/>
    <w:rsid w:val="008C4D74"/>
    <w:pPr>
      <w:shd w:val="clear" w:color="auto" w:fill="000080"/>
    </w:pPr>
  </w:style>
  <w:style w:type="character" w:customStyle="1" w:styleId="Char3">
    <w:name w:val="文档结构图 Char"/>
    <w:basedOn w:val="a0"/>
    <w:link w:val="ad"/>
    <w:qFormat/>
    <w:rsid w:val="008C4D74"/>
    <w:rPr>
      <w:rFonts w:ascii="Times New Roman" w:eastAsia="宋体" w:hAnsi="Times New Roman" w:cs="Times New Roman"/>
      <w:szCs w:val="20"/>
      <w:shd w:val="clear" w:color="auto" w:fill="000080"/>
    </w:rPr>
  </w:style>
  <w:style w:type="paragraph" w:styleId="ae">
    <w:name w:val="Body Text"/>
    <w:basedOn w:val="a"/>
    <w:link w:val="Char4"/>
    <w:qFormat/>
    <w:rsid w:val="008C4D74"/>
    <w:pPr>
      <w:autoSpaceDE w:val="0"/>
      <w:autoSpaceDN w:val="0"/>
      <w:adjustRightInd w:val="0"/>
      <w:spacing w:line="360" w:lineRule="auto"/>
      <w:jc w:val="left"/>
    </w:pPr>
    <w:rPr>
      <w:rFonts w:ascii="宋体" w:hAnsi="Calibri" w:cs="宋体"/>
      <w:kern w:val="0"/>
      <w:sz w:val="20"/>
    </w:rPr>
  </w:style>
  <w:style w:type="character" w:customStyle="1" w:styleId="Char4">
    <w:name w:val="正文文本 Char"/>
    <w:basedOn w:val="a0"/>
    <w:link w:val="ae"/>
    <w:qFormat/>
    <w:rsid w:val="008C4D74"/>
    <w:rPr>
      <w:rFonts w:ascii="宋体" w:eastAsia="宋体" w:hAnsi="Calibri" w:cs="宋体"/>
      <w:kern w:val="0"/>
      <w:sz w:val="20"/>
      <w:szCs w:val="20"/>
    </w:rPr>
  </w:style>
  <w:style w:type="paragraph" w:styleId="30">
    <w:name w:val="toc 3"/>
    <w:basedOn w:val="a"/>
    <w:next w:val="a"/>
    <w:uiPriority w:val="39"/>
    <w:qFormat/>
    <w:rsid w:val="008C4D74"/>
    <w:pPr>
      <w:widowControl/>
      <w:spacing w:after="100" w:line="276" w:lineRule="auto"/>
      <w:ind w:left="440"/>
      <w:jc w:val="left"/>
    </w:pPr>
    <w:rPr>
      <w:rFonts w:ascii="Calibri" w:hAnsi="Calibri" w:cs="宋体"/>
      <w:kern w:val="0"/>
      <w:sz w:val="22"/>
      <w:szCs w:val="22"/>
    </w:rPr>
  </w:style>
  <w:style w:type="paragraph" w:styleId="af">
    <w:name w:val="Plain Text"/>
    <w:basedOn w:val="a"/>
    <w:link w:val="Char5"/>
    <w:qFormat/>
    <w:rsid w:val="008C4D74"/>
    <w:pPr>
      <w:adjustRightInd w:val="0"/>
      <w:spacing w:line="312" w:lineRule="atLeast"/>
      <w:textAlignment w:val="baseline"/>
    </w:pPr>
    <w:rPr>
      <w:rFonts w:ascii="宋体" w:hAnsi="Courier New"/>
      <w:kern w:val="0"/>
    </w:rPr>
  </w:style>
  <w:style w:type="character" w:customStyle="1" w:styleId="Char5">
    <w:name w:val="纯文本 Char"/>
    <w:basedOn w:val="a0"/>
    <w:link w:val="af"/>
    <w:qFormat/>
    <w:rsid w:val="008C4D74"/>
    <w:rPr>
      <w:rFonts w:ascii="宋体" w:eastAsia="宋体" w:hAnsi="Courier New" w:cs="Times New Roman"/>
      <w:kern w:val="0"/>
      <w:szCs w:val="20"/>
    </w:rPr>
  </w:style>
  <w:style w:type="paragraph" w:styleId="20">
    <w:name w:val="Body Text Indent 2"/>
    <w:basedOn w:val="a"/>
    <w:link w:val="2Char0"/>
    <w:qFormat/>
    <w:rsid w:val="008C4D74"/>
    <w:pPr>
      <w:spacing w:line="360" w:lineRule="auto"/>
      <w:ind w:firstLine="425"/>
    </w:pPr>
    <w:rPr>
      <w:rFonts w:ascii="仿宋_GB2312" w:eastAsia="仿宋_GB2312"/>
      <w:sz w:val="28"/>
    </w:rPr>
  </w:style>
  <w:style w:type="character" w:customStyle="1" w:styleId="2Char0">
    <w:name w:val="正文文本缩进 2 Char"/>
    <w:basedOn w:val="a0"/>
    <w:link w:val="20"/>
    <w:qFormat/>
    <w:rsid w:val="008C4D74"/>
    <w:rPr>
      <w:rFonts w:ascii="仿宋_GB2312" w:eastAsia="仿宋_GB2312" w:hAnsi="Times New Roman" w:cs="Times New Roman"/>
      <w:sz w:val="28"/>
      <w:szCs w:val="20"/>
    </w:rPr>
  </w:style>
  <w:style w:type="paragraph" w:styleId="af0">
    <w:name w:val="Balloon Text"/>
    <w:basedOn w:val="a"/>
    <w:link w:val="Char6"/>
    <w:uiPriority w:val="99"/>
    <w:qFormat/>
    <w:rsid w:val="008C4D74"/>
    <w:rPr>
      <w:rFonts w:ascii="Calibri" w:hAnsi="Calibri" w:cs="宋体"/>
      <w:sz w:val="18"/>
      <w:szCs w:val="18"/>
    </w:rPr>
  </w:style>
  <w:style w:type="character" w:customStyle="1" w:styleId="Char6">
    <w:name w:val="批注框文本 Char"/>
    <w:basedOn w:val="a0"/>
    <w:link w:val="af0"/>
    <w:uiPriority w:val="99"/>
    <w:qFormat/>
    <w:rsid w:val="008C4D74"/>
    <w:rPr>
      <w:rFonts w:ascii="Calibri" w:eastAsia="宋体" w:hAnsi="Calibri" w:cs="宋体"/>
      <w:sz w:val="18"/>
      <w:szCs w:val="18"/>
    </w:rPr>
  </w:style>
  <w:style w:type="paragraph" w:styleId="af1">
    <w:name w:val="footnote text"/>
    <w:basedOn w:val="a"/>
    <w:link w:val="Char7"/>
    <w:qFormat/>
    <w:rsid w:val="008C4D74"/>
    <w:pPr>
      <w:snapToGrid w:val="0"/>
      <w:jc w:val="left"/>
    </w:pPr>
    <w:rPr>
      <w:sz w:val="18"/>
    </w:rPr>
  </w:style>
  <w:style w:type="character" w:customStyle="1" w:styleId="Char7">
    <w:name w:val="脚注文本 Char"/>
    <w:basedOn w:val="a0"/>
    <w:link w:val="af1"/>
    <w:qFormat/>
    <w:rsid w:val="008C4D74"/>
    <w:rPr>
      <w:rFonts w:ascii="Times New Roman" w:eastAsia="宋体" w:hAnsi="Times New Roman" w:cs="Times New Roman"/>
      <w:sz w:val="18"/>
      <w:szCs w:val="20"/>
    </w:rPr>
  </w:style>
  <w:style w:type="paragraph" w:styleId="31">
    <w:name w:val="Body Text Indent 3"/>
    <w:basedOn w:val="a"/>
    <w:link w:val="3Char0"/>
    <w:qFormat/>
    <w:rsid w:val="008C4D74"/>
    <w:pPr>
      <w:autoSpaceDE w:val="0"/>
      <w:autoSpaceDN w:val="0"/>
      <w:adjustRightInd w:val="0"/>
      <w:spacing w:line="360" w:lineRule="auto"/>
      <w:ind w:left="420" w:firstLine="435"/>
    </w:pPr>
    <w:rPr>
      <w:color w:val="0000FF"/>
    </w:rPr>
  </w:style>
  <w:style w:type="character" w:customStyle="1" w:styleId="3Char0">
    <w:name w:val="正文文本缩进 3 Char"/>
    <w:basedOn w:val="a0"/>
    <w:link w:val="31"/>
    <w:qFormat/>
    <w:rsid w:val="008C4D74"/>
    <w:rPr>
      <w:rFonts w:ascii="Times New Roman" w:eastAsia="宋体" w:hAnsi="Times New Roman" w:cs="Times New Roman"/>
      <w:color w:val="0000FF"/>
      <w:szCs w:val="20"/>
    </w:rPr>
  </w:style>
  <w:style w:type="paragraph" w:styleId="21">
    <w:name w:val="toc 2"/>
    <w:basedOn w:val="a"/>
    <w:next w:val="a"/>
    <w:uiPriority w:val="39"/>
    <w:qFormat/>
    <w:rsid w:val="008C4D74"/>
    <w:pPr>
      <w:widowControl/>
      <w:spacing w:after="100" w:line="276" w:lineRule="auto"/>
      <w:ind w:left="220"/>
      <w:jc w:val="left"/>
    </w:pPr>
    <w:rPr>
      <w:rFonts w:ascii="Calibri" w:hAnsi="Calibri" w:cs="宋体"/>
      <w:kern w:val="0"/>
      <w:sz w:val="22"/>
      <w:szCs w:val="22"/>
    </w:rPr>
  </w:style>
  <w:style w:type="paragraph" w:styleId="HTML">
    <w:name w:val="HTML Preformatted"/>
    <w:basedOn w:val="a"/>
    <w:link w:val="HTMLChar"/>
    <w:uiPriority w:val="99"/>
    <w:qFormat/>
    <w:rsid w:val="008C4D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qFormat/>
    <w:rsid w:val="008C4D74"/>
    <w:rPr>
      <w:rFonts w:ascii="宋体" w:eastAsia="宋体" w:hAnsi="宋体" w:cs="宋体"/>
      <w:kern w:val="0"/>
      <w:sz w:val="24"/>
      <w:szCs w:val="24"/>
    </w:rPr>
  </w:style>
  <w:style w:type="paragraph" w:styleId="af2">
    <w:name w:val="Title"/>
    <w:basedOn w:val="a"/>
    <w:next w:val="a"/>
    <w:link w:val="Char8"/>
    <w:qFormat/>
    <w:rsid w:val="008C4D74"/>
    <w:pPr>
      <w:spacing w:before="240" w:after="60"/>
      <w:jc w:val="center"/>
      <w:outlineLvl w:val="0"/>
    </w:pPr>
    <w:rPr>
      <w:rFonts w:ascii="Cambria" w:hAnsi="Cambria" w:cs="宋体"/>
      <w:b/>
      <w:sz w:val="32"/>
    </w:rPr>
  </w:style>
  <w:style w:type="character" w:customStyle="1" w:styleId="Char8">
    <w:name w:val="标题 Char"/>
    <w:basedOn w:val="a0"/>
    <w:link w:val="af2"/>
    <w:qFormat/>
    <w:rsid w:val="008C4D74"/>
    <w:rPr>
      <w:rFonts w:ascii="Cambria" w:eastAsia="宋体" w:hAnsi="Cambria" w:cs="宋体"/>
      <w:b/>
      <w:sz w:val="32"/>
      <w:szCs w:val="20"/>
    </w:rPr>
  </w:style>
  <w:style w:type="character" w:styleId="af3">
    <w:name w:val="page number"/>
    <w:basedOn w:val="a0"/>
    <w:qFormat/>
    <w:rsid w:val="008C4D74"/>
  </w:style>
  <w:style w:type="character" w:styleId="af4">
    <w:name w:val="annotation reference"/>
    <w:uiPriority w:val="99"/>
    <w:qFormat/>
    <w:rsid w:val="008C4D74"/>
    <w:rPr>
      <w:sz w:val="21"/>
      <w:szCs w:val="21"/>
    </w:rPr>
  </w:style>
  <w:style w:type="character" w:styleId="af5">
    <w:name w:val="footnote reference"/>
    <w:qFormat/>
    <w:rsid w:val="008C4D74"/>
    <w:rPr>
      <w:vertAlign w:val="superscript"/>
    </w:rPr>
  </w:style>
  <w:style w:type="paragraph" w:customStyle="1" w:styleId="af6">
    <w:name w:val="a"/>
    <w:basedOn w:val="a"/>
    <w:uiPriority w:val="99"/>
    <w:qFormat/>
    <w:rsid w:val="008C4D74"/>
    <w:pPr>
      <w:widowControl/>
      <w:spacing w:before="100" w:beforeAutospacing="1" w:after="100" w:afterAutospacing="1"/>
      <w:jc w:val="left"/>
    </w:pPr>
    <w:rPr>
      <w:rFonts w:ascii="宋体" w:hAnsi="宋体" w:cs="宋体"/>
      <w:kern w:val="0"/>
      <w:sz w:val="24"/>
      <w:szCs w:val="24"/>
    </w:rPr>
  </w:style>
  <w:style w:type="paragraph" w:customStyle="1" w:styleId="11">
    <w:name w:val="修订1"/>
    <w:uiPriority w:val="99"/>
    <w:qFormat/>
    <w:rsid w:val="008C4D74"/>
    <w:rPr>
      <w:rFonts w:ascii="Calibri" w:eastAsia="宋体" w:hAnsi="Calibri" w:cs="宋体"/>
    </w:rPr>
  </w:style>
  <w:style w:type="paragraph" w:customStyle="1" w:styleId="p0">
    <w:name w:val="p0"/>
    <w:basedOn w:val="a"/>
    <w:qFormat/>
    <w:rsid w:val="008C4D74"/>
    <w:pPr>
      <w:widowControl/>
      <w:spacing w:before="100" w:beforeAutospacing="1" w:after="100" w:afterAutospacing="1"/>
      <w:jc w:val="left"/>
    </w:pPr>
    <w:rPr>
      <w:rFonts w:ascii="宋体" w:hAnsi="宋体" w:cs="宋体"/>
      <w:kern w:val="0"/>
      <w:sz w:val="24"/>
      <w:szCs w:val="24"/>
    </w:rPr>
  </w:style>
  <w:style w:type="paragraph" w:customStyle="1" w:styleId="22">
    <w:name w:val="修订2"/>
    <w:hidden/>
    <w:uiPriority w:val="99"/>
    <w:semiHidden/>
    <w:qFormat/>
    <w:rsid w:val="008C4D74"/>
    <w:rPr>
      <w:rFonts w:ascii="Calibri" w:eastAsia="宋体" w:hAnsi="Calibri" w:cs="宋体"/>
    </w:rPr>
  </w:style>
  <w:style w:type="character" w:customStyle="1" w:styleId="Char10">
    <w:name w:val="批注文字 Char1"/>
    <w:basedOn w:val="a0"/>
    <w:qFormat/>
    <w:rsid w:val="008C4D74"/>
    <w:rPr>
      <w:kern w:val="2"/>
      <w:sz w:val="21"/>
    </w:rPr>
  </w:style>
  <w:style w:type="paragraph" w:customStyle="1" w:styleId="32">
    <w:name w:val="修订3"/>
    <w:hidden/>
    <w:uiPriority w:val="99"/>
    <w:semiHidden/>
    <w:qFormat/>
    <w:rsid w:val="008C4D74"/>
    <w:rPr>
      <w:rFonts w:ascii="Calibri" w:eastAsia="宋体" w:hAnsi="Calibri" w:cs="宋体"/>
    </w:rPr>
  </w:style>
  <w:style w:type="paragraph" w:customStyle="1" w:styleId="TOC2">
    <w:name w:val="TOC 标题2"/>
    <w:basedOn w:val="1"/>
    <w:next w:val="a"/>
    <w:uiPriority w:val="39"/>
    <w:unhideWhenUsed/>
    <w:qFormat/>
    <w:rsid w:val="008C4D74"/>
    <w:pPr>
      <w:widowControl/>
      <w:spacing w:before="480" w:after="0" w:line="276" w:lineRule="auto"/>
      <w:jc w:val="left"/>
      <w:outlineLvl w:val="9"/>
    </w:pPr>
    <w:rPr>
      <w:rFonts w:asciiTheme="majorHAnsi" w:eastAsiaTheme="majorEastAsia" w:hAnsiTheme="majorHAnsi" w:cstheme="majorBidi"/>
      <w:bCs/>
      <w:color w:val="2E74B5" w:themeColor="accent1" w:themeShade="BF"/>
      <w:sz w:val="28"/>
      <w:szCs w:val="28"/>
    </w:rPr>
  </w:style>
  <w:style w:type="character" w:customStyle="1" w:styleId="unnamed11">
    <w:name w:val="unnamed11"/>
    <w:qFormat/>
    <w:rsid w:val="008C4D74"/>
    <w:rPr>
      <w:rFonts w:ascii="宋体" w:eastAsia="宋体" w:hAnsi="宋体" w:hint="eastAsia"/>
      <w:sz w:val="18"/>
    </w:rPr>
  </w:style>
  <w:style w:type="character" w:customStyle="1" w:styleId="read">
    <w:name w:val="read"/>
    <w:basedOn w:val="a0"/>
    <w:qFormat/>
    <w:rsid w:val="008C4D74"/>
  </w:style>
  <w:style w:type="paragraph" w:customStyle="1" w:styleId="Char9">
    <w:name w:val="Char"/>
    <w:basedOn w:val="a"/>
    <w:qFormat/>
    <w:rsid w:val="008C4D74"/>
  </w:style>
  <w:style w:type="paragraph" w:customStyle="1" w:styleId="CharCharCharChar">
    <w:name w:val="Char Char Char Char"/>
    <w:basedOn w:val="a"/>
    <w:qFormat/>
    <w:rsid w:val="008C4D74"/>
    <w:pPr>
      <w:tabs>
        <w:tab w:val="left" w:pos="360"/>
      </w:tabs>
    </w:pPr>
  </w:style>
  <w:style w:type="paragraph" w:customStyle="1" w:styleId="CharChar1">
    <w:name w:val="Char Char1"/>
    <w:basedOn w:val="a"/>
    <w:qFormat/>
    <w:rsid w:val="008C4D74"/>
  </w:style>
  <w:style w:type="paragraph" w:customStyle="1" w:styleId="unnamed1">
    <w:name w:val="unnamed1"/>
    <w:basedOn w:val="a"/>
    <w:qFormat/>
    <w:rsid w:val="008C4D74"/>
    <w:pPr>
      <w:spacing w:before="60" w:after="60"/>
      <w:ind w:left="15" w:right="15"/>
    </w:pPr>
    <w:rPr>
      <w:rFonts w:ascii="宋体" w:hAnsi="宋体" w:hint="eastAsia"/>
      <w:color w:val="000000"/>
      <w:sz w:val="18"/>
      <w:szCs w:val="18"/>
    </w:rPr>
  </w:style>
  <w:style w:type="paragraph" w:customStyle="1" w:styleId="af7">
    <w:name w:val="正文正文"/>
    <w:basedOn w:val="a"/>
    <w:qFormat/>
    <w:rsid w:val="008C4D74"/>
    <w:pPr>
      <w:spacing w:afterLines="25" w:line="360" w:lineRule="auto"/>
      <w:ind w:firstLineChars="200" w:firstLine="200"/>
    </w:pPr>
    <w:rPr>
      <w:sz w:val="24"/>
    </w:rPr>
  </w:style>
  <w:style w:type="paragraph" w:customStyle="1" w:styleId="Char20">
    <w:name w:val="Char2"/>
    <w:basedOn w:val="a"/>
    <w:qFormat/>
    <w:rsid w:val="008C4D74"/>
  </w:style>
  <w:style w:type="paragraph" w:customStyle="1" w:styleId="CharChar">
    <w:name w:val="Char Char"/>
    <w:basedOn w:val="a"/>
    <w:qFormat/>
    <w:rsid w:val="008C4D74"/>
  </w:style>
  <w:style w:type="character" w:customStyle="1" w:styleId="Char11">
    <w:name w:val="正文文本 Char1"/>
    <w:basedOn w:val="a0"/>
    <w:uiPriority w:val="99"/>
    <w:semiHidden/>
    <w:qFormat/>
    <w:rsid w:val="008C4D74"/>
    <w:rPr>
      <w:kern w:val="2"/>
      <w:sz w:val="21"/>
      <w:szCs w:val="22"/>
    </w:rPr>
  </w:style>
  <w:style w:type="character" w:customStyle="1" w:styleId="Char12">
    <w:name w:val="标题 Char1"/>
    <w:basedOn w:val="a0"/>
    <w:uiPriority w:val="10"/>
    <w:qFormat/>
    <w:rsid w:val="008C4D74"/>
    <w:rPr>
      <w:rFonts w:asciiTheme="majorHAnsi" w:hAnsiTheme="majorHAnsi" w:cstheme="majorBidi"/>
      <w:b/>
      <w:bCs/>
      <w:kern w:val="2"/>
      <w:sz w:val="32"/>
      <w:szCs w:val="32"/>
    </w:rPr>
  </w:style>
  <w:style w:type="paragraph" w:customStyle="1" w:styleId="CharCharChar">
    <w:name w:val="Char Char Char"/>
    <w:basedOn w:val="a"/>
    <w:qFormat/>
    <w:rsid w:val="008C4D74"/>
  </w:style>
  <w:style w:type="paragraph" w:customStyle="1" w:styleId="msonormal1">
    <w:name w:val="msonormal1"/>
    <w:qFormat/>
    <w:rsid w:val="008C4D74"/>
    <w:pPr>
      <w:widowControl w:val="0"/>
      <w:jc w:val="both"/>
    </w:pPr>
    <w:rPr>
      <w:rFonts w:ascii="Times New Roman" w:eastAsia="宋体" w:hAnsi="Times New Roman" w:cs="Times New Roman"/>
      <w:szCs w:val="20"/>
    </w:rPr>
  </w:style>
  <w:style w:type="paragraph" w:customStyle="1" w:styleId="Listbullet">
    <w:name w:val="List_bullet"/>
    <w:basedOn w:val="a"/>
    <w:qFormat/>
    <w:rsid w:val="008C4D74"/>
    <w:pPr>
      <w:widowControl/>
      <w:numPr>
        <w:numId w:val="1"/>
      </w:numPr>
      <w:jc w:val="left"/>
    </w:pPr>
    <w:rPr>
      <w:kern w:val="0"/>
      <w:sz w:val="24"/>
    </w:rPr>
  </w:style>
  <w:style w:type="paragraph" w:customStyle="1" w:styleId="InfoBlue">
    <w:name w:val="InfoBlue"/>
    <w:basedOn w:val="a"/>
    <w:next w:val="ae"/>
    <w:qFormat/>
    <w:rsid w:val="008C4D74"/>
    <w:pPr>
      <w:tabs>
        <w:tab w:val="left" w:pos="420"/>
      </w:tabs>
      <w:spacing w:after="120" w:line="240" w:lineRule="atLeast"/>
      <w:ind w:left="420" w:hanging="420"/>
      <w:jc w:val="left"/>
    </w:pPr>
    <w:rPr>
      <w:rFonts w:ascii="宋体" w:hAnsi="宋体"/>
    </w:rPr>
  </w:style>
  <w:style w:type="paragraph" w:customStyle="1" w:styleId="af8">
    <w:name w:val="正文所"/>
    <w:basedOn w:val="a"/>
    <w:qFormat/>
    <w:rsid w:val="008C4D74"/>
    <w:pPr>
      <w:spacing w:line="360" w:lineRule="auto"/>
      <w:ind w:firstLineChars="200" w:firstLine="420"/>
    </w:pPr>
    <w:rPr>
      <w:rFonts w:ascii="宋体"/>
    </w:rPr>
  </w:style>
  <w:style w:type="paragraph" w:customStyle="1" w:styleId="CharChar6">
    <w:name w:val="Char Char6"/>
    <w:basedOn w:val="a"/>
    <w:qFormat/>
    <w:rsid w:val="008C4D74"/>
  </w:style>
  <w:style w:type="paragraph" w:customStyle="1" w:styleId="CharCharCharChar1">
    <w:name w:val="Char Char Char Char1"/>
    <w:basedOn w:val="a"/>
    <w:qFormat/>
    <w:rsid w:val="008C4D74"/>
    <w:pPr>
      <w:tabs>
        <w:tab w:val="left" w:pos="360"/>
      </w:tabs>
    </w:pPr>
  </w:style>
  <w:style w:type="paragraph" w:customStyle="1" w:styleId="CharChar11">
    <w:name w:val="Char Char11"/>
    <w:basedOn w:val="a"/>
    <w:qFormat/>
    <w:rsid w:val="008C4D74"/>
  </w:style>
  <w:style w:type="paragraph" w:customStyle="1" w:styleId="Char13">
    <w:name w:val="Char1"/>
    <w:basedOn w:val="a"/>
    <w:qFormat/>
    <w:rsid w:val="008C4D74"/>
  </w:style>
  <w:style w:type="paragraph" w:customStyle="1" w:styleId="CharChar5">
    <w:name w:val="Char Char5"/>
    <w:basedOn w:val="a"/>
    <w:qFormat/>
    <w:rsid w:val="008C4D74"/>
  </w:style>
  <w:style w:type="paragraph" w:customStyle="1" w:styleId="CharCharChar1">
    <w:name w:val="Char Char Char1"/>
    <w:basedOn w:val="a"/>
    <w:qFormat/>
    <w:rsid w:val="008C4D74"/>
  </w:style>
  <w:style w:type="paragraph" w:customStyle="1" w:styleId="CharChar4">
    <w:name w:val="Char Char4"/>
    <w:basedOn w:val="a"/>
    <w:qFormat/>
    <w:rsid w:val="008C4D74"/>
  </w:style>
  <w:style w:type="paragraph" w:customStyle="1" w:styleId="CharChar3">
    <w:name w:val="Char Char3"/>
    <w:basedOn w:val="a"/>
    <w:qFormat/>
    <w:rsid w:val="008C4D74"/>
  </w:style>
  <w:style w:type="paragraph" w:customStyle="1" w:styleId="CharChar2">
    <w:name w:val="Char Char2"/>
    <w:basedOn w:val="a"/>
    <w:qFormat/>
    <w:rsid w:val="008C4D74"/>
  </w:style>
  <w:style w:type="paragraph" w:customStyle="1" w:styleId="12">
    <w:name w:val="正文1"/>
    <w:qFormat/>
    <w:rsid w:val="008C4D74"/>
    <w:pPr>
      <w:jc w:val="both"/>
    </w:pPr>
    <w:rPr>
      <w:rFonts w:ascii="Times New Roman" w:eastAsia="宋体" w:hAnsi="Times New Roman" w:cs="Times New Roman"/>
      <w:szCs w:val="21"/>
    </w:rPr>
  </w:style>
  <w:style w:type="paragraph" w:customStyle="1" w:styleId="40">
    <w:name w:val="修订4"/>
    <w:hidden/>
    <w:uiPriority w:val="99"/>
    <w:semiHidden/>
    <w:qFormat/>
    <w:rsid w:val="008C4D74"/>
    <w:rPr>
      <w:rFonts w:ascii="Calibri" w:eastAsia="宋体" w:hAnsi="Calibri" w:cs="宋体"/>
    </w:rPr>
  </w:style>
  <w:style w:type="paragraph" w:customStyle="1" w:styleId="5">
    <w:name w:val="修订5"/>
    <w:hidden/>
    <w:uiPriority w:val="99"/>
    <w:semiHidden/>
    <w:qFormat/>
    <w:rsid w:val="008C4D74"/>
    <w:rPr>
      <w:rFonts w:ascii="Calibri" w:eastAsia="宋体" w:hAnsi="Calibri"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hinawealth.com.cn" TargetMode="External"/><Relationship Id="rId13" Type="http://schemas.openxmlformats.org/officeDocument/2006/relationships/header" Target="header3.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jpeg"/><Relationship Id="rId12" Type="http://schemas.openxmlformats.org/officeDocument/2006/relationships/image" Target="media/image2.jpeg"/><Relationship Id="rId17" Type="http://schemas.openxmlformats.org/officeDocument/2006/relationships/hyperlink" Target="http://www.chinawealth.com.cn"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eader" Target="header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77</Pages>
  <Words>8444</Words>
  <Characters>48133</Characters>
  <Application>Microsoft Office Word</Application>
  <DocSecurity>0</DocSecurity>
  <Lines>401</Lines>
  <Paragraphs>112</Paragraphs>
  <ScaleCrop>false</ScaleCrop>
  <Company/>
  <LinksUpToDate>false</LinksUpToDate>
  <CharactersWithSpaces>56465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财富云维护服务台</dc:creator>
  <cp:keywords/>
  <dc:description/>
  <cp:lastModifiedBy>财富云维护服务台</cp:lastModifiedBy>
  <cp:revision>7</cp:revision>
  <dcterms:created xsi:type="dcterms:W3CDTF">2022-09-02T07:23:00Z</dcterms:created>
  <dcterms:modified xsi:type="dcterms:W3CDTF">2022-09-02T07:27:00Z</dcterms:modified>
</cp:coreProperties>
</file>