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2CCE" w:rsidRDefault="00836EA3">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兴银理财【天天万利宝稳利】净值型理财产品</w:t>
      </w:r>
    </w:p>
    <w:p w:rsidR="00902CCE" w:rsidRDefault="00836EA3">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902CCE" w:rsidRDefault="00836EA3">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902CCE" w:rsidRDefault="00836EA3">
      <w:pPr>
        <w:rPr>
          <w:rFonts w:ascii="宋体" w:hAnsi="宋体" w:cs="仿宋_GB2312"/>
          <w:b/>
          <w:kern w:val="0"/>
          <w:sz w:val="18"/>
          <w:szCs w:val="18"/>
        </w:rPr>
      </w:pPr>
      <w:r>
        <w:rPr>
          <w:rFonts w:ascii="宋体" w:hAnsi="宋体" w:cs="仿宋_GB2312" w:hint="eastAsia"/>
          <w:b/>
          <w:kern w:val="0"/>
          <w:sz w:val="18"/>
          <w:szCs w:val="18"/>
        </w:rPr>
        <w:t>尊敬的投资者：</w:t>
      </w:r>
    </w:p>
    <w:p w:rsidR="00902CCE" w:rsidRDefault="00836EA3">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902CCE" w:rsidRDefault="00836EA3">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902CCE" w:rsidRDefault="00836EA3">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902CCE" w:rsidRDefault="00836EA3">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902CCE" w:rsidRDefault="00836EA3">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sidR="001C357F" w:rsidRPr="001C357F">
        <w:rPr>
          <w:rFonts w:ascii="宋体" w:hAnsi="宋体" w:cs="仿宋_GB2312" w:hint="eastAsia"/>
          <w:kern w:val="0"/>
          <w:sz w:val="18"/>
          <w:szCs w:val="18"/>
        </w:rPr>
        <w:t>兴业银行天天万利宝稳利1号净值型理财产品G款</w:t>
      </w:r>
      <w:r>
        <w:rPr>
          <w:rFonts w:ascii="宋体" w:hAnsi="宋体" w:cs="仿宋_GB2312" w:hint="eastAsia"/>
          <w:kern w:val="0"/>
          <w:sz w:val="18"/>
          <w:szCs w:val="18"/>
        </w:rPr>
        <w:t>】。</w:t>
      </w:r>
    </w:p>
    <w:p w:rsidR="00902CCE" w:rsidRDefault="00836EA3">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宋体" w:hAnsi="宋体" w:cs="仿宋_GB2312" w:hint="eastAsia"/>
          <w:kern w:val="0"/>
          <w:sz w:val="18"/>
          <w:szCs w:val="18"/>
        </w:rPr>
        <w:t>【</w:t>
      </w:r>
      <w:r w:rsidR="001C357F" w:rsidRPr="001C357F">
        <w:rPr>
          <w:rFonts w:ascii="宋体" w:hAnsi="宋体" w:cs="仿宋_GB2312" w:hint="eastAsia"/>
          <w:kern w:val="0"/>
          <w:sz w:val="18"/>
          <w:szCs w:val="18"/>
        </w:rPr>
        <w:t>稳利恒盈G 12个月</w:t>
      </w:r>
      <w:r>
        <w:rPr>
          <w:rFonts w:ascii="宋体" w:hAnsi="宋体" w:cs="仿宋_GB2312" w:hint="eastAsia"/>
          <w:kern w:val="0"/>
          <w:sz w:val="18"/>
          <w:szCs w:val="18"/>
        </w:rPr>
        <w:t>】。</w:t>
      </w:r>
    </w:p>
    <w:p w:rsidR="00902CCE" w:rsidRDefault="00836EA3">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sidR="001C357F" w:rsidRPr="001C357F">
        <w:rPr>
          <w:rFonts w:ascii="宋体" w:hAnsi="宋体" w:cs="仿宋_GB2312"/>
          <w:kern w:val="0"/>
          <w:sz w:val="18"/>
          <w:szCs w:val="18"/>
        </w:rPr>
        <w:t>Z7002020000011</w:t>
      </w:r>
      <w:r>
        <w:rPr>
          <w:rFonts w:ascii="宋体" w:hAnsi="宋体" w:cs="仿宋_GB2312" w:hint="eastAsia"/>
          <w:kern w:val="0"/>
          <w:sz w:val="18"/>
          <w:szCs w:val="18"/>
        </w:rPr>
        <w:t>】。</w:t>
      </w:r>
    </w:p>
    <w:p w:rsidR="00902CCE" w:rsidRDefault="00836EA3">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902CCE" w:rsidRDefault="00836EA3">
      <w:pPr>
        <w:ind w:firstLineChars="299" w:firstLine="538"/>
        <w:rPr>
          <w:rFonts w:ascii="宋体" w:hAnsi="宋体" w:cs="仿宋_GB2312"/>
          <w:kern w:val="0"/>
          <w:sz w:val="18"/>
          <w:szCs w:val="18"/>
        </w:rPr>
      </w:pPr>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902CCE" w:rsidRDefault="00836EA3">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902CCE" w:rsidRDefault="00836EA3">
      <w:pPr>
        <w:ind w:firstLineChars="249" w:firstLine="448"/>
        <w:rPr>
          <w:rFonts w:ascii="宋体" w:hAnsi="宋体" w:cs="仿宋_GB2312"/>
          <w:kern w:val="0"/>
          <w:sz w:val="18"/>
          <w:szCs w:val="18"/>
        </w:rPr>
      </w:pPr>
      <w:r>
        <w:rPr>
          <w:rFonts w:ascii="宋体" w:hAnsi="宋体" w:cs="仿宋_GB2312" w:hint="eastAsia"/>
          <w:kern w:val="0"/>
          <w:sz w:val="18"/>
          <w:szCs w:val="18"/>
        </w:rPr>
        <w:t>【无固定</w:t>
      </w:r>
      <w:r>
        <w:rPr>
          <w:rFonts w:ascii="宋体" w:hAnsi="宋体" w:cs="仿宋_GB2312"/>
          <w:kern w:val="0"/>
          <w:sz w:val="18"/>
          <w:szCs w:val="18"/>
        </w:rPr>
        <w:t>期限</w:t>
      </w:r>
      <w:r>
        <w:rPr>
          <w:rFonts w:ascii="宋体" w:hAnsi="宋体" w:cs="仿宋_GB2312" w:hint="eastAsia"/>
          <w:kern w:val="0"/>
          <w:sz w:val="18"/>
          <w:szCs w:val="18"/>
        </w:rPr>
        <w:t>】</w:t>
      </w:r>
      <w:r>
        <w:rPr>
          <w:rFonts w:ascii="宋体" w:hAnsi="宋体" w:cs="仿宋_GB2312"/>
          <w:kern w:val="0"/>
          <w:sz w:val="18"/>
          <w:szCs w:val="18"/>
        </w:rPr>
        <w:t>。</w:t>
      </w:r>
    </w:p>
    <w:p w:rsidR="00902CCE" w:rsidRDefault="00836EA3">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902CCE" w:rsidRDefault="00836EA3">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902CCE" w:rsidRDefault="00836EA3">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902CCE" w:rsidRDefault="00836EA3">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902CCE" w:rsidRDefault="00836EA3">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（产品管理人定义的产品风险评级为【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；代理销售机构定义的产品风险评级为【</w:t>
      </w:r>
      <w:r>
        <w:rPr>
          <w:rFonts w:asciiTheme="majorEastAsia" w:eastAsiaTheme="majorEastAsia" w:hAnsiTheme="majorEastAsia"/>
          <w:bCs/>
          <w:color w:val="000000" w:themeColor="text1"/>
          <w:sz w:val="18"/>
          <w:szCs w:val="18"/>
        </w:rPr>
        <w:t>R2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902CCE" w:rsidRDefault="00836EA3">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902CCE" w:rsidRDefault="00836EA3">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902CCE" w:rsidRDefault="00836EA3">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 C1、■ C2、■ C3、■ C4、■ C5、■ C6】。</w:t>
      </w:r>
    </w:p>
    <w:p w:rsidR="00902CCE" w:rsidRDefault="00836EA3">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 w:rsidR="00902CCE" w:rsidRDefault="00836EA3">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902CCE" w:rsidRDefault="00836EA3">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902CCE" w:rsidRDefault="00836EA3">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902CCE" w:rsidRDefault="00836EA3">
      <w:pPr>
        <w:ind w:firstLineChars="200" w:firstLine="360"/>
        <w:rPr>
          <w:rFonts w:ascii="黑体" w:eastAsia="黑体" w:hAnsi="黑体"/>
          <w:sz w:val="18"/>
          <w:szCs w:val="18"/>
        </w:rPr>
      </w:pPr>
      <w:r>
        <w:rPr>
          <w:rFonts w:ascii="黑体" w:eastAsia="黑体" w:hAnsi="黑体" w:hint="eastAsia"/>
          <w:sz w:val="18"/>
          <w:szCs w:val="18"/>
        </w:rPr>
        <w:t>（一）投资者投资本产品可能面临的特定风险主要包括（但不限于）：</w:t>
      </w:r>
    </w:p>
    <w:p w:rsidR="00902CCE" w:rsidRDefault="00836EA3">
      <w:pPr>
        <w:pStyle w:val="aa"/>
        <w:ind w:firstLineChars="0" w:firstLine="448"/>
        <w:rPr>
          <w:rFonts w:ascii="黑体" w:eastAsia="黑体" w:hAnsi="黑体"/>
          <w:sz w:val="18"/>
          <w:szCs w:val="18"/>
        </w:rPr>
      </w:pPr>
      <w:r>
        <w:rPr>
          <w:rFonts w:ascii="黑体" w:eastAsia="黑体" w:hAnsi="黑体" w:hint="eastAsia"/>
          <w:sz w:val="18"/>
          <w:szCs w:val="18"/>
        </w:rPr>
        <w:t>1.拟投资市场和资产的风险：</w:t>
      </w:r>
    </w:p>
    <w:p w:rsidR="00902CCE" w:rsidRDefault="00836EA3">
      <w:pPr>
        <w:pStyle w:val="aa"/>
        <w:ind w:firstLineChars="0"/>
        <w:rPr>
          <w:rFonts w:ascii="宋体" w:hAnsi="宋体"/>
          <w:sz w:val="18"/>
          <w:szCs w:val="18"/>
        </w:rPr>
      </w:pPr>
      <w:r>
        <w:rPr>
          <w:rFonts w:ascii="宋体" w:hAnsi="宋体" w:hint="eastAsia"/>
          <w:sz w:val="18"/>
          <w:szCs w:val="18"/>
        </w:rPr>
        <w:t>（</w:t>
      </w:r>
      <w:r>
        <w:rPr>
          <w:rFonts w:ascii="宋体" w:hAnsi="宋体"/>
          <w:sz w:val="18"/>
          <w:szCs w:val="18"/>
        </w:rPr>
        <w:t>1）投资固定收益类资产的风险</w:t>
      </w:r>
    </w:p>
    <w:p w:rsidR="00902CCE" w:rsidRDefault="00836EA3">
      <w:pPr>
        <w:pStyle w:val="aa"/>
        <w:ind w:firstLineChars="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投资</w:t>
      </w:r>
      <w:r>
        <w:rPr>
          <w:rFonts w:ascii="宋体" w:hAnsi="宋体" w:hint="eastAsia"/>
          <w:sz w:val="18"/>
          <w:szCs w:val="18"/>
        </w:rPr>
        <w:t>标准化</w:t>
      </w:r>
      <w:r>
        <w:rPr>
          <w:rFonts w:ascii="宋体" w:hAnsi="宋体"/>
          <w:sz w:val="18"/>
          <w:szCs w:val="18"/>
        </w:rPr>
        <w:t>债权类资产的风险</w:t>
      </w:r>
    </w:p>
    <w:p w:rsidR="00902CCE" w:rsidRDefault="00836EA3">
      <w:pPr>
        <w:pStyle w:val="aa"/>
        <w:ind w:firstLineChars="0"/>
        <w:rPr>
          <w:rFonts w:ascii="宋体" w:hAnsi="宋体"/>
          <w:sz w:val="18"/>
          <w:szCs w:val="18"/>
        </w:rPr>
      </w:pPr>
      <w:r>
        <w:rPr>
          <w:rFonts w:ascii="宋体" w:hAnsi="宋体"/>
          <w:sz w:val="18"/>
          <w:szCs w:val="18"/>
        </w:rPr>
        <w:lastRenderedPageBreak/>
        <w:t>本产品投资债券</w:t>
      </w:r>
      <w:r>
        <w:rPr>
          <w:rFonts w:ascii="宋体" w:hAnsi="宋体" w:hint="eastAsia"/>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rsidR="00902CCE" w:rsidRDefault="00836EA3">
      <w:pPr>
        <w:pStyle w:val="aa"/>
        <w:ind w:firstLineChars="0"/>
        <w:rPr>
          <w:rFonts w:ascii="宋体" w:hAnsi="宋体"/>
          <w:sz w:val="18"/>
          <w:szCs w:val="18"/>
        </w:rPr>
      </w:pPr>
      <w:r>
        <w:rPr>
          <w:rFonts w:ascii="宋体" w:hAnsi="宋体"/>
          <w:sz w:val="18"/>
          <w:szCs w:val="18"/>
        </w:rPr>
        <w:t>2）投资非标准化债权类资产</w:t>
      </w:r>
      <w:r>
        <w:rPr>
          <w:rFonts w:ascii="宋体" w:hAnsi="宋体" w:hint="eastAsia"/>
          <w:sz w:val="18"/>
          <w:szCs w:val="18"/>
        </w:rPr>
        <w:t>的</w:t>
      </w:r>
      <w:r>
        <w:rPr>
          <w:rFonts w:ascii="宋体" w:hAnsi="宋体"/>
          <w:sz w:val="18"/>
          <w:szCs w:val="18"/>
        </w:rPr>
        <w:t>风险</w:t>
      </w:r>
    </w:p>
    <w:p w:rsidR="00902CCE" w:rsidRDefault="00836EA3">
      <w:pPr>
        <w:pStyle w:val="aa"/>
        <w:ind w:firstLineChars="0"/>
        <w:rPr>
          <w:rFonts w:ascii="宋体" w:hAnsi="宋体"/>
          <w:sz w:val="18"/>
          <w:szCs w:val="18"/>
        </w:rPr>
      </w:pPr>
      <w:r>
        <w:rPr>
          <w:rFonts w:ascii="宋体" w:hAnsi="宋体" w:hint="eastAsia"/>
          <w:sz w:val="18"/>
          <w:szCs w:val="18"/>
        </w:rPr>
        <w:t>本产品投资非标债权类资产时可能面临以下风险：由于融资主体/增</w:t>
      </w:r>
      <w:proofErr w:type="gramStart"/>
      <w:r>
        <w:rPr>
          <w:rFonts w:ascii="宋体" w:hAnsi="宋体" w:hint="eastAsia"/>
          <w:sz w:val="18"/>
          <w:szCs w:val="18"/>
        </w:rPr>
        <w:t>信主体</w:t>
      </w:r>
      <w:proofErr w:type="gramEnd"/>
      <w:r>
        <w:rPr>
          <w:rFonts w:ascii="宋体" w:hAnsi="宋体" w:hint="eastAsia"/>
          <w:sz w:val="18"/>
          <w:szCs w:val="18"/>
        </w:rPr>
        <w:t>/其他义务人还款履约能力可能的变化导致的信用风险（包括但不限于：融资主体提前还款、延期还款或逾期还款的风险；增</w:t>
      </w:r>
      <w:proofErr w:type="gramStart"/>
      <w:r>
        <w:rPr>
          <w:rFonts w:ascii="宋体" w:hAnsi="宋体" w:hint="eastAsia"/>
          <w:sz w:val="18"/>
          <w:szCs w:val="18"/>
        </w:rPr>
        <w:t>信主体</w:t>
      </w:r>
      <w:proofErr w:type="gramEnd"/>
      <w:r>
        <w:rPr>
          <w:rFonts w:ascii="宋体" w:hAnsi="宋体" w:hint="eastAsia"/>
          <w:sz w:val="18"/>
          <w:szCs w:val="18"/>
        </w:rPr>
        <w:t>未能履行增信义务（例如：保证担保、差额补足、远期回购、流动性</w:t>
      </w:r>
      <w:proofErr w:type="gramStart"/>
      <w:r>
        <w:rPr>
          <w:rFonts w:ascii="宋体" w:hAnsi="宋体" w:hint="eastAsia"/>
          <w:sz w:val="18"/>
          <w:szCs w:val="18"/>
        </w:rPr>
        <w:t>支持等增信</w:t>
      </w:r>
      <w:proofErr w:type="gramEnd"/>
      <w:r>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902CCE" w:rsidRDefault="00836EA3">
      <w:pPr>
        <w:pStyle w:val="aa"/>
        <w:ind w:firstLineChars="0"/>
        <w:rPr>
          <w:rFonts w:ascii="宋体" w:hAnsi="宋体"/>
          <w:sz w:val="18"/>
          <w:szCs w:val="18"/>
        </w:rPr>
      </w:pPr>
      <w:r>
        <w:rPr>
          <w:rFonts w:ascii="宋体" w:hAnsi="宋体" w:hint="eastAsia"/>
          <w:sz w:val="18"/>
          <w:szCs w:val="18"/>
        </w:rPr>
        <w:t>（2）投资</w:t>
      </w:r>
      <w:r>
        <w:rPr>
          <w:rFonts w:ascii="宋体" w:hAnsi="宋体"/>
          <w:sz w:val="18"/>
          <w:szCs w:val="18"/>
        </w:rPr>
        <w:t>权益类资产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902CCE" w:rsidRDefault="00836EA3">
      <w:pPr>
        <w:pStyle w:val="aa"/>
        <w:ind w:firstLineChars="0"/>
        <w:rPr>
          <w:rFonts w:ascii="宋体" w:hAnsi="宋体"/>
          <w:sz w:val="18"/>
          <w:szCs w:val="18"/>
        </w:rPr>
      </w:pPr>
      <w:r>
        <w:rPr>
          <w:rFonts w:ascii="宋体" w:hAnsi="宋体" w:hint="eastAsia"/>
          <w:sz w:val="18"/>
          <w:szCs w:val="18"/>
        </w:rPr>
        <w:t>1）投资股票类资产的风险</w:t>
      </w:r>
    </w:p>
    <w:p w:rsidR="00902CCE" w:rsidRDefault="00836EA3">
      <w:pPr>
        <w:pStyle w:val="aa"/>
        <w:ind w:firstLineChars="0"/>
        <w:rPr>
          <w:rFonts w:ascii="宋体" w:hAnsi="宋体"/>
          <w:sz w:val="18"/>
          <w:szCs w:val="18"/>
        </w:rPr>
      </w:pPr>
      <w:r>
        <w:rPr>
          <w:rFonts w:ascii="宋体" w:hAnsi="宋体"/>
          <w:sz w:val="18"/>
          <w:szCs w:val="18"/>
        </w:rPr>
        <w:t>本产品投资股票类资产时可能面临以下风险</w:t>
      </w:r>
      <w:r>
        <w:rPr>
          <w:rFonts w:ascii="宋体" w:hAnsi="宋体" w:hint="eastAsia"/>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902CCE" w:rsidRDefault="00836EA3">
      <w:pPr>
        <w:pStyle w:val="aa"/>
        <w:ind w:firstLineChars="0"/>
        <w:rPr>
          <w:rFonts w:ascii="宋体" w:hAnsi="宋体"/>
          <w:sz w:val="18"/>
          <w:szCs w:val="18"/>
        </w:rPr>
      </w:pPr>
      <w:r>
        <w:rPr>
          <w:rFonts w:ascii="宋体" w:hAnsi="宋体" w:hint="eastAsia"/>
          <w:sz w:val="18"/>
          <w:szCs w:val="18"/>
        </w:rPr>
        <w:t>2）投资股权类资产的风险</w:t>
      </w:r>
    </w:p>
    <w:p w:rsidR="00902CCE" w:rsidRDefault="00836EA3">
      <w:pPr>
        <w:rPr>
          <w:rFonts w:ascii="宋体" w:hAnsi="宋体"/>
          <w:sz w:val="18"/>
          <w:szCs w:val="18"/>
        </w:rPr>
      </w:pPr>
      <w:r>
        <w:rPr>
          <w:rFonts w:ascii="宋体" w:hAnsi="宋体"/>
          <w:sz w:val="18"/>
          <w:szCs w:val="18"/>
        </w:rPr>
        <w:t>本产品投资未上市股权类资产时可能面临以下风险</w:t>
      </w:r>
      <w:r>
        <w:rPr>
          <w:rFonts w:ascii="宋体" w:hAnsi="宋体" w:hint="eastAsia"/>
          <w:sz w:val="18"/>
          <w:szCs w:val="18"/>
        </w:rPr>
        <w:t>：</w:t>
      </w:r>
      <w:r>
        <w:rPr>
          <w:rFonts w:ascii="宋体" w:hAnsi="宋体"/>
          <w:sz w:val="18"/>
          <w:szCs w:val="18"/>
        </w:rPr>
        <w:t>国家政策、经济周期、行业政策</w:t>
      </w:r>
      <w:r>
        <w:rPr>
          <w:rFonts w:ascii="宋体" w:hAnsi="宋体" w:hint="eastAsia"/>
          <w:sz w:val="18"/>
          <w:szCs w:val="18"/>
        </w:rPr>
        <w:t>等因素可能发生变化导致的市场风险；</w:t>
      </w:r>
      <w:r>
        <w:rPr>
          <w:rFonts w:ascii="宋体" w:hAnsi="宋体"/>
          <w:sz w:val="18"/>
          <w:szCs w:val="18"/>
        </w:rPr>
        <w:t>因市场、技术、竞争、管理、财务等导致公司盈利发生变化，其</w:t>
      </w:r>
      <w:r>
        <w:rPr>
          <w:rFonts w:ascii="宋体" w:hAnsi="宋体" w:hint="eastAsia"/>
          <w:sz w:val="18"/>
          <w:szCs w:val="18"/>
        </w:rPr>
        <w:t>股权</w:t>
      </w:r>
      <w:r>
        <w:rPr>
          <w:rFonts w:ascii="宋体" w:hAnsi="宋体"/>
          <w:sz w:val="18"/>
          <w:szCs w:val="18"/>
        </w:rPr>
        <w:t>价值可能下跌，影响投资者收益</w:t>
      </w:r>
      <w:r>
        <w:rPr>
          <w:rFonts w:ascii="宋体" w:hAnsi="宋体" w:hint="eastAsia"/>
          <w:sz w:val="18"/>
          <w:szCs w:val="18"/>
        </w:rPr>
        <w:t>；</w:t>
      </w:r>
      <w:r>
        <w:rPr>
          <w:rFonts w:ascii="宋体" w:hAnsi="宋体"/>
          <w:sz w:val="18"/>
          <w:szCs w:val="18"/>
        </w:rPr>
        <w:t>因股权未上市或存在相关限制股权转让的协议导致的流动性风险等</w:t>
      </w:r>
      <w:r>
        <w:rPr>
          <w:rFonts w:ascii="宋体" w:hAnsi="宋体" w:hint="eastAsia"/>
          <w:sz w:val="18"/>
          <w:szCs w:val="18"/>
        </w:rPr>
        <w:t>。</w:t>
      </w:r>
    </w:p>
    <w:p w:rsidR="00902CCE" w:rsidRDefault="00836EA3">
      <w:pPr>
        <w:pStyle w:val="aa"/>
        <w:ind w:firstLineChars="0"/>
        <w:rPr>
          <w:rFonts w:ascii="宋体" w:hAnsi="宋体"/>
          <w:sz w:val="18"/>
          <w:szCs w:val="18"/>
        </w:rPr>
      </w:pPr>
      <w:r>
        <w:rPr>
          <w:rFonts w:ascii="宋体" w:hAnsi="宋体" w:hint="eastAsia"/>
          <w:sz w:val="18"/>
          <w:szCs w:val="18"/>
        </w:rPr>
        <w:t>（</w:t>
      </w:r>
      <w:r>
        <w:rPr>
          <w:rFonts w:ascii="宋体" w:hAnsi="宋体"/>
          <w:sz w:val="18"/>
          <w:szCs w:val="18"/>
        </w:rPr>
        <w:t>3）投资商品和金融衍生品类资产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902CCE" w:rsidRDefault="00836EA3">
      <w:pPr>
        <w:pStyle w:val="aa"/>
        <w:ind w:firstLineChars="0"/>
        <w:rPr>
          <w:rFonts w:ascii="宋体" w:hAnsi="宋体"/>
          <w:sz w:val="18"/>
          <w:szCs w:val="18"/>
        </w:rPr>
      </w:pPr>
      <w:r>
        <w:rPr>
          <w:rFonts w:ascii="宋体" w:hAnsi="宋体"/>
          <w:sz w:val="18"/>
          <w:szCs w:val="18"/>
        </w:rPr>
        <w:t>本产品投资商品和金融衍生品类资产时</w:t>
      </w:r>
      <w:r>
        <w:rPr>
          <w:rFonts w:ascii="宋体" w:hAnsi="宋体" w:hint="eastAsia"/>
          <w:sz w:val="18"/>
          <w:szCs w:val="18"/>
        </w:rPr>
        <w:t>可能面临以下风险：该衍生</w:t>
      </w:r>
      <w:proofErr w:type="gramStart"/>
      <w:r>
        <w:rPr>
          <w:rFonts w:ascii="宋体" w:hAnsi="宋体" w:hint="eastAsia"/>
          <w:sz w:val="18"/>
          <w:szCs w:val="18"/>
        </w:rPr>
        <w:t>品资产</w:t>
      </w:r>
      <w:proofErr w:type="gramEnd"/>
      <w:r>
        <w:rPr>
          <w:rFonts w:ascii="宋体" w:hAnsi="宋体"/>
          <w:sz w:val="18"/>
          <w:szCs w:val="18"/>
        </w:rPr>
        <w:t>可能实行保证金交易制度，具有高杠杆性，高杠杆效应放大了价格波动风险；若本产品运作中出现基差</w:t>
      </w:r>
      <w:r>
        <w:rPr>
          <w:rFonts w:ascii="宋体" w:hAnsi="宋体" w:hint="eastAsia"/>
          <w:sz w:val="18"/>
          <w:szCs w:val="18"/>
        </w:rPr>
        <w:t>（注：</w:t>
      </w:r>
      <w:proofErr w:type="gramStart"/>
      <w:r>
        <w:rPr>
          <w:rFonts w:ascii="宋体" w:hAnsi="宋体"/>
          <w:sz w:val="18"/>
          <w:szCs w:val="18"/>
        </w:rPr>
        <w:t>基差是</w:t>
      </w:r>
      <w:proofErr w:type="gramEnd"/>
      <w:r>
        <w:rPr>
          <w:rFonts w:ascii="宋体" w:hAnsi="宋体"/>
          <w:sz w:val="18"/>
          <w:szCs w:val="18"/>
        </w:rPr>
        <w:t>指现货价格与期货价格之间的差额</w:t>
      </w:r>
      <w:r>
        <w:rPr>
          <w:rFonts w:ascii="宋体" w:hAnsi="宋体" w:hint="eastAsia"/>
          <w:sz w:val="18"/>
          <w:szCs w:val="18"/>
        </w:rPr>
        <w:t>）</w:t>
      </w:r>
      <w:r>
        <w:rPr>
          <w:rFonts w:ascii="宋体" w:hAnsi="宋体"/>
          <w:sz w:val="18"/>
          <w:szCs w:val="18"/>
        </w:rPr>
        <w:t>波动不确定性加大、</w:t>
      </w:r>
      <w:proofErr w:type="gramStart"/>
      <w:r>
        <w:rPr>
          <w:rFonts w:ascii="宋体" w:hAnsi="宋体"/>
          <w:sz w:val="18"/>
          <w:szCs w:val="18"/>
        </w:rPr>
        <w:t>基差向</w:t>
      </w:r>
      <w:proofErr w:type="gramEnd"/>
      <w:r>
        <w:rPr>
          <w:rFonts w:ascii="宋体" w:hAnsi="宋体"/>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902CCE" w:rsidRDefault="00836EA3">
      <w:pPr>
        <w:pStyle w:val="aa"/>
        <w:ind w:firstLine="361"/>
        <w:rPr>
          <w:rFonts w:ascii="黑体" w:eastAsia="黑体" w:hAnsi="黑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 xml:space="preserve">注：以上特定风险仅为列举性质，未能详尽列明投资本产品可能面临的全部风险和可能导致投资者投资本金及收益损失的所有因素。  </w:t>
      </w:r>
    </w:p>
    <w:p w:rsidR="00902CCE" w:rsidRDefault="00836EA3">
      <w:pPr>
        <w:pStyle w:val="aa"/>
        <w:ind w:firstLineChars="0" w:firstLine="426"/>
        <w:rPr>
          <w:rFonts w:ascii="宋体" w:hAnsi="宋体"/>
          <w:sz w:val="18"/>
          <w:szCs w:val="18"/>
        </w:rPr>
      </w:pPr>
      <w:r>
        <w:rPr>
          <w:rFonts w:ascii="宋体" w:hAnsi="宋体" w:hint="eastAsia"/>
          <w:sz w:val="18"/>
          <w:szCs w:val="18"/>
        </w:rPr>
        <w:t xml:space="preserve">（二）投资者投资本产品可能面临的一般风险主要包括（但不限于）： </w:t>
      </w:r>
    </w:p>
    <w:p w:rsidR="00902CCE" w:rsidRDefault="00836EA3">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902CCE" w:rsidRDefault="00836EA3">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902CCE" w:rsidRDefault="00836EA3">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Pr>
          <w:rFonts w:ascii="宋体" w:hAnsi="宋体" w:cs="仿宋_GB2312" w:hint="eastAsia"/>
          <w:kern w:val="0"/>
          <w:sz w:val="18"/>
          <w:szCs w:val="18"/>
        </w:rPr>
        <w:t>品投资</w:t>
      </w:r>
      <w:proofErr w:type="gramEnd"/>
      <w:r>
        <w:rPr>
          <w:rFonts w:ascii="宋体" w:hAnsi="宋体" w:cs="仿宋_GB2312" w:hint="eastAsia"/>
          <w:kern w:val="0"/>
          <w:sz w:val="18"/>
          <w:szCs w:val="18"/>
        </w:rPr>
        <w:t>风险等。</w:t>
      </w:r>
    </w:p>
    <w:p w:rsidR="00902CCE" w:rsidRDefault="00836EA3">
      <w:pPr>
        <w:pStyle w:val="aa"/>
        <w:ind w:firstLineChars="0" w:firstLine="426"/>
        <w:rPr>
          <w:rFonts w:ascii="宋体" w:hAnsi="宋体" w:cs="仿宋_GB2312"/>
          <w:bCs/>
          <w:kern w:val="0"/>
          <w:sz w:val="18"/>
          <w:szCs w:val="18"/>
        </w:rPr>
      </w:pPr>
      <w:r>
        <w:rPr>
          <w:rFonts w:ascii="宋体" w:hAnsi="宋体" w:cs="仿宋_GB2312" w:hint="eastAsia"/>
          <w:b/>
          <w:kern w:val="0"/>
          <w:sz w:val="18"/>
          <w:szCs w:val="18"/>
        </w:rPr>
        <w:t>4.流动性风险：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w:t>
      </w:r>
      <w:proofErr w:type="gramStart"/>
      <w:r>
        <w:rPr>
          <w:rFonts w:ascii="宋体" w:hAnsi="宋体" w:cs="仿宋_GB2312" w:hint="eastAsia"/>
          <w:bCs/>
          <w:kern w:val="0"/>
          <w:sz w:val="18"/>
          <w:szCs w:val="18"/>
        </w:rPr>
        <w:t>现及其</w:t>
      </w:r>
      <w:proofErr w:type="gramEnd"/>
      <w:r>
        <w:rPr>
          <w:rFonts w:ascii="宋体" w:hAnsi="宋体" w:cs="仿宋_GB2312" w:hint="eastAsia"/>
          <w:bCs/>
          <w:kern w:val="0"/>
          <w:sz w:val="18"/>
          <w:szCs w:val="18"/>
        </w:rPr>
        <w:t>他流动性风险。</w:t>
      </w:r>
    </w:p>
    <w:p w:rsidR="00902CCE" w:rsidRDefault="00836EA3">
      <w:pPr>
        <w:pStyle w:val="aa"/>
        <w:ind w:firstLineChars="0" w:firstLine="426"/>
        <w:rPr>
          <w:rFonts w:ascii="宋体" w:hAnsi="宋体" w:cs="仿宋_GB2312"/>
          <w:kern w:val="0"/>
          <w:sz w:val="18"/>
          <w:szCs w:val="18"/>
        </w:rPr>
      </w:pPr>
      <w:r>
        <w:rPr>
          <w:rFonts w:ascii="宋体" w:hAnsi="宋体" w:cs="仿宋_GB2312"/>
          <w:b/>
          <w:kern w:val="0"/>
          <w:sz w:val="18"/>
          <w:szCs w:val="18"/>
        </w:rPr>
        <w:lastRenderedPageBreak/>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902CCE" w:rsidRDefault="00836EA3">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902CCE" w:rsidRDefault="00836EA3">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proofErr w:type="gramStart"/>
      <w:r>
        <w:rPr>
          <w:rFonts w:ascii="宋体" w:hAnsi="宋体" w:cs="仿宋_GB2312"/>
          <w:b/>
          <w:kern w:val="0"/>
          <w:sz w:val="18"/>
          <w:szCs w:val="18"/>
        </w:rPr>
        <w:t>早偿风险</w:t>
      </w:r>
      <w:proofErr w:type="gramEnd"/>
      <w:r>
        <w:rPr>
          <w:rFonts w:ascii="宋体" w:hAnsi="宋体" w:cs="仿宋_GB2312"/>
          <w:b/>
          <w:kern w:val="0"/>
          <w:sz w:val="18"/>
          <w:szCs w:val="18"/>
        </w:rPr>
        <w:t>：</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902CCE" w:rsidRDefault="00836EA3">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902CCE" w:rsidRDefault="00836EA3">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902CCE" w:rsidRDefault="00836EA3">
      <w:pPr>
        <w:pStyle w:val="aa"/>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902CCE" w:rsidRDefault="00836EA3">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.理财产品不成立风险：</w:t>
      </w:r>
      <w:r>
        <w:rPr>
          <w:rFonts w:ascii="宋体" w:hAnsi="宋体" w:hint="eastAsia"/>
          <w:bCs/>
          <w:sz w:val="18"/>
          <w:szCs w:val="18"/>
        </w:rPr>
        <w:t>如自本产品开始募集至认购期结束</w:t>
      </w:r>
      <w:proofErr w:type="gramStart"/>
      <w:r>
        <w:rPr>
          <w:rFonts w:ascii="宋体" w:hAnsi="宋体" w:hint="eastAsia"/>
          <w:bCs/>
          <w:sz w:val="18"/>
          <w:szCs w:val="18"/>
        </w:rPr>
        <w:t>认购总</w:t>
      </w:r>
      <w:proofErr w:type="gramEnd"/>
      <w:r>
        <w:rPr>
          <w:rFonts w:ascii="宋体" w:hAnsi="宋体" w:hint="eastAsia"/>
          <w:bCs/>
          <w:sz w:val="18"/>
          <w:szCs w:val="18"/>
        </w:rPr>
        <w:t>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902CCE" w:rsidRDefault="00836EA3">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902CCE" w:rsidRDefault="00836EA3">
      <w:pPr>
        <w:pStyle w:val="aa"/>
        <w:ind w:firstLineChars="0"/>
        <w:rPr>
          <w:rFonts w:ascii="宋体" w:hAnsi="宋体"/>
          <w:bCs/>
          <w:sz w:val="18"/>
          <w:szCs w:val="18"/>
        </w:rPr>
      </w:pPr>
      <w:r>
        <w:rPr>
          <w:rFonts w:ascii="宋体" w:hAnsi="宋体"/>
          <w:b/>
          <w:bCs/>
          <w:sz w:val="18"/>
          <w:szCs w:val="18"/>
        </w:rPr>
        <w:t>13.估值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902CCE" w:rsidRDefault="00836EA3">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902CCE" w:rsidRDefault="00836EA3">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hint="eastAsia"/>
          <w:bCs/>
          <w:sz w:val="18"/>
          <w:szCs w:val="18"/>
          <w:u w:val="single"/>
        </w:rPr>
        <w:t>不</w:t>
      </w:r>
      <w:proofErr w:type="gramEnd"/>
      <w:r>
        <w:rPr>
          <w:rFonts w:ascii="黑体" w:eastAsia="黑体" w:hAnsi="黑体" w:hint="eastAsia"/>
          <w:bCs/>
          <w:sz w:val="18"/>
          <w:szCs w:val="18"/>
          <w:u w:val="single"/>
        </w:rPr>
        <w:t>免除因代理销售机构过错依法应由代理销售机构承担的责任。</w:t>
      </w:r>
    </w:p>
    <w:p w:rsidR="00902CCE" w:rsidRDefault="00836EA3">
      <w:pPr>
        <w:pStyle w:val="aa"/>
        <w:ind w:firstLineChars="0"/>
        <w:rPr>
          <w:rFonts w:ascii="黑体" w:eastAsia="黑体" w:hAnsi="黑体" w:cs="仿宋_GB2312"/>
          <w:kern w:val="0"/>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w:t>
      </w:r>
      <w:r>
        <w:rPr>
          <w:rFonts w:ascii="黑体" w:eastAsia="黑体" w:hAnsi="黑体" w:hint="eastAsia"/>
          <w:sz w:val="18"/>
          <w:szCs w:val="18"/>
        </w:rPr>
        <w:t>收费方式、</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w:t>
      </w:r>
      <w:r>
        <w:rPr>
          <w:rFonts w:ascii="黑体" w:eastAsia="黑体" w:hAnsi="黑体" w:cs="仿宋_GB2312" w:hint="eastAsia"/>
          <w:kern w:val="0"/>
          <w:sz w:val="18"/>
          <w:szCs w:val="18"/>
        </w:rPr>
        <w:t>赎回的数量限制、</w:t>
      </w:r>
      <w:r>
        <w:rPr>
          <w:rFonts w:ascii="黑体" w:eastAsia="黑体" w:hAnsi="黑体" w:hint="eastAsia"/>
          <w:sz w:val="18"/>
          <w:szCs w:val="18"/>
        </w:rPr>
        <w:t>投资者持有本产品的最高限额最低限额、</w:t>
      </w:r>
      <w:r>
        <w:rPr>
          <w:rFonts w:ascii="黑体" w:eastAsia="黑体" w:hAnsi="黑体" w:cs="仿宋_GB2312" w:hint="eastAsia"/>
          <w:kern w:val="0"/>
          <w:sz w:val="18"/>
          <w:szCs w:val="18"/>
        </w:rPr>
        <w:t>计算和公告产品份额净值方面存在差异。</w:t>
      </w:r>
    </w:p>
    <w:p w:rsidR="00902CCE" w:rsidRDefault="00836EA3">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902CCE" w:rsidRDefault="00836EA3">
      <w:pPr>
        <w:autoSpaceDE w:val="0"/>
        <w:autoSpaceDN w:val="0"/>
        <w:adjustRightInd w:val="0"/>
        <w:ind w:firstLine="420"/>
        <w:jc w:val="left"/>
        <w:rPr>
          <w:rFonts w:ascii="黑体" w:eastAsia="黑体" w:hAnsi="黑体"/>
          <w:b/>
          <w:sz w:val="18"/>
          <w:szCs w:val="18"/>
        </w:rPr>
      </w:pPr>
      <w:r>
        <w:rPr>
          <w:rFonts w:ascii="黑体" w:eastAsia="黑体" w:hAnsi="黑体" w:cs="仿宋_GB2312" w:hint="eastAsia"/>
          <w:b/>
          <w:kern w:val="0"/>
          <w:sz w:val="18"/>
          <w:szCs w:val="18"/>
        </w:rPr>
        <w:lastRenderedPageBreak/>
        <w:t>（三）</w:t>
      </w:r>
      <w:r>
        <w:rPr>
          <w:rFonts w:hAnsi="宋体" w:hint="eastAsia"/>
          <w:b/>
          <w:sz w:val="18"/>
          <w:szCs w:val="18"/>
        </w:rPr>
        <w:t>★</w:t>
      </w:r>
      <w:r>
        <w:rPr>
          <w:rFonts w:ascii="黑体" w:eastAsia="黑体" w:hAnsi="黑体" w:cs="仿宋_GB2312" w:hint="eastAsia"/>
          <w:b/>
          <w:kern w:val="0"/>
          <w:sz w:val="18"/>
          <w:szCs w:val="18"/>
        </w:rPr>
        <w:t>最不利投资情形下的投资结果示例：</w:t>
      </w:r>
      <w:r>
        <w:rPr>
          <w:rFonts w:ascii="黑体" w:eastAsia="黑体" w:hAnsi="黑体" w:hint="eastAsia"/>
          <w:b/>
          <w:bCs/>
          <w:sz w:val="18"/>
          <w:szCs w:val="18"/>
        </w:rPr>
        <w:t>产品管理人对本产品的理财本金和收益不提供保证承诺，</w:t>
      </w:r>
      <w:r>
        <w:rPr>
          <w:rFonts w:ascii="黑体" w:eastAsia="黑体" w:hAnsi="黑体" w:hint="eastAsia"/>
          <w:b/>
          <w:sz w:val="18"/>
          <w:szCs w:val="18"/>
        </w:rPr>
        <w:t>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902CCE" w:rsidRDefault="00836EA3">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w:t>
      </w:r>
      <w:proofErr w:type="gramStart"/>
      <w:r>
        <w:rPr>
          <w:rFonts w:ascii="黑体" w:eastAsia="黑体" w:hAnsi="黑体" w:cs="仿宋_GB2312" w:hint="eastAsia"/>
          <w:kern w:val="0"/>
          <w:sz w:val="18"/>
          <w:szCs w:val="18"/>
        </w:rPr>
        <w:t>您风险</w:t>
      </w:r>
      <w:proofErr w:type="gramEnd"/>
      <w:r>
        <w:rPr>
          <w:rFonts w:ascii="黑体" w:eastAsia="黑体" w:hAnsi="黑体" w:cs="仿宋_GB2312" w:hint="eastAsia"/>
          <w:kern w:val="0"/>
          <w:sz w:val="18"/>
          <w:szCs w:val="18"/>
        </w:rPr>
        <w:t>承受能力的因素发生变化，请您及时重新完成风险承受能力评估。</w:t>
      </w:r>
    </w:p>
    <w:p w:rsidR="00902CCE" w:rsidRDefault="00902CCE">
      <w:pPr>
        <w:ind w:left="540"/>
        <w:jc w:val="right"/>
        <w:rPr>
          <w:rFonts w:ascii="宋体" w:hAnsi="宋体"/>
          <w:sz w:val="18"/>
          <w:szCs w:val="18"/>
        </w:rPr>
      </w:pPr>
    </w:p>
    <w:p w:rsidR="00902CCE" w:rsidRDefault="00836EA3">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902CCE" w:rsidRDefault="00836EA3">
      <w:pPr>
        <w:wordWrap w:val="0"/>
        <w:ind w:left="540"/>
        <w:jc w:val="right"/>
        <w:rPr>
          <w:rFonts w:ascii="宋体" w:hAnsi="宋体"/>
          <w:sz w:val="18"/>
          <w:szCs w:val="18"/>
        </w:rPr>
      </w:pPr>
      <w:r>
        <w:rPr>
          <w:rFonts w:ascii="宋体" w:hAnsi="宋体" w:hint="eastAsia"/>
          <w:sz w:val="18"/>
          <w:szCs w:val="18"/>
        </w:rPr>
        <w:t>销售机构（【</w:t>
      </w:r>
      <w:r w:rsidR="00AA16DE">
        <w:rPr>
          <w:rFonts w:asciiTheme="majorEastAsia" w:eastAsiaTheme="majorEastAsia" w:hAnsiTheme="majorEastAsia" w:hint="eastAsia"/>
          <w:bCs/>
          <w:sz w:val="18"/>
          <w:szCs w:val="18"/>
        </w:rPr>
        <w:t xml:space="preserve">  </w:t>
      </w:r>
      <w:bookmarkStart w:id="0" w:name="_GoBack"/>
      <w:bookmarkEnd w:id="0"/>
      <w:r>
        <w:rPr>
          <w:rFonts w:ascii="宋体" w:hAnsi="宋体" w:hint="eastAsia"/>
          <w:sz w:val="18"/>
          <w:szCs w:val="18"/>
        </w:rPr>
        <w:t>】）</w:t>
      </w:r>
    </w:p>
    <w:p w:rsidR="00902CCE" w:rsidRDefault="00836EA3">
      <w:pPr>
        <w:widowControl/>
        <w:jc w:val="left"/>
        <w:rPr>
          <w:rFonts w:ascii="宋体" w:hAnsi="宋体"/>
          <w:sz w:val="18"/>
          <w:szCs w:val="18"/>
        </w:rPr>
      </w:pPr>
      <w:r>
        <w:rPr>
          <w:rFonts w:ascii="宋体" w:hAnsi="宋体"/>
          <w:sz w:val="18"/>
          <w:szCs w:val="18"/>
        </w:rPr>
        <w:br w:type="page"/>
      </w:r>
    </w:p>
    <w:p w:rsidR="00902CCE" w:rsidRDefault="00902CCE">
      <w:pPr>
        <w:ind w:left="540"/>
        <w:jc w:val="right"/>
        <w:rPr>
          <w:rFonts w:ascii="宋体" w:hAnsi="宋体"/>
          <w:sz w:val="18"/>
          <w:szCs w:val="18"/>
        </w:rPr>
      </w:pPr>
    </w:p>
    <w:p w:rsidR="00902CCE" w:rsidRDefault="00902CCE">
      <w:pPr>
        <w:ind w:left="540"/>
        <w:jc w:val="right"/>
        <w:rPr>
          <w:rFonts w:ascii="宋体" w:hAnsi="宋体"/>
          <w:sz w:val="18"/>
          <w:szCs w:val="18"/>
        </w:rPr>
      </w:pPr>
    </w:p>
    <w:tbl>
      <w:tblPr>
        <w:tblStyle w:val="a9"/>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71"/>
      </w:tblGrid>
      <w:tr w:rsidR="00902CCE">
        <w:trPr>
          <w:trHeight w:val="627"/>
        </w:trPr>
        <w:tc>
          <w:tcPr>
            <w:tcW w:w="8371" w:type="dxa"/>
          </w:tcPr>
          <w:p w:rsidR="00902CCE" w:rsidRDefault="00836EA3">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902CCE" w:rsidRDefault="00836EA3">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902CCE">
        <w:trPr>
          <w:trHeight w:val="6283"/>
        </w:trPr>
        <w:tc>
          <w:tcPr>
            <w:tcW w:w="8371" w:type="dxa"/>
          </w:tcPr>
          <w:p w:rsidR="00902CCE" w:rsidRDefault="00836EA3">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902CCE" w:rsidRDefault="00902CCE">
            <w:pPr>
              <w:spacing w:line="280" w:lineRule="atLeast"/>
              <w:jc w:val="left"/>
              <w:rPr>
                <w:rFonts w:ascii="宋体" w:hAnsi="宋体" w:cs="Arial"/>
                <w:sz w:val="18"/>
                <w:szCs w:val="18"/>
              </w:rPr>
            </w:pPr>
          </w:p>
          <w:p w:rsidR="00902CCE" w:rsidRDefault="00836EA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902CCE" w:rsidRDefault="00902CCE">
            <w:pPr>
              <w:spacing w:line="280" w:lineRule="atLeast"/>
              <w:jc w:val="left"/>
              <w:rPr>
                <w:rFonts w:ascii="宋体" w:hAnsi="宋体" w:cs="Arial"/>
                <w:kern w:val="0"/>
                <w:sz w:val="18"/>
                <w:szCs w:val="18"/>
              </w:rPr>
            </w:pPr>
          </w:p>
          <w:p w:rsidR="00902CCE" w:rsidRDefault="00836EA3">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902CCE" w:rsidRDefault="00902CCE">
            <w:pPr>
              <w:spacing w:line="280" w:lineRule="atLeast"/>
              <w:jc w:val="left"/>
              <w:rPr>
                <w:rFonts w:ascii="宋体" w:hAnsi="宋体" w:cs="Arial"/>
                <w:kern w:val="0"/>
                <w:sz w:val="18"/>
                <w:szCs w:val="18"/>
              </w:rPr>
            </w:pPr>
          </w:p>
          <w:p w:rsidR="00902CCE" w:rsidRDefault="00836EA3">
            <w:pPr>
              <w:spacing w:line="280" w:lineRule="atLeast"/>
              <w:jc w:val="left"/>
              <w:rPr>
                <w:kern w:val="0"/>
                <w:sz w:val="18"/>
                <w:szCs w:val="18"/>
                <w:u w:val="single"/>
              </w:rPr>
            </w:pPr>
            <w:r>
              <w:rPr>
                <w:rFonts w:ascii="宋体" w:hAnsi="宋体" w:cs="Arial" w:hint="eastAsia"/>
                <w:kern w:val="0"/>
                <w:sz w:val="18"/>
                <w:szCs w:val="18"/>
              </w:rPr>
              <w:t>请投资者在此抄录：</w:t>
            </w:r>
          </w:p>
          <w:p w:rsidR="00902CCE" w:rsidRDefault="00902CCE">
            <w:pPr>
              <w:spacing w:line="280" w:lineRule="atLeast"/>
              <w:jc w:val="left"/>
              <w:rPr>
                <w:kern w:val="0"/>
                <w:sz w:val="18"/>
                <w:szCs w:val="18"/>
                <w:u w:val="single"/>
              </w:rPr>
            </w:pPr>
          </w:p>
          <w:p w:rsidR="00902CCE" w:rsidRDefault="00836EA3">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902CCE" w:rsidRDefault="00902CCE">
            <w:pPr>
              <w:spacing w:line="280" w:lineRule="atLeast"/>
              <w:ind w:left="4200" w:firstLineChars="600" w:firstLine="1080"/>
              <w:jc w:val="left"/>
              <w:rPr>
                <w:rFonts w:ascii="宋体" w:hAnsi="宋体" w:cs="Arial"/>
                <w:kern w:val="0"/>
                <w:sz w:val="18"/>
                <w:szCs w:val="18"/>
              </w:rPr>
            </w:pPr>
          </w:p>
          <w:p w:rsidR="00902CCE" w:rsidRDefault="00836EA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902CCE" w:rsidRDefault="00902CCE">
            <w:pPr>
              <w:spacing w:line="280" w:lineRule="atLeast"/>
              <w:ind w:left="4200" w:firstLineChars="600" w:firstLine="1080"/>
              <w:jc w:val="left"/>
              <w:rPr>
                <w:rFonts w:ascii="宋体" w:hAnsi="宋体" w:cs="Arial"/>
                <w:kern w:val="0"/>
                <w:sz w:val="18"/>
                <w:szCs w:val="18"/>
              </w:rPr>
            </w:pPr>
          </w:p>
          <w:p w:rsidR="00902CCE" w:rsidRDefault="00836EA3">
            <w:pPr>
              <w:spacing w:line="280" w:lineRule="atLeast"/>
              <w:jc w:val="left"/>
              <w:rPr>
                <w:rFonts w:ascii="宋体" w:hAnsi="宋体" w:cs="Arial"/>
                <w:kern w:val="0"/>
                <w:sz w:val="18"/>
                <w:szCs w:val="18"/>
              </w:rPr>
            </w:pPr>
            <w:r>
              <w:rPr>
                <w:rFonts w:hint="eastAsia"/>
                <w:b/>
                <w:kern w:val="0"/>
                <w:sz w:val="20"/>
                <w:szCs w:val="20"/>
              </w:rPr>
              <w:t>（</w:t>
            </w:r>
            <w:proofErr w:type="gramStart"/>
            <w:r>
              <w:rPr>
                <w:rFonts w:hint="eastAsia"/>
                <w:b/>
                <w:kern w:val="0"/>
                <w:sz w:val="20"/>
                <w:szCs w:val="20"/>
              </w:rPr>
              <w:t>本风险</w:t>
            </w:r>
            <w:proofErr w:type="gramEnd"/>
            <w:r>
              <w:rPr>
                <w:rFonts w:hint="eastAsia"/>
                <w:b/>
                <w:kern w:val="0"/>
                <w:sz w:val="20"/>
                <w:szCs w:val="20"/>
              </w:rPr>
              <w:t>揭示书共有三份签署文本，第一</w:t>
            </w:r>
            <w:proofErr w:type="gramStart"/>
            <w:r>
              <w:rPr>
                <w:rFonts w:hint="eastAsia"/>
                <w:b/>
                <w:kern w:val="0"/>
                <w:sz w:val="20"/>
                <w:szCs w:val="20"/>
              </w:rPr>
              <w:t>联销售</w:t>
            </w:r>
            <w:proofErr w:type="gramEnd"/>
            <w:r>
              <w:rPr>
                <w:rFonts w:hint="eastAsia"/>
                <w:b/>
                <w:kern w:val="0"/>
                <w:sz w:val="20"/>
                <w:szCs w:val="20"/>
              </w:rPr>
              <w:t>机构留存，第二联投资者留存，第三联产品管理人留存。）</w:t>
            </w:r>
          </w:p>
          <w:p w:rsidR="00902CCE" w:rsidRDefault="00902CCE">
            <w:pPr>
              <w:spacing w:line="280" w:lineRule="atLeast"/>
              <w:jc w:val="right"/>
              <w:rPr>
                <w:rFonts w:ascii="宋体" w:hAnsi="宋体"/>
                <w:kern w:val="0"/>
                <w:sz w:val="18"/>
                <w:szCs w:val="18"/>
              </w:rPr>
            </w:pPr>
          </w:p>
        </w:tc>
      </w:tr>
    </w:tbl>
    <w:p w:rsidR="00902CCE" w:rsidRDefault="00902CCE">
      <w:pPr>
        <w:autoSpaceDE w:val="0"/>
        <w:autoSpaceDN w:val="0"/>
        <w:adjustRightInd w:val="0"/>
        <w:spacing w:line="360" w:lineRule="auto"/>
        <w:ind w:firstLine="420"/>
        <w:jc w:val="left"/>
        <w:rPr>
          <w:rFonts w:ascii="宋体" w:hAnsi="宋体"/>
          <w:sz w:val="24"/>
        </w:rPr>
      </w:pPr>
    </w:p>
    <w:p w:rsidR="00902CCE" w:rsidRDefault="00902CCE">
      <w:pPr>
        <w:autoSpaceDE w:val="0"/>
        <w:autoSpaceDN w:val="0"/>
        <w:adjustRightInd w:val="0"/>
        <w:spacing w:line="360" w:lineRule="auto"/>
        <w:ind w:firstLine="420"/>
        <w:jc w:val="left"/>
        <w:rPr>
          <w:rFonts w:ascii="宋体" w:hAnsi="宋体"/>
          <w:sz w:val="24"/>
        </w:rPr>
      </w:pPr>
    </w:p>
    <w:p w:rsidR="00902CCE" w:rsidRDefault="00902CCE">
      <w:pPr>
        <w:autoSpaceDE w:val="0"/>
        <w:autoSpaceDN w:val="0"/>
        <w:adjustRightInd w:val="0"/>
        <w:spacing w:line="360" w:lineRule="auto"/>
        <w:ind w:firstLine="420"/>
        <w:jc w:val="left"/>
        <w:rPr>
          <w:rFonts w:ascii="宋体" w:hAnsi="宋体"/>
          <w:sz w:val="24"/>
        </w:rPr>
      </w:pPr>
    </w:p>
    <w:p w:rsidR="00902CCE" w:rsidRDefault="00902CCE">
      <w:pPr>
        <w:autoSpaceDE w:val="0"/>
        <w:autoSpaceDN w:val="0"/>
        <w:adjustRightInd w:val="0"/>
        <w:spacing w:line="360" w:lineRule="auto"/>
        <w:ind w:firstLine="420"/>
        <w:jc w:val="left"/>
        <w:rPr>
          <w:rFonts w:ascii="宋体" w:hAnsi="宋体"/>
          <w:sz w:val="24"/>
        </w:rPr>
      </w:pPr>
    </w:p>
    <w:p w:rsidR="00902CCE" w:rsidRDefault="00902CCE">
      <w:pPr>
        <w:rPr>
          <w:rFonts w:ascii="宋体" w:hAnsi="宋体" w:cs="Arial"/>
          <w:sz w:val="24"/>
        </w:rPr>
      </w:pPr>
    </w:p>
    <w:p w:rsidR="00902CCE" w:rsidRDefault="00902CCE">
      <w:pPr>
        <w:rPr>
          <w:rFonts w:ascii="宋体" w:hAnsi="宋体" w:cs="Arial"/>
          <w:sz w:val="24"/>
        </w:rPr>
      </w:pPr>
    </w:p>
    <w:p w:rsidR="00902CCE" w:rsidRDefault="00902CCE">
      <w:pPr>
        <w:rPr>
          <w:rFonts w:ascii="宋体" w:hAnsi="宋体" w:cs="Arial"/>
          <w:sz w:val="24"/>
        </w:rPr>
      </w:pPr>
    </w:p>
    <w:p w:rsidR="00902CCE" w:rsidRDefault="00902CCE">
      <w:pPr>
        <w:rPr>
          <w:rFonts w:ascii="宋体" w:hAnsi="宋体" w:cs="Arial"/>
          <w:sz w:val="24"/>
        </w:rPr>
      </w:pPr>
    </w:p>
    <w:p w:rsidR="00902CCE" w:rsidRDefault="00902CCE">
      <w:pPr>
        <w:rPr>
          <w:rFonts w:ascii="宋体" w:hAnsi="宋体" w:cs="Arial"/>
          <w:sz w:val="24"/>
        </w:rPr>
      </w:pPr>
    </w:p>
    <w:p w:rsidR="00902CCE" w:rsidRDefault="00902CCE">
      <w:pPr>
        <w:rPr>
          <w:rFonts w:ascii="宋体" w:hAnsi="宋体" w:cs="Arial"/>
          <w:sz w:val="24"/>
        </w:rPr>
      </w:pPr>
    </w:p>
    <w:p w:rsidR="00902CCE" w:rsidRDefault="00836EA3">
      <w:pPr>
        <w:widowControl/>
        <w:jc w:val="left"/>
        <w:rPr>
          <w:rFonts w:ascii="宋体" w:hAnsi="宋体" w:cs="Arial"/>
          <w:sz w:val="24"/>
        </w:rPr>
      </w:pPr>
      <w:r>
        <w:rPr>
          <w:rFonts w:ascii="宋体" w:hAnsi="宋体" w:cs="Arial"/>
          <w:sz w:val="24"/>
        </w:rPr>
        <w:br w:type="page"/>
      </w:r>
    </w:p>
    <w:tbl>
      <w:tblPr>
        <w:tblStyle w:val="a9"/>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413"/>
      </w:tblGrid>
      <w:tr w:rsidR="00902CCE">
        <w:trPr>
          <w:trHeight w:val="823"/>
        </w:trPr>
        <w:tc>
          <w:tcPr>
            <w:tcW w:w="8413" w:type="dxa"/>
          </w:tcPr>
          <w:p w:rsidR="00902CCE" w:rsidRDefault="00836EA3">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902CCE" w:rsidRDefault="00836EA3">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902CCE">
        <w:trPr>
          <w:trHeight w:val="7355"/>
        </w:trPr>
        <w:tc>
          <w:tcPr>
            <w:tcW w:w="8413" w:type="dxa"/>
          </w:tcPr>
          <w:p w:rsidR="00902CCE" w:rsidRDefault="00836EA3">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902CCE" w:rsidRDefault="00902CCE">
            <w:pPr>
              <w:spacing w:line="280" w:lineRule="atLeast"/>
              <w:ind w:firstLineChars="200" w:firstLine="360"/>
              <w:jc w:val="left"/>
              <w:rPr>
                <w:rFonts w:ascii="宋体" w:hAnsi="宋体" w:cs="Arial"/>
                <w:kern w:val="0"/>
                <w:sz w:val="18"/>
                <w:szCs w:val="18"/>
              </w:rPr>
            </w:pPr>
          </w:p>
          <w:p w:rsidR="00902CCE" w:rsidRDefault="00836EA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902CCE" w:rsidRDefault="00902CCE">
            <w:pPr>
              <w:spacing w:line="280" w:lineRule="atLeast"/>
              <w:ind w:firstLineChars="200" w:firstLine="360"/>
              <w:jc w:val="left"/>
              <w:rPr>
                <w:rFonts w:ascii="宋体" w:hAnsi="宋体" w:cs="Arial"/>
                <w:kern w:val="0"/>
                <w:sz w:val="18"/>
                <w:szCs w:val="18"/>
              </w:rPr>
            </w:pPr>
          </w:p>
          <w:p w:rsidR="00902CCE" w:rsidRDefault="00836EA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902CCE" w:rsidRDefault="00902CCE">
            <w:pPr>
              <w:spacing w:line="280" w:lineRule="atLeast"/>
              <w:jc w:val="left"/>
              <w:rPr>
                <w:rFonts w:ascii="宋体" w:hAnsi="宋体" w:cs="Arial"/>
                <w:kern w:val="0"/>
                <w:sz w:val="18"/>
                <w:szCs w:val="18"/>
              </w:rPr>
            </w:pPr>
          </w:p>
          <w:p w:rsidR="00902CCE" w:rsidRDefault="00836EA3">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902CCE" w:rsidRDefault="00902CCE">
            <w:pPr>
              <w:spacing w:line="280" w:lineRule="atLeast"/>
              <w:jc w:val="left"/>
              <w:rPr>
                <w:rFonts w:ascii="宋体" w:hAnsi="宋体" w:cs="Arial"/>
                <w:kern w:val="0"/>
                <w:sz w:val="18"/>
                <w:szCs w:val="18"/>
              </w:rPr>
            </w:pPr>
          </w:p>
          <w:p w:rsidR="00902CCE" w:rsidRDefault="00836EA3">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902CCE" w:rsidRDefault="00902CCE">
            <w:pPr>
              <w:spacing w:line="280" w:lineRule="atLeast"/>
              <w:jc w:val="left"/>
              <w:rPr>
                <w:rFonts w:ascii="宋体" w:hAnsi="宋体" w:cs="Arial"/>
                <w:kern w:val="0"/>
                <w:sz w:val="18"/>
                <w:szCs w:val="18"/>
              </w:rPr>
            </w:pPr>
          </w:p>
          <w:p w:rsidR="00902CCE" w:rsidRDefault="00836EA3">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902CCE" w:rsidRDefault="00902CCE">
            <w:pPr>
              <w:spacing w:line="280" w:lineRule="atLeast"/>
              <w:ind w:left="4200" w:firstLineChars="600" w:firstLine="1080"/>
              <w:jc w:val="left"/>
              <w:rPr>
                <w:rFonts w:ascii="宋体" w:hAnsi="宋体" w:cs="Arial"/>
                <w:kern w:val="0"/>
                <w:sz w:val="18"/>
                <w:szCs w:val="18"/>
              </w:rPr>
            </w:pPr>
          </w:p>
          <w:p w:rsidR="00902CCE" w:rsidRDefault="00836EA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902CCE" w:rsidRDefault="00902CCE">
            <w:pPr>
              <w:spacing w:line="280" w:lineRule="atLeast"/>
              <w:rPr>
                <w:kern w:val="0"/>
                <w:sz w:val="20"/>
                <w:szCs w:val="20"/>
              </w:rPr>
            </w:pPr>
          </w:p>
          <w:p w:rsidR="00902CCE" w:rsidRDefault="00836EA3">
            <w:pPr>
              <w:spacing w:line="280" w:lineRule="atLeast"/>
              <w:rPr>
                <w:b/>
                <w:kern w:val="0"/>
                <w:sz w:val="20"/>
                <w:szCs w:val="20"/>
              </w:rPr>
            </w:pPr>
            <w:r>
              <w:rPr>
                <w:rFonts w:hint="eastAsia"/>
                <w:b/>
                <w:kern w:val="0"/>
                <w:sz w:val="20"/>
                <w:szCs w:val="20"/>
              </w:rPr>
              <w:t>（</w:t>
            </w:r>
            <w:proofErr w:type="gramStart"/>
            <w:r>
              <w:rPr>
                <w:rFonts w:hint="eastAsia"/>
                <w:b/>
                <w:kern w:val="0"/>
                <w:sz w:val="20"/>
                <w:szCs w:val="20"/>
              </w:rPr>
              <w:t>本风险</w:t>
            </w:r>
            <w:proofErr w:type="gramEnd"/>
            <w:r>
              <w:rPr>
                <w:rFonts w:hint="eastAsia"/>
                <w:b/>
                <w:kern w:val="0"/>
                <w:sz w:val="20"/>
                <w:szCs w:val="20"/>
              </w:rPr>
              <w:t>揭示书共有三份签署文本，第一</w:t>
            </w:r>
            <w:proofErr w:type="gramStart"/>
            <w:r>
              <w:rPr>
                <w:rFonts w:hint="eastAsia"/>
                <w:b/>
                <w:kern w:val="0"/>
                <w:sz w:val="20"/>
                <w:szCs w:val="20"/>
              </w:rPr>
              <w:t>联销售</w:t>
            </w:r>
            <w:proofErr w:type="gramEnd"/>
            <w:r>
              <w:rPr>
                <w:rFonts w:hint="eastAsia"/>
                <w:b/>
                <w:kern w:val="0"/>
                <w:sz w:val="20"/>
                <w:szCs w:val="20"/>
              </w:rPr>
              <w:t>机构留存，第二联投资者留存，第三联产品管理人留存。）</w:t>
            </w:r>
          </w:p>
        </w:tc>
      </w:tr>
    </w:tbl>
    <w:p w:rsidR="00902CCE" w:rsidRDefault="00836EA3">
      <w:pPr>
        <w:widowControl/>
        <w:jc w:val="left"/>
        <w:rPr>
          <w:rFonts w:ascii="宋体" w:hAnsi="宋体"/>
          <w:b/>
          <w:sz w:val="28"/>
          <w:szCs w:val="28"/>
        </w:rPr>
      </w:pPr>
      <w:r>
        <w:rPr>
          <w:rFonts w:ascii="宋体" w:hAnsi="宋体"/>
          <w:b/>
          <w:sz w:val="28"/>
          <w:szCs w:val="28"/>
        </w:rPr>
        <w:br w:type="page"/>
      </w:r>
    </w:p>
    <w:tbl>
      <w:tblPr>
        <w:tblStyle w:val="a9"/>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88"/>
      </w:tblGrid>
      <w:tr w:rsidR="00902CCE">
        <w:trPr>
          <w:trHeight w:val="673"/>
        </w:trPr>
        <w:tc>
          <w:tcPr>
            <w:tcW w:w="8388" w:type="dxa"/>
          </w:tcPr>
          <w:p w:rsidR="00902CCE" w:rsidRDefault="00836EA3">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902CCE" w:rsidRDefault="00836EA3">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902CCE">
        <w:trPr>
          <w:trHeight w:val="6016"/>
        </w:trPr>
        <w:tc>
          <w:tcPr>
            <w:tcW w:w="8388" w:type="dxa"/>
          </w:tcPr>
          <w:p w:rsidR="00902CCE" w:rsidRDefault="00836EA3">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902CCE" w:rsidRDefault="00902CCE">
            <w:pPr>
              <w:spacing w:line="280" w:lineRule="atLeast"/>
              <w:ind w:firstLineChars="200" w:firstLine="360"/>
              <w:jc w:val="left"/>
              <w:rPr>
                <w:rFonts w:ascii="宋体" w:hAnsi="宋体" w:cs="Arial"/>
                <w:kern w:val="0"/>
                <w:sz w:val="18"/>
                <w:szCs w:val="18"/>
              </w:rPr>
            </w:pPr>
          </w:p>
          <w:p w:rsidR="00902CCE" w:rsidRDefault="00836EA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902CCE" w:rsidRDefault="00902CCE">
            <w:pPr>
              <w:spacing w:line="280" w:lineRule="atLeast"/>
              <w:jc w:val="left"/>
              <w:rPr>
                <w:rFonts w:ascii="宋体" w:hAnsi="宋体" w:cs="Arial"/>
                <w:kern w:val="0"/>
                <w:sz w:val="18"/>
                <w:szCs w:val="18"/>
              </w:rPr>
            </w:pPr>
          </w:p>
          <w:p w:rsidR="00902CCE" w:rsidRDefault="00836EA3">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902CCE" w:rsidRDefault="00902CCE">
            <w:pPr>
              <w:spacing w:line="280" w:lineRule="atLeast"/>
              <w:jc w:val="left"/>
              <w:rPr>
                <w:rFonts w:ascii="宋体" w:hAnsi="宋体" w:cs="Arial"/>
                <w:kern w:val="0"/>
                <w:sz w:val="18"/>
                <w:szCs w:val="18"/>
              </w:rPr>
            </w:pPr>
          </w:p>
          <w:p w:rsidR="00902CCE" w:rsidRDefault="00836EA3">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902CCE" w:rsidRDefault="00902CCE">
            <w:pPr>
              <w:spacing w:line="280" w:lineRule="atLeast"/>
              <w:jc w:val="left"/>
              <w:rPr>
                <w:rFonts w:ascii="宋体" w:hAnsi="宋体" w:cs="Arial"/>
                <w:kern w:val="0"/>
                <w:sz w:val="18"/>
                <w:szCs w:val="18"/>
              </w:rPr>
            </w:pPr>
          </w:p>
          <w:p w:rsidR="00902CCE" w:rsidRDefault="00836EA3">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902CCE" w:rsidRDefault="00902CCE">
            <w:pPr>
              <w:spacing w:line="280" w:lineRule="atLeast"/>
              <w:ind w:left="4200" w:firstLineChars="600" w:firstLine="1080"/>
              <w:jc w:val="left"/>
              <w:rPr>
                <w:rFonts w:ascii="宋体" w:hAnsi="宋体" w:cs="Arial"/>
                <w:kern w:val="0"/>
                <w:sz w:val="18"/>
                <w:szCs w:val="18"/>
              </w:rPr>
            </w:pPr>
          </w:p>
          <w:p w:rsidR="00902CCE" w:rsidRDefault="00836EA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902CCE" w:rsidRDefault="00902CCE">
            <w:pPr>
              <w:spacing w:line="280" w:lineRule="atLeast"/>
              <w:rPr>
                <w:kern w:val="0"/>
                <w:sz w:val="20"/>
                <w:szCs w:val="20"/>
              </w:rPr>
            </w:pPr>
          </w:p>
          <w:p w:rsidR="00902CCE" w:rsidRDefault="00836EA3">
            <w:pPr>
              <w:spacing w:line="280" w:lineRule="atLeast"/>
              <w:rPr>
                <w:b/>
                <w:kern w:val="0"/>
                <w:sz w:val="20"/>
                <w:szCs w:val="20"/>
              </w:rPr>
            </w:pPr>
            <w:r>
              <w:rPr>
                <w:rFonts w:hint="eastAsia"/>
                <w:b/>
                <w:kern w:val="0"/>
                <w:sz w:val="20"/>
                <w:szCs w:val="20"/>
              </w:rPr>
              <w:t>（</w:t>
            </w:r>
            <w:proofErr w:type="gramStart"/>
            <w:r>
              <w:rPr>
                <w:rFonts w:hint="eastAsia"/>
                <w:b/>
                <w:kern w:val="0"/>
                <w:sz w:val="20"/>
                <w:szCs w:val="20"/>
              </w:rPr>
              <w:t>本风险</w:t>
            </w:r>
            <w:proofErr w:type="gramEnd"/>
            <w:r>
              <w:rPr>
                <w:rFonts w:hint="eastAsia"/>
                <w:b/>
                <w:kern w:val="0"/>
                <w:sz w:val="20"/>
                <w:szCs w:val="20"/>
              </w:rPr>
              <w:t>揭示书共有三份签署文本，第一</w:t>
            </w:r>
            <w:proofErr w:type="gramStart"/>
            <w:r>
              <w:rPr>
                <w:rFonts w:hint="eastAsia"/>
                <w:b/>
                <w:kern w:val="0"/>
                <w:sz w:val="20"/>
                <w:szCs w:val="20"/>
              </w:rPr>
              <w:t>联销售</w:t>
            </w:r>
            <w:proofErr w:type="gramEnd"/>
            <w:r>
              <w:rPr>
                <w:rFonts w:hint="eastAsia"/>
                <w:b/>
                <w:kern w:val="0"/>
                <w:sz w:val="20"/>
                <w:szCs w:val="20"/>
              </w:rPr>
              <w:t>机构留存，第二联投资者留存，第三联产品管理人留存。）</w:t>
            </w:r>
          </w:p>
        </w:tc>
      </w:tr>
    </w:tbl>
    <w:p w:rsidR="00902CCE" w:rsidRDefault="00902CCE"/>
    <w:sectPr w:rsidR="00902CCE">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571" w:rsidRDefault="009B7571">
      <w:r>
        <w:separator/>
      </w:r>
    </w:p>
  </w:endnote>
  <w:endnote w:type="continuationSeparator" w:id="0">
    <w:p w:rsidR="009B7571" w:rsidRDefault="009B7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571" w:rsidRDefault="009B7571">
      <w:r>
        <w:separator/>
      </w:r>
    </w:p>
  </w:footnote>
  <w:footnote w:type="continuationSeparator" w:id="0">
    <w:p w:rsidR="009B7571" w:rsidRDefault="009B7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CCE" w:rsidRDefault="00836EA3">
    <w:pPr>
      <w:pStyle w:val="a7"/>
      <w:pBdr>
        <w:bottom w:val="thickThinLargeGap" w:sz="24" w:space="10" w:color="auto"/>
      </w:pBdr>
      <w:tabs>
        <w:tab w:val="right" w:pos="8280"/>
      </w:tabs>
      <w:wordWrap w:val="0"/>
      <w:adjustRightInd w:val="0"/>
      <w:ind w:firstLineChars="100" w:firstLine="180"/>
      <w:jc w:val="right"/>
    </w:pPr>
    <w:r>
      <w:rPr>
        <w:rFonts w:hint="eastAsia"/>
      </w:rPr>
      <w:t>风险揭示书</w:t>
    </w:r>
  </w:p>
  <w:p w:rsidR="00902CCE" w:rsidRDefault="00836EA3">
    <w:pPr>
      <w:pStyle w:val="a7"/>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3E8F"/>
    <w:rsid w:val="00096AC8"/>
    <w:rsid w:val="000A244A"/>
    <w:rsid w:val="000A4203"/>
    <w:rsid w:val="000B16F1"/>
    <w:rsid w:val="000B357F"/>
    <w:rsid w:val="000F0566"/>
    <w:rsid w:val="001104E8"/>
    <w:rsid w:val="00152999"/>
    <w:rsid w:val="001B2E00"/>
    <w:rsid w:val="001C357F"/>
    <w:rsid w:val="001C5047"/>
    <w:rsid w:val="00206F67"/>
    <w:rsid w:val="002114AF"/>
    <w:rsid w:val="002354DB"/>
    <w:rsid w:val="00262560"/>
    <w:rsid w:val="002B4BDD"/>
    <w:rsid w:val="002B63FC"/>
    <w:rsid w:val="002C604E"/>
    <w:rsid w:val="002F0B15"/>
    <w:rsid w:val="00346ED2"/>
    <w:rsid w:val="00374070"/>
    <w:rsid w:val="003B726D"/>
    <w:rsid w:val="003E1A68"/>
    <w:rsid w:val="003F1C32"/>
    <w:rsid w:val="00420D74"/>
    <w:rsid w:val="0045040F"/>
    <w:rsid w:val="00466605"/>
    <w:rsid w:val="00487351"/>
    <w:rsid w:val="004A236B"/>
    <w:rsid w:val="004B4026"/>
    <w:rsid w:val="004C7F5E"/>
    <w:rsid w:val="00510BA5"/>
    <w:rsid w:val="00527A03"/>
    <w:rsid w:val="00563E8F"/>
    <w:rsid w:val="005804B9"/>
    <w:rsid w:val="005A0E14"/>
    <w:rsid w:val="005C6FCB"/>
    <w:rsid w:val="005F48BE"/>
    <w:rsid w:val="00640FDE"/>
    <w:rsid w:val="006538E1"/>
    <w:rsid w:val="007143CD"/>
    <w:rsid w:val="007303F6"/>
    <w:rsid w:val="00732C8C"/>
    <w:rsid w:val="00747259"/>
    <w:rsid w:val="007A4C26"/>
    <w:rsid w:val="007B017F"/>
    <w:rsid w:val="007C7189"/>
    <w:rsid w:val="0080662E"/>
    <w:rsid w:val="00836C1F"/>
    <w:rsid w:val="00836EA3"/>
    <w:rsid w:val="00866E74"/>
    <w:rsid w:val="00894EE6"/>
    <w:rsid w:val="008A707D"/>
    <w:rsid w:val="008D3E86"/>
    <w:rsid w:val="008F2B54"/>
    <w:rsid w:val="00902CCE"/>
    <w:rsid w:val="00955293"/>
    <w:rsid w:val="00981E5B"/>
    <w:rsid w:val="0099405E"/>
    <w:rsid w:val="009B13AF"/>
    <w:rsid w:val="009B7571"/>
    <w:rsid w:val="009C6B3E"/>
    <w:rsid w:val="00A95D0C"/>
    <w:rsid w:val="00AA16DE"/>
    <w:rsid w:val="00AE0FA9"/>
    <w:rsid w:val="00AE5AA3"/>
    <w:rsid w:val="00B06267"/>
    <w:rsid w:val="00B07DEF"/>
    <w:rsid w:val="00B35D81"/>
    <w:rsid w:val="00B3723D"/>
    <w:rsid w:val="00BB513F"/>
    <w:rsid w:val="00BC1259"/>
    <w:rsid w:val="00BC2076"/>
    <w:rsid w:val="00BC398E"/>
    <w:rsid w:val="00BE1A3A"/>
    <w:rsid w:val="00C01696"/>
    <w:rsid w:val="00C4233D"/>
    <w:rsid w:val="00C82081"/>
    <w:rsid w:val="00D03CCD"/>
    <w:rsid w:val="00D33509"/>
    <w:rsid w:val="00D46533"/>
    <w:rsid w:val="00D91389"/>
    <w:rsid w:val="00DA2C69"/>
    <w:rsid w:val="00DC4ABB"/>
    <w:rsid w:val="00DD246D"/>
    <w:rsid w:val="00DD5ABC"/>
    <w:rsid w:val="00DE3630"/>
    <w:rsid w:val="00E27A39"/>
    <w:rsid w:val="00E504DE"/>
    <w:rsid w:val="00E504F5"/>
    <w:rsid w:val="00E767F1"/>
    <w:rsid w:val="00E80603"/>
    <w:rsid w:val="00EB34F9"/>
    <w:rsid w:val="00F1747E"/>
    <w:rsid w:val="00F34E57"/>
    <w:rsid w:val="00F57B20"/>
    <w:rsid w:val="00F7745C"/>
    <w:rsid w:val="00F8077D"/>
    <w:rsid w:val="00FB3140"/>
    <w:rsid w:val="00FD7473"/>
    <w:rsid w:val="0F4E0910"/>
    <w:rsid w:val="16E0244F"/>
    <w:rsid w:val="1ABC3843"/>
    <w:rsid w:val="1D9858FD"/>
    <w:rsid w:val="23024B39"/>
    <w:rsid w:val="23F23E77"/>
    <w:rsid w:val="30D07848"/>
    <w:rsid w:val="3F8C50A2"/>
    <w:rsid w:val="40523766"/>
    <w:rsid w:val="410E7B58"/>
    <w:rsid w:val="435B2EBF"/>
    <w:rsid w:val="601969DF"/>
    <w:rsid w:val="6AAE1918"/>
    <w:rsid w:val="73E91C2D"/>
    <w:rsid w:val="748151F9"/>
    <w:rsid w:val="7D9E1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F96F291-E5EC-40FE-B35F-D10D6965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8">
    <w:name w:val="annotation reference"/>
    <w:basedOn w:val="a0"/>
    <w:uiPriority w:val="99"/>
    <w:unhideWhenUsed/>
    <w:qFormat/>
    <w:rPr>
      <w:sz w:val="21"/>
      <w:szCs w:val="21"/>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styleId="aa">
    <w:name w:val="List Paragraph"/>
    <w:basedOn w:val="a"/>
    <w:qFormat/>
    <w:pPr>
      <w:ind w:firstLineChars="200" w:firstLine="420"/>
    </w:pPr>
  </w:style>
  <w:style w:type="character" w:customStyle="1" w:styleId="Char0">
    <w:name w:val="批注文字 Char"/>
    <w:basedOn w:val="a0"/>
    <w:link w:val="a4"/>
    <w:uiPriority w:val="99"/>
    <w:qFormat/>
    <w:rPr>
      <w:rFonts w:ascii="Calibri" w:eastAsia="宋体" w:hAnsi="Calibri" w:cs="宋体"/>
    </w:rPr>
  </w:style>
  <w:style w:type="character" w:customStyle="1" w:styleId="Char">
    <w:name w:val="批注主题 Char"/>
    <w:basedOn w:val="Char0"/>
    <w:link w:val="a3"/>
    <w:uiPriority w:val="99"/>
    <w:semiHidden/>
    <w:qFormat/>
    <w:rPr>
      <w:rFonts w:ascii="Calibri" w:eastAsia="宋体" w:hAnsi="Calibri" w:cs="宋体"/>
      <w:b/>
      <w:bCs/>
    </w:rPr>
  </w:style>
  <w:style w:type="character" w:customStyle="1" w:styleId="Char1">
    <w:name w:val="批注框文本 Char"/>
    <w:basedOn w:val="a0"/>
    <w:link w:val="a5"/>
    <w:uiPriority w:val="99"/>
    <w:semiHidden/>
    <w:qFormat/>
    <w:rPr>
      <w:rFonts w:ascii="Calibri" w:eastAsia="宋体" w:hAnsi="Calibri" w:cs="宋体"/>
      <w:sz w:val="18"/>
      <w:szCs w:val="18"/>
    </w:rPr>
  </w:style>
  <w:style w:type="paragraph" w:customStyle="1" w:styleId="1">
    <w:name w:val="修订1"/>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874</Words>
  <Characters>4983</Characters>
  <Application>Microsoft Office Word</Application>
  <DocSecurity>0</DocSecurity>
  <Lines>41</Lines>
  <Paragraphs>11</Paragraphs>
  <ScaleCrop>false</ScaleCrop>
  <Company>神州网信技术有限公司</Company>
  <LinksUpToDate>false</LinksUpToDate>
  <CharactersWithSpaces>5846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财富云维护服务台</cp:lastModifiedBy>
  <cp:revision>60</cp:revision>
  <dcterms:created xsi:type="dcterms:W3CDTF">2021-06-16T13:02:00Z</dcterms:created>
  <dcterms:modified xsi:type="dcterms:W3CDTF">2022-09-26T08:10:00Z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8C3451F4A9D547188BD69B541900499D</vt:lpwstr>
  </property>
</Properties>
</file>