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季开放3号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管理人拟对“苏银理财恒源季开放3号”理财产品部分要素进行调整，具体如下：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苏银理财恒源季开放3号F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32"/>
                <w:szCs w:val="32"/>
                <w:u w:val="none"/>
                <w:lang w:val="en-US" w:eastAsia="zh-CN" w:bidi="ar"/>
              </w:rPr>
            </w:pPr>
            <w:r>
              <w:rPr>
                <w:rFonts w:hint="eastAsia" w:ascii="楷体" w:hAnsi="楷体" w:eastAsia="楷体" w:cs="楷体"/>
                <w:i w:val="0"/>
                <w:iCs w:val="0"/>
                <w:color w:val="000000"/>
                <w:kern w:val="0"/>
                <w:sz w:val="24"/>
                <w:szCs w:val="24"/>
                <w:u w:val="none"/>
                <w:lang w:val="en-US" w:eastAsia="zh-CN" w:bidi="ar"/>
              </w:rPr>
              <w:t>J02068</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bl>
    <w:p>
      <w:pPr>
        <w:numPr>
          <w:ilvl w:val="0"/>
          <w:numId w:val="1"/>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J01343</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J01365</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J01366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苏银理财恒源季开放3号E</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J02486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2.15%-2.95%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J02068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J02829</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苏银理财恒源季开放3号S</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J03658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bl>
    <w:p>
      <w:pPr>
        <w:spacing w:line="520" w:lineRule="exact"/>
        <w:ind w:firstLine="565" w:firstLineChars="202"/>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numPr>
          <w:ilvl w:val="0"/>
          <w:numId w:val="0"/>
        </w:numPr>
        <w:ind w:firstLine="562" w:firstLineChars="200"/>
        <w:rPr>
          <w:rFonts w:hint="default"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三、新增份额</w:t>
      </w:r>
    </w:p>
    <w:p>
      <w:pPr>
        <w:spacing w:line="520" w:lineRule="exact"/>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为满足客户的投资需要，本产品增设子份额“</w:t>
      </w:r>
      <w:r>
        <w:rPr>
          <w:rFonts w:hint="eastAsia" w:ascii="楷体" w:hAnsi="楷体" w:eastAsia="楷体" w:cs="Times New Roman"/>
          <w:sz w:val="28"/>
          <w:szCs w:val="28"/>
          <w:lang w:eastAsia="zh-CN"/>
        </w:rPr>
        <w:t>苏银理财恒源</w:t>
      </w:r>
      <w:r>
        <w:rPr>
          <w:rFonts w:hint="eastAsia" w:ascii="楷体" w:hAnsi="楷体" w:eastAsia="楷体" w:cs="Times New Roman"/>
          <w:sz w:val="28"/>
          <w:szCs w:val="28"/>
          <w:lang w:val="en-US" w:eastAsia="zh-CN"/>
        </w:rPr>
        <w:t>季开放3号H</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销售</w:t>
      </w:r>
      <w:r>
        <w:rPr>
          <w:rFonts w:hint="eastAsia" w:ascii="楷体" w:hAnsi="楷体" w:eastAsia="楷体" w:cs="Times New Roman"/>
          <w:sz w:val="28"/>
          <w:szCs w:val="28"/>
        </w:rPr>
        <w:t>代码：J15516），份额要素如下：</w:t>
      </w:r>
    </w:p>
    <w:p>
      <w:pPr>
        <w:pStyle w:val="11"/>
        <w:spacing w:before="0" w:beforeAutospacing="0" w:after="0" w:afterAutospacing="0" w:line="48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rPr>
        <w:t>1、</w:t>
      </w:r>
      <w:r>
        <w:rPr>
          <w:rFonts w:hint="eastAsia" w:ascii="楷体" w:hAnsi="楷体" w:eastAsia="楷体" w:cs="Times New Roman"/>
          <w:sz w:val="28"/>
          <w:szCs w:val="28"/>
          <w:lang w:val="en-US" w:eastAsia="zh-CN"/>
        </w:rPr>
        <w:t>H</w:t>
      </w:r>
      <w:r>
        <w:rPr>
          <w:rFonts w:ascii="楷体" w:hAnsi="楷体" w:eastAsia="楷体" w:cs="Times New Roman"/>
          <w:sz w:val="28"/>
          <w:szCs w:val="28"/>
        </w:rPr>
        <w:t>份额</w:t>
      </w:r>
      <w:r>
        <w:rPr>
          <w:rFonts w:hint="eastAsia" w:ascii="楷体" w:hAnsi="楷体" w:eastAsia="楷体" w:cs="Times New Roman"/>
          <w:sz w:val="28"/>
          <w:szCs w:val="28"/>
        </w:rPr>
        <w:t>的销售对象为</w:t>
      </w:r>
      <w:r>
        <w:rPr>
          <w:rFonts w:hint="eastAsia" w:ascii="楷体" w:hAnsi="楷体" w:eastAsia="楷体" w:cs="Times New Roman"/>
          <w:sz w:val="28"/>
          <w:szCs w:val="28"/>
          <w:lang w:val="en-US" w:eastAsia="zh-CN"/>
        </w:rPr>
        <w:t>个人和机构</w:t>
      </w:r>
      <w:r>
        <w:rPr>
          <w:rFonts w:hint="eastAsia" w:ascii="楷体" w:hAnsi="楷体" w:eastAsia="楷体" w:cs="Times New Roman"/>
          <w:sz w:val="28"/>
          <w:szCs w:val="28"/>
        </w:rPr>
        <w:t>投资</w:t>
      </w:r>
      <w:r>
        <w:rPr>
          <w:rFonts w:hint="eastAsia" w:ascii="楷体" w:hAnsi="楷体" w:eastAsia="楷体" w:cs="Times New Roman"/>
          <w:sz w:val="28"/>
          <w:szCs w:val="28"/>
          <w:lang w:val="en-US" w:eastAsia="zh-CN"/>
        </w:rPr>
        <w:t>者，</w:t>
      </w:r>
      <w:r>
        <w:rPr>
          <w:rFonts w:hint="eastAsia" w:ascii="楷体" w:hAnsi="楷体" w:eastAsia="楷体" w:cs="Times New Roman"/>
          <w:sz w:val="28"/>
          <w:szCs w:val="28"/>
        </w:rPr>
        <w:t>销售机构名单以</w:t>
      </w:r>
      <w:r>
        <w:rPr>
          <w:rFonts w:hint="eastAsia" w:ascii="楷体" w:hAnsi="楷体" w:eastAsia="楷体" w:cs="Times New Roman"/>
          <w:sz w:val="28"/>
          <w:szCs w:val="28"/>
          <w:lang w:val="en-US" w:eastAsia="zh-CN"/>
        </w:rPr>
        <w:t>产品合同</w:t>
      </w:r>
      <w:r>
        <w:rPr>
          <w:rFonts w:hint="eastAsia" w:ascii="楷体" w:hAnsi="楷体" w:eastAsia="楷体" w:cs="Times New Roman"/>
          <w:sz w:val="28"/>
          <w:szCs w:val="28"/>
        </w:rPr>
        <w:t>为准</w:t>
      </w:r>
      <w:r>
        <w:rPr>
          <w:rFonts w:hint="eastAsia" w:ascii="楷体" w:hAnsi="楷体" w:eastAsia="楷体" w:cs="Times New Roman"/>
          <w:sz w:val="28"/>
          <w:szCs w:val="28"/>
          <w:lang w:val="en-US" w:eastAsia="zh-CN"/>
        </w:rPr>
        <w:t>。</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w:t>
      </w:r>
      <w:r>
        <w:rPr>
          <w:rFonts w:hint="eastAsia" w:ascii="楷体" w:hAnsi="楷体" w:eastAsia="楷体" w:cs="Times New Roman"/>
          <w:sz w:val="28"/>
          <w:szCs w:val="28"/>
          <w:lang w:val="en-US" w:eastAsia="zh-CN"/>
        </w:rPr>
        <w:t>H</w:t>
      </w:r>
      <w:r>
        <w:rPr>
          <w:rFonts w:ascii="楷体" w:hAnsi="楷体" w:eastAsia="楷体" w:cs="Times New Roman"/>
          <w:sz w:val="28"/>
          <w:szCs w:val="28"/>
        </w:rPr>
        <w:t>份额购买起点金额为</w:t>
      </w:r>
      <w:r>
        <w:rPr>
          <w:rFonts w:hint="eastAsia" w:ascii="楷体" w:hAnsi="楷体" w:eastAsia="楷体" w:cs="Times New Roman"/>
          <w:sz w:val="28"/>
          <w:szCs w:val="28"/>
          <w:lang w:val="en-US" w:eastAsia="zh-CN"/>
        </w:rPr>
        <w:t>1</w:t>
      </w:r>
      <w:r>
        <w:rPr>
          <w:rFonts w:ascii="楷体" w:hAnsi="楷体" w:eastAsia="楷体" w:cs="Times New Roman"/>
          <w:sz w:val="28"/>
          <w:szCs w:val="28"/>
        </w:rPr>
        <w:t>元，追加金额为</w:t>
      </w:r>
      <w:r>
        <w:rPr>
          <w:rFonts w:hint="eastAsia" w:ascii="楷体" w:hAnsi="楷体" w:eastAsia="楷体" w:cs="Times New Roman"/>
          <w:sz w:val="28"/>
          <w:szCs w:val="28"/>
          <w:lang w:val="en-US" w:eastAsia="zh-CN"/>
        </w:rPr>
        <w:t>1</w:t>
      </w:r>
      <w:r>
        <w:rPr>
          <w:rFonts w:ascii="楷体" w:hAnsi="楷体" w:eastAsia="楷体" w:cs="Times New Roman"/>
          <w:sz w:val="28"/>
          <w:szCs w:val="28"/>
        </w:rPr>
        <w:t>元的整数倍</w:t>
      </w:r>
      <w:r>
        <w:rPr>
          <w:rFonts w:hint="eastAsia" w:ascii="楷体" w:hAnsi="楷体" w:eastAsia="楷体" w:cs="Times New Roman"/>
          <w:sz w:val="28"/>
          <w:szCs w:val="28"/>
        </w:rPr>
        <w:t>。</w:t>
      </w:r>
    </w:p>
    <w:p>
      <w:pPr>
        <w:pStyle w:val="11"/>
        <w:spacing w:before="0" w:beforeAutospacing="0" w:after="0" w:afterAutospacing="0" w:line="480" w:lineRule="auto"/>
        <w:ind w:firstLine="560" w:firstLineChars="200"/>
        <w:jc w:val="left"/>
        <w:rPr>
          <w:rFonts w:ascii="楷体" w:hAnsi="楷体" w:eastAsia="楷体" w:cs="Times New Roman"/>
          <w:sz w:val="28"/>
          <w:szCs w:val="28"/>
        </w:rPr>
      </w:pPr>
      <w:r>
        <w:rPr>
          <w:rFonts w:hint="eastAsia" w:ascii="楷体" w:hAnsi="楷体" w:eastAsia="楷体" w:cs="Times New Roman"/>
          <w:sz w:val="28"/>
          <w:szCs w:val="28"/>
        </w:rPr>
        <w:t>3、</w:t>
      </w:r>
      <w:r>
        <w:rPr>
          <w:rFonts w:hint="eastAsia" w:ascii="楷体" w:hAnsi="楷体" w:eastAsia="楷体" w:cs="Times New Roman"/>
          <w:sz w:val="28"/>
          <w:szCs w:val="28"/>
          <w:lang w:val="en-US" w:eastAsia="zh-CN"/>
        </w:rPr>
        <w:t>H</w:t>
      </w:r>
      <w:r>
        <w:rPr>
          <w:rFonts w:hint="eastAsia" w:ascii="楷体" w:hAnsi="楷体" w:eastAsia="楷体" w:cs="Times New Roman"/>
          <w:sz w:val="28"/>
          <w:szCs w:val="28"/>
        </w:rPr>
        <w:t>份额</w:t>
      </w:r>
      <w:r>
        <w:rPr>
          <w:rFonts w:hint="eastAsia" w:ascii="楷体" w:hAnsi="楷体" w:eastAsia="楷体" w:cs="Times New Roman"/>
          <w:sz w:val="28"/>
          <w:szCs w:val="28"/>
          <w:lang w:val="en-US" w:eastAsia="zh-CN"/>
        </w:rPr>
        <w:t>业绩比较基准为年化1.90%-2.70%（业绩比较基准为管理人对本产品所设定的投资目标，不代表理财产品未来表现，不等于理财产品实际收益，不作为产品收益的业绩保证，投资者的实际收益由产品净值表现决定），</w:t>
      </w:r>
      <w:r>
        <w:rPr>
          <w:rFonts w:hint="eastAsia" w:ascii="楷体" w:hAnsi="楷体" w:eastAsia="楷体" w:cs="Times New Roman"/>
          <w:sz w:val="28"/>
          <w:szCs w:val="28"/>
        </w:rPr>
        <w:t>销售服务费率</w:t>
      </w:r>
      <w:r>
        <w:rPr>
          <w:rFonts w:ascii="楷体" w:hAnsi="楷体" w:eastAsia="楷体" w:cs="Times New Roman"/>
          <w:sz w:val="28"/>
          <w:szCs w:val="28"/>
        </w:rPr>
        <w:t>0.</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0</w:t>
      </w:r>
      <w:r>
        <w:rPr>
          <w:rFonts w:ascii="楷体" w:hAnsi="楷体" w:eastAsia="楷体" w:cs="Times New Roman"/>
          <w:sz w:val="28"/>
          <w:szCs w:val="28"/>
        </w:rPr>
        <w:t>%/年</w:t>
      </w:r>
      <w:r>
        <w:rPr>
          <w:rFonts w:hint="eastAsia" w:ascii="楷体" w:hAnsi="楷体" w:eastAsia="楷体" w:cs="Times New Roman"/>
          <w:sz w:val="28"/>
          <w:szCs w:val="28"/>
        </w:rPr>
        <w:t>，投资管理费率</w:t>
      </w:r>
      <w:r>
        <w:rPr>
          <w:rFonts w:ascii="楷体" w:hAnsi="楷体" w:eastAsia="楷体" w:cs="Times New Roman"/>
          <w:sz w:val="28"/>
          <w:szCs w:val="28"/>
        </w:rPr>
        <w:t>0.</w:t>
      </w:r>
      <w:r>
        <w:rPr>
          <w:rFonts w:hint="eastAsia" w:ascii="楷体" w:hAnsi="楷体" w:eastAsia="楷体" w:cs="Times New Roman"/>
          <w:sz w:val="28"/>
          <w:szCs w:val="28"/>
          <w:lang w:val="en-US" w:eastAsia="zh-CN"/>
        </w:rPr>
        <w:t>70</w:t>
      </w:r>
      <w:r>
        <w:rPr>
          <w:rFonts w:ascii="楷体" w:hAnsi="楷体" w:eastAsia="楷体" w:cs="Times New Roman"/>
          <w:sz w:val="28"/>
          <w:szCs w:val="28"/>
        </w:rPr>
        <w:t>%/年</w:t>
      </w:r>
      <w:r>
        <w:rPr>
          <w:rFonts w:hint="eastAsia" w:ascii="楷体" w:hAnsi="楷体" w:eastAsia="楷体" w:cs="Times New Roman"/>
          <w:sz w:val="28"/>
          <w:szCs w:val="28"/>
        </w:rPr>
        <w:t>。</w:t>
      </w:r>
      <w:r>
        <w:rPr>
          <w:rFonts w:ascii="楷体" w:hAnsi="楷体" w:eastAsia="楷体" w:cs="Times New Roman"/>
          <w:sz w:val="28"/>
          <w:szCs w:val="28"/>
        </w:rPr>
        <w:t>产品存续期内苏银理财可对</w:t>
      </w:r>
      <w:r>
        <w:rPr>
          <w:rFonts w:hint="eastAsia" w:ascii="楷体" w:hAnsi="楷体" w:eastAsia="楷体" w:cs="Times New Roman"/>
          <w:sz w:val="28"/>
          <w:szCs w:val="28"/>
          <w:lang w:val="en-US" w:eastAsia="zh-CN"/>
        </w:rPr>
        <w:t>产品费用</w:t>
      </w:r>
      <w:r>
        <w:rPr>
          <w:rFonts w:ascii="楷体" w:hAnsi="楷体" w:eastAsia="楷体" w:cs="Times New Roman"/>
          <w:sz w:val="28"/>
          <w:szCs w:val="28"/>
        </w:rPr>
        <w:t>施行优惠，实际收取费率以管理人公告为准。</w:t>
      </w:r>
    </w:p>
    <w:p>
      <w:pPr>
        <w:numPr>
          <w:ilvl w:val="0"/>
          <w:numId w:val="0"/>
        </w:numPr>
        <w:spacing w:line="520" w:lineRule="exact"/>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份额其他产品要素以理财产品说明书约定为准。后续如有调整，以产品管理人公告为准。</w:t>
      </w:r>
    </w:p>
    <w:p>
      <w:pPr>
        <w:pStyle w:val="2"/>
        <w:ind w:left="0" w:leftChars="0" w:firstLine="560" w:firstLineChars="200"/>
        <w:rPr>
          <w:rFonts w:hint="eastAsia"/>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26日起生效，投资者如不接受本次公告所述调整，可于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17日至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25日产品开放期内提出赎回申请；若投资者逾期未提出赎回申请，则视为接受上述调整事项。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3</w:t>
      </w:r>
      <w:r>
        <w:rPr>
          <w:rFonts w:hint="eastAsia" w:ascii="楷体" w:hAnsi="楷体" w:eastAsia="楷体"/>
          <w:kern w:val="0"/>
          <w:sz w:val="28"/>
          <w:szCs w:val="28"/>
        </w:rPr>
        <w:t>月</w:t>
      </w:r>
      <w:r>
        <w:rPr>
          <w:rFonts w:hint="eastAsia" w:ascii="楷体" w:hAnsi="楷体" w:eastAsia="楷体"/>
          <w:kern w:val="0"/>
          <w:sz w:val="28"/>
          <w:szCs w:val="28"/>
          <w:lang w:val="en-US" w:eastAsia="zh-CN"/>
        </w:rPr>
        <w:t>9</w:t>
      </w:r>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5A76A"/>
    <w:multiLevelType w:val="singleLevel"/>
    <w:tmpl w:val="7EF5A7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443413"/>
    <w:rsid w:val="1B664B02"/>
    <w:rsid w:val="1CD77CF3"/>
    <w:rsid w:val="1CE34318"/>
    <w:rsid w:val="1E370F59"/>
    <w:rsid w:val="1E996BC3"/>
    <w:rsid w:val="1FE92EB2"/>
    <w:rsid w:val="224E07D6"/>
    <w:rsid w:val="22E01A46"/>
    <w:rsid w:val="252F3580"/>
    <w:rsid w:val="276012A7"/>
    <w:rsid w:val="28183520"/>
    <w:rsid w:val="286E0463"/>
    <w:rsid w:val="290918A1"/>
    <w:rsid w:val="2A3744FF"/>
    <w:rsid w:val="2BC035CC"/>
    <w:rsid w:val="2C3028A9"/>
    <w:rsid w:val="2EB879E5"/>
    <w:rsid w:val="2EC13897"/>
    <w:rsid w:val="2EF81400"/>
    <w:rsid w:val="2FD10999"/>
    <w:rsid w:val="313B310B"/>
    <w:rsid w:val="31996E41"/>
    <w:rsid w:val="34622BDD"/>
    <w:rsid w:val="34CF2843"/>
    <w:rsid w:val="34D26D17"/>
    <w:rsid w:val="35C75C95"/>
    <w:rsid w:val="39AE79B4"/>
    <w:rsid w:val="3ABF7DB8"/>
    <w:rsid w:val="3AFF4350"/>
    <w:rsid w:val="3E5206FE"/>
    <w:rsid w:val="45EB52C6"/>
    <w:rsid w:val="46185D1F"/>
    <w:rsid w:val="482B6C56"/>
    <w:rsid w:val="49AE47A5"/>
    <w:rsid w:val="4ACF7A75"/>
    <w:rsid w:val="4B43165C"/>
    <w:rsid w:val="4DE250C0"/>
    <w:rsid w:val="4F40507F"/>
    <w:rsid w:val="4F9C5574"/>
    <w:rsid w:val="4FF91545"/>
    <w:rsid w:val="515C5F17"/>
    <w:rsid w:val="52020F9B"/>
    <w:rsid w:val="527D382B"/>
    <w:rsid w:val="53E1377B"/>
    <w:rsid w:val="550E6F94"/>
    <w:rsid w:val="55170CA3"/>
    <w:rsid w:val="554B526C"/>
    <w:rsid w:val="58693E4E"/>
    <w:rsid w:val="58A27E95"/>
    <w:rsid w:val="5AED3DD9"/>
    <w:rsid w:val="5BAF5CDC"/>
    <w:rsid w:val="5D0143FE"/>
    <w:rsid w:val="600E1625"/>
    <w:rsid w:val="61B349BD"/>
    <w:rsid w:val="621D43C7"/>
    <w:rsid w:val="629B7BA9"/>
    <w:rsid w:val="639B4440"/>
    <w:rsid w:val="63CD2A95"/>
    <w:rsid w:val="65015975"/>
    <w:rsid w:val="65F20436"/>
    <w:rsid w:val="664C6B61"/>
    <w:rsid w:val="66B44B18"/>
    <w:rsid w:val="69C04ABB"/>
    <w:rsid w:val="6AC25DB6"/>
    <w:rsid w:val="6ACE4D37"/>
    <w:rsid w:val="6D533A1E"/>
    <w:rsid w:val="6E584699"/>
    <w:rsid w:val="6EB555E8"/>
    <w:rsid w:val="7396760B"/>
    <w:rsid w:val="73B82F5E"/>
    <w:rsid w:val="73CD1839"/>
    <w:rsid w:val="74966354"/>
    <w:rsid w:val="76004113"/>
    <w:rsid w:val="76442DB5"/>
    <w:rsid w:val="764F31FC"/>
    <w:rsid w:val="76816DDF"/>
    <w:rsid w:val="77667C2A"/>
    <w:rsid w:val="79B133AA"/>
    <w:rsid w:val="7B0A6242"/>
    <w:rsid w:val="7B4D1255"/>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11</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2026-02-28T03:17:14Z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62E06FF41CD64715B1C76FFF3503AADD</vt:lpwstr>
  </property>
</Properties>
</file>