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jc w:val="center"/>
        <w:textAlignment w:val="auto"/>
        <w:outlineLvl w:val="9"/>
        <w:rPr>
          <w:rFonts w:hint="eastAsia" w:ascii="楷体" w:hAnsi="楷体" w:eastAsia="楷体" w:cs="楷体"/>
          <w:b/>
          <w:bCs/>
          <w:color w:val="000000"/>
          <w:sz w:val="32"/>
        </w:rPr>
      </w:pPr>
      <w:r>
        <w:rPr>
          <w:rFonts w:hint="eastAsia" w:ascii="楷体" w:hAnsi="楷体" w:eastAsia="楷体" w:cs="楷体"/>
          <w:b/>
          <w:bCs/>
          <w:color w:val="000000"/>
          <w:sz w:val="32"/>
        </w:rPr>
        <w:t>关于调整“苏银理财</w:t>
      </w:r>
      <w:r>
        <w:rPr>
          <w:rFonts w:hint="eastAsia" w:ascii="楷体" w:hAnsi="楷体" w:eastAsia="楷体" w:cs="楷体"/>
          <w:b/>
          <w:bCs/>
          <w:color w:val="000000"/>
          <w:sz w:val="32"/>
          <w:lang w:eastAsia="zh-CN"/>
        </w:rPr>
        <w:t>恒源6月定开2期</w:t>
      </w:r>
      <w:r>
        <w:rPr>
          <w:rFonts w:hint="eastAsia" w:ascii="楷体" w:hAnsi="楷体" w:eastAsia="楷体" w:cs="楷体"/>
          <w:b/>
          <w:bCs/>
          <w:color w:val="000000"/>
          <w:sz w:val="32"/>
        </w:rPr>
        <w:t>”</w:t>
      </w:r>
    </w:p>
    <w:p>
      <w:pPr>
        <w:pStyle w:val="11"/>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jc w:val="center"/>
        <w:textAlignment w:val="auto"/>
        <w:outlineLvl w:val="9"/>
        <w:rPr>
          <w:rFonts w:hint="eastAsia" w:ascii="楷体" w:hAnsi="楷体" w:eastAsia="楷体" w:cs="楷体"/>
          <w:b/>
          <w:bCs/>
          <w:color w:val="000000"/>
          <w:sz w:val="32"/>
        </w:rPr>
      </w:pPr>
      <w:r>
        <w:rPr>
          <w:rFonts w:hint="eastAsia" w:ascii="楷体" w:hAnsi="楷体" w:eastAsia="楷体" w:cs="楷体"/>
          <w:b/>
          <w:bCs/>
          <w:color w:val="000000"/>
          <w:sz w:val="32"/>
        </w:rPr>
        <w:t>理财产品要素的公告</w:t>
      </w:r>
    </w:p>
    <w:p>
      <w:pPr>
        <w:spacing w:line="520" w:lineRule="exact"/>
        <w:rPr>
          <w:rFonts w:hint="eastAsia" w:ascii="楷体" w:hAnsi="楷体" w:eastAsia="楷体"/>
          <w:kern w:val="0"/>
          <w:sz w:val="28"/>
          <w:szCs w:val="28"/>
        </w:rPr>
      </w:pPr>
      <w:r>
        <w:rPr>
          <w:rFonts w:hint="eastAsia" w:ascii="楷体" w:hAnsi="楷体" w:eastAsia="楷体"/>
          <w:kern w:val="0"/>
          <w:sz w:val="28"/>
          <w:szCs w:val="28"/>
        </w:rPr>
        <w:t>尊敬的客户：</w:t>
      </w:r>
    </w:p>
    <w:p>
      <w:pPr>
        <w:pStyle w:val="2"/>
        <w:ind w:firstLine="560" w:firstLineChars="200"/>
        <w:rPr>
          <w:rFonts w:hint="eastAsia" w:ascii="楷体" w:hAnsi="楷体" w:eastAsia="楷体" w:cs="Times New Roman"/>
          <w:kern w:val="0"/>
          <w:sz w:val="28"/>
          <w:szCs w:val="28"/>
          <w:lang w:val="en-US" w:eastAsia="zh-CN" w:bidi="ar-SA"/>
        </w:rPr>
      </w:pPr>
      <w:r>
        <w:rPr>
          <w:rFonts w:hint="eastAsia" w:ascii="楷体" w:hAnsi="楷体" w:eastAsia="楷体" w:cs="Times New Roman"/>
          <w:kern w:val="0"/>
          <w:sz w:val="28"/>
          <w:szCs w:val="28"/>
          <w:lang w:val="en-US" w:eastAsia="zh-CN" w:bidi="ar-SA"/>
        </w:rPr>
        <w:t>管理人拟对“苏银理财恒源6月定开2期”理财产品部分要素进行调整，具体如下：</w:t>
      </w:r>
    </w:p>
    <w:p>
      <w:pPr>
        <w:numPr>
          <w:ilvl w:val="0"/>
          <w:numId w:val="0"/>
        </w:numPr>
        <w:ind w:firstLine="562" w:firstLineChars="200"/>
        <w:rPr>
          <w:rFonts w:hint="eastAsia" w:ascii="楷体" w:hAnsi="楷体" w:eastAsia="楷体" w:cs="Times New Roman"/>
          <w:b/>
          <w:bCs/>
          <w:kern w:val="0"/>
          <w:sz w:val="28"/>
          <w:szCs w:val="28"/>
          <w:lang w:val="en-US" w:eastAsia="zh-CN" w:bidi="ar-SA"/>
        </w:rPr>
      </w:pPr>
      <w:r>
        <w:rPr>
          <w:rFonts w:hint="eastAsia" w:ascii="楷体" w:hAnsi="楷体" w:eastAsia="楷体" w:cs="Times New Roman"/>
          <w:b/>
          <w:bCs/>
          <w:kern w:val="0"/>
          <w:sz w:val="28"/>
          <w:szCs w:val="28"/>
          <w:lang w:val="en-US" w:eastAsia="zh-CN" w:bidi="ar-SA"/>
        </w:rPr>
        <w:t>一、说明书费用调整</w:t>
      </w:r>
    </w:p>
    <w:tbl>
      <w:tblPr>
        <w:tblStyle w:val="14"/>
        <w:tblW w:w="9765" w:type="dxa"/>
        <w:tblInd w:w="-38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10"/>
        <w:gridCol w:w="1215"/>
        <w:gridCol w:w="1605"/>
        <w:gridCol w:w="1620"/>
        <w:gridCol w:w="1635"/>
        <w:gridCol w:w="16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4" w:hRule="atLeast"/>
        </w:trPr>
        <w:tc>
          <w:tcPr>
            <w:tcW w:w="2010" w:type="dxa"/>
            <w:noWrap w:val="0"/>
            <w:vAlign w:val="center"/>
          </w:tcPr>
          <w:p>
            <w:pPr>
              <w:pStyle w:val="11"/>
              <w:spacing w:before="0" w:beforeAutospacing="0" w:after="0" w:afterAutospacing="0" w:line="480" w:lineRule="auto"/>
              <w:jc w:val="center"/>
              <w:rPr>
                <w:rFonts w:hint="default" w:ascii="楷体" w:hAnsi="楷体" w:eastAsia="楷体" w:cs="Times New Roman"/>
                <w:b/>
                <w:bCs/>
                <w:sz w:val="22"/>
                <w:szCs w:val="22"/>
                <w:vertAlign w:val="baseline"/>
                <w:lang w:val="en-US" w:eastAsia="zh-CN"/>
              </w:rPr>
            </w:pPr>
            <w:r>
              <w:rPr>
                <w:rFonts w:hint="eastAsia" w:ascii="楷体" w:hAnsi="楷体" w:eastAsia="楷体" w:cs="Times New Roman"/>
                <w:b/>
                <w:bCs/>
                <w:sz w:val="22"/>
                <w:szCs w:val="22"/>
                <w:lang w:val="en-US" w:eastAsia="zh-CN"/>
              </w:rPr>
              <w:t>销售简称</w:t>
            </w:r>
          </w:p>
        </w:tc>
        <w:tc>
          <w:tcPr>
            <w:tcW w:w="1215" w:type="dxa"/>
            <w:noWrap w:val="0"/>
            <w:vAlign w:val="center"/>
          </w:tcPr>
          <w:p>
            <w:pPr>
              <w:pStyle w:val="11"/>
              <w:spacing w:before="0" w:beforeAutospacing="0" w:after="0" w:afterAutospacing="0" w:line="480" w:lineRule="auto"/>
              <w:jc w:val="center"/>
              <w:rPr>
                <w:rFonts w:hint="default" w:ascii="楷体" w:hAnsi="楷体" w:eastAsia="楷体" w:cs="Times New Roman"/>
                <w:b/>
                <w:bCs/>
                <w:sz w:val="22"/>
                <w:szCs w:val="22"/>
                <w:vertAlign w:val="baseline"/>
                <w:lang w:val="en-US" w:eastAsia="zh-CN"/>
              </w:rPr>
            </w:pPr>
            <w:r>
              <w:rPr>
                <w:rFonts w:hint="eastAsia" w:ascii="楷体" w:hAnsi="楷体" w:eastAsia="楷体" w:cs="Times New Roman"/>
                <w:b/>
                <w:bCs/>
                <w:sz w:val="22"/>
                <w:szCs w:val="22"/>
              </w:rPr>
              <w:t>销售代码</w:t>
            </w:r>
          </w:p>
        </w:tc>
        <w:tc>
          <w:tcPr>
            <w:tcW w:w="1605" w:type="dxa"/>
            <w:noWrap w:val="0"/>
            <w:vAlign w:val="center"/>
          </w:tcPr>
          <w:p>
            <w:pPr>
              <w:pStyle w:val="11"/>
              <w:spacing w:before="0" w:beforeAutospacing="0" w:after="0" w:afterAutospacing="0" w:line="480" w:lineRule="auto"/>
              <w:jc w:val="center"/>
              <w:rPr>
                <w:rFonts w:hint="eastAsia" w:ascii="楷体" w:hAnsi="楷体" w:eastAsia="楷体" w:cs="Times New Roman"/>
                <w:b/>
                <w:bCs/>
                <w:sz w:val="22"/>
                <w:szCs w:val="22"/>
                <w:vertAlign w:val="baseline"/>
                <w:lang w:val="en-US" w:eastAsia="zh-CN"/>
              </w:rPr>
            </w:pPr>
            <w:r>
              <w:rPr>
                <w:rFonts w:hint="eastAsia" w:ascii="楷体" w:hAnsi="楷体" w:eastAsia="楷体" w:cs="Times New Roman"/>
                <w:b/>
                <w:bCs/>
                <w:sz w:val="22"/>
                <w:szCs w:val="22"/>
                <w:vertAlign w:val="baseline"/>
                <w:lang w:val="en-US" w:eastAsia="zh-CN"/>
              </w:rPr>
              <w:t>销售服务费</w:t>
            </w:r>
          </w:p>
          <w:p>
            <w:pPr>
              <w:pStyle w:val="11"/>
              <w:spacing w:before="0" w:beforeAutospacing="0" w:after="0" w:afterAutospacing="0" w:line="480" w:lineRule="auto"/>
              <w:jc w:val="center"/>
              <w:rPr>
                <w:rFonts w:hint="default" w:ascii="楷体" w:hAnsi="楷体" w:eastAsia="楷体" w:cs="Times New Roman"/>
                <w:b/>
                <w:bCs/>
                <w:sz w:val="22"/>
                <w:szCs w:val="22"/>
                <w:vertAlign w:val="baseline"/>
                <w:lang w:val="en-US" w:eastAsia="zh-CN"/>
              </w:rPr>
            </w:pPr>
            <w:r>
              <w:rPr>
                <w:rFonts w:hint="eastAsia" w:ascii="楷体" w:hAnsi="楷体" w:eastAsia="楷体" w:cs="Times New Roman"/>
                <w:b/>
                <w:bCs/>
                <w:sz w:val="22"/>
                <w:szCs w:val="22"/>
                <w:lang w:val="en-US" w:eastAsia="zh-CN"/>
              </w:rPr>
              <w:t>（调整前）</w:t>
            </w:r>
          </w:p>
        </w:tc>
        <w:tc>
          <w:tcPr>
            <w:tcW w:w="1620" w:type="dxa"/>
            <w:noWrap w:val="0"/>
            <w:vAlign w:val="center"/>
          </w:tcPr>
          <w:p>
            <w:pPr>
              <w:pStyle w:val="11"/>
              <w:spacing w:before="0" w:beforeAutospacing="0" w:after="0" w:afterAutospacing="0" w:line="480" w:lineRule="auto"/>
              <w:jc w:val="center"/>
              <w:rPr>
                <w:rFonts w:hint="eastAsia" w:ascii="楷体" w:hAnsi="楷体" w:eastAsia="楷体" w:cs="Times New Roman"/>
                <w:b/>
                <w:bCs/>
                <w:sz w:val="22"/>
                <w:szCs w:val="22"/>
                <w:vertAlign w:val="baseline"/>
                <w:lang w:val="en-US" w:eastAsia="zh-CN"/>
              </w:rPr>
            </w:pPr>
            <w:r>
              <w:rPr>
                <w:rFonts w:hint="eastAsia" w:ascii="楷体" w:hAnsi="楷体" w:eastAsia="楷体" w:cs="Times New Roman"/>
                <w:b/>
                <w:bCs/>
                <w:sz w:val="22"/>
                <w:szCs w:val="22"/>
                <w:vertAlign w:val="baseline"/>
                <w:lang w:val="en-US" w:eastAsia="zh-CN"/>
              </w:rPr>
              <w:t>销售服务费</w:t>
            </w:r>
          </w:p>
          <w:p>
            <w:pPr>
              <w:pStyle w:val="11"/>
              <w:spacing w:before="0" w:beforeAutospacing="0" w:after="0" w:afterAutospacing="0" w:line="480" w:lineRule="auto"/>
              <w:jc w:val="center"/>
              <w:rPr>
                <w:rFonts w:hint="eastAsia" w:ascii="楷体" w:hAnsi="楷体" w:eastAsia="楷体" w:cs="Times New Roman"/>
                <w:b/>
                <w:bCs/>
                <w:sz w:val="22"/>
                <w:szCs w:val="22"/>
                <w:lang w:val="en-US" w:eastAsia="zh-CN"/>
              </w:rPr>
            </w:pPr>
            <w:r>
              <w:rPr>
                <w:rFonts w:hint="eastAsia" w:ascii="楷体" w:hAnsi="楷体" w:eastAsia="楷体" w:cs="Times New Roman"/>
                <w:b/>
                <w:bCs/>
                <w:sz w:val="22"/>
                <w:szCs w:val="22"/>
                <w:lang w:val="en-US" w:eastAsia="zh-CN"/>
              </w:rPr>
              <w:t>（调整后）</w:t>
            </w:r>
          </w:p>
        </w:tc>
        <w:tc>
          <w:tcPr>
            <w:tcW w:w="1635" w:type="dxa"/>
            <w:noWrap w:val="0"/>
            <w:vAlign w:val="center"/>
          </w:tcPr>
          <w:p>
            <w:pPr>
              <w:pStyle w:val="11"/>
              <w:spacing w:before="0" w:beforeAutospacing="0" w:after="0" w:afterAutospacing="0" w:line="480" w:lineRule="auto"/>
              <w:jc w:val="center"/>
              <w:rPr>
                <w:rFonts w:hint="default" w:ascii="楷体" w:hAnsi="楷体" w:eastAsia="楷体" w:cs="Times New Roman"/>
                <w:b/>
                <w:bCs/>
                <w:sz w:val="22"/>
                <w:szCs w:val="22"/>
                <w:lang w:val="en-US" w:eastAsia="zh-CN"/>
              </w:rPr>
            </w:pPr>
            <w:r>
              <w:rPr>
                <w:rFonts w:hint="eastAsia" w:ascii="楷体" w:hAnsi="楷体" w:eastAsia="楷体" w:cs="Times New Roman"/>
                <w:b/>
                <w:bCs/>
                <w:sz w:val="22"/>
                <w:szCs w:val="22"/>
                <w:lang w:val="en-US" w:eastAsia="zh-CN"/>
              </w:rPr>
              <w:t>投资管理费</w:t>
            </w:r>
          </w:p>
          <w:p>
            <w:pPr>
              <w:pStyle w:val="11"/>
              <w:spacing w:before="0" w:beforeAutospacing="0" w:after="0" w:afterAutospacing="0" w:line="480" w:lineRule="auto"/>
              <w:jc w:val="center"/>
              <w:rPr>
                <w:rFonts w:hint="eastAsia" w:ascii="楷体" w:hAnsi="楷体" w:eastAsia="楷体" w:cs="Times New Roman"/>
                <w:b/>
                <w:bCs/>
                <w:sz w:val="22"/>
                <w:szCs w:val="22"/>
                <w:lang w:val="en-US" w:eastAsia="zh-CN"/>
              </w:rPr>
            </w:pPr>
            <w:r>
              <w:rPr>
                <w:rFonts w:hint="eastAsia" w:ascii="楷体" w:hAnsi="楷体" w:eastAsia="楷体" w:cs="Times New Roman"/>
                <w:b/>
                <w:bCs/>
                <w:sz w:val="22"/>
                <w:szCs w:val="22"/>
                <w:lang w:val="en-US" w:eastAsia="zh-CN"/>
              </w:rPr>
              <w:t>（调整前）</w:t>
            </w:r>
          </w:p>
        </w:tc>
        <w:tc>
          <w:tcPr>
            <w:tcW w:w="1680" w:type="dxa"/>
            <w:noWrap w:val="0"/>
            <w:vAlign w:val="center"/>
          </w:tcPr>
          <w:p>
            <w:pPr>
              <w:pStyle w:val="11"/>
              <w:spacing w:before="0" w:beforeAutospacing="0" w:after="0" w:afterAutospacing="0" w:line="480" w:lineRule="auto"/>
              <w:jc w:val="center"/>
              <w:rPr>
                <w:rFonts w:hint="eastAsia" w:ascii="楷体" w:hAnsi="楷体" w:eastAsia="楷体" w:cs="Times New Roman"/>
                <w:b/>
                <w:bCs/>
                <w:sz w:val="22"/>
                <w:szCs w:val="22"/>
                <w:vertAlign w:val="baseline"/>
                <w:lang w:val="en-US" w:eastAsia="zh-CN"/>
              </w:rPr>
            </w:pPr>
            <w:r>
              <w:rPr>
                <w:rFonts w:hint="eastAsia" w:ascii="楷体" w:hAnsi="楷体" w:eastAsia="楷体" w:cs="Times New Roman"/>
                <w:b/>
                <w:bCs/>
                <w:sz w:val="22"/>
                <w:szCs w:val="22"/>
                <w:lang w:val="en-US" w:eastAsia="zh-CN"/>
              </w:rPr>
              <w:t>投资管理费</w:t>
            </w:r>
          </w:p>
          <w:p>
            <w:pPr>
              <w:pStyle w:val="11"/>
              <w:spacing w:before="0" w:beforeAutospacing="0" w:after="0" w:afterAutospacing="0" w:line="480" w:lineRule="auto"/>
              <w:jc w:val="center"/>
              <w:rPr>
                <w:rFonts w:hint="eastAsia" w:ascii="楷体" w:hAnsi="楷体" w:eastAsia="楷体" w:cs="Times New Roman"/>
                <w:b/>
                <w:bCs/>
                <w:sz w:val="22"/>
                <w:szCs w:val="22"/>
                <w:lang w:val="en-US" w:eastAsia="zh-CN"/>
              </w:rPr>
            </w:pPr>
            <w:r>
              <w:rPr>
                <w:rFonts w:hint="eastAsia" w:ascii="楷体" w:hAnsi="楷体" w:eastAsia="楷体" w:cs="Times New Roman"/>
                <w:b/>
                <w:bCs/>
                <w:sz w:val="22"/>
                <w:szCs w:val="22"/>
                <w:lang w:val="en-US" w:eastAsia="zh-CN"/>
              </w:rPr>
              <w:t>（调整后）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5" w:hRule="atLeast"/>
        </w:trPr>
        <w:tc>
          <w:tcPr>
            <w:tcW w:w="2010" w:type="dxa"/>
            <w:noWrap w:val="0"/>
            <w:vAlign w:val="center"/>
          </w:tcPr>
          <w:p>
            <w:pPr>
              <w:keepNext w:val="0"/>
              <w:keepLines w:val="0"/>
              <w:widowControl/>
              <w:suppressLineNumbers w:val="0"/>
              <w:jc w:val="center"/>
              <w:textAlignment w:val="center"/>
              <w:rPr>
                <w:rFonts w:hint="default"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苏银理财恒源6月定开2期F</w:t>
            </w:r>
          </w:p>
        </w:tc>
        <w:tc>
          <w:tcPr>
            <w:tcW w:w="1215"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J02060</w:t>
            </w:r>
          </w:p>
        </w:tc>
        <w:tc>
          <w:tcPr>
            <w:tcW w:w="1605" w:type="dxa"/>
            <w:noWrap w:val="0"/>
            <w:vAlign w:val="center"/>
          </w:tcPr>
          <w:p>
            <w:pPr>
              <w:keepNext w:val="0"/>
              <w:keepLines w:val="0"/>
              <w:widowControl/>
              <w:suppressLineNumbers w:val="0"/>
              <w:jc w:val="center"/>
              <w:textAlignment w:val="center"/>
              <w:rPr>
                <w:rFonts w:hint="default"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0.20%/年</w:t>
            </w:r>
          </w:p>
        </w:tc>
        <w:tc>
          <w:tcPr>
            <w:tcW w:w="1620" w:type="dxa"/>
            <w:noWrap w:val="0"/>
            <w:vAlign w:val="center"/>
          </w:tcPr>
          <w:p>
            <w:pPr>
              <w:keepNext w:val="0"/>
              <w:keepLines w:val="0"/>
              <w:widowControl/>
              <w:suppressLineNumbers w:val="0"/>
              <w:jc w:val="center"/>
              <w:textAlignment w:val="center"/>
              <w:rPr>
                <w:rFonts w:hint="default"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0.30%/年</w:t>
            </w:r>
          </w:p>
        </w:tc>
        <w:tc>
          <w:tcPr>
            <w:tcW w:w="1635"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0.80%/年</w:t>
            </w:r>
          </w:p>
        </w:tc>
        <w:tc>
          <w:tcPr>
            <w:tcW w:w="1680"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0.70%/年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5" w:hRule="atLeast"/>
        </w:trPr>
        <w:tc>
          <w:tcPr>
            <w:tcW w:w="2010"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苏银理财恒源6月定开2期G</w:t>
            </w:r>
          </w:p>
        </w:tc>
        <w:tc>
          <w:tcPr>
            <w:tcW w:w="1215"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J02611</w:t>
            </w:r>
          </w:p>
        </w:tc>
        <w:tc>
          <w:tcPr>
            <w:tcW w:w="1605"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0.15%/年</w:t>
            </w:r>
          </w:p>
        </w:tc>
        <w:tc>
          <w:tcPr>
            <w:tcW w:w="1620"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0.30%/年</w:t>
            </w:r>
          </w:p>
        </w:tc>
        <w:tc>
          <w:tcPr>
            <w:tcW w:w="1635"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0.75%/年</w:t>
            </w:r>
          </w:p>
        </w:tc>
        <w:tc>
          <w:tcPr>
            <w:tcW w:w="1680"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0.60%/年</w:t>
            </w:r>
          </w:p>
        </w:tc>
      </w:tr>
    </w:tbl>
    <w:p>
      <w:pPr>
        <w:pStyle w:val="11"/>
        <w:numPr>
          <w:ilvl w:val="0"/>
          <w:numId w:val="1"/>
        </w:numPr>
        <w:spacing w:before="0" w:beforeAutospacing="0" w:after="0" w:afterAutospacing="0" w:line="480" w:lineRule="auto"/>
        <w:ind w:firstLine="562" w:firstLineChars="200"/>
        <w:jc w:val="left"/>
        <w:rPr>
          <w:rFonts w:hint="eastAsia" w:ascii="楷体" w:hAnsi="楷体" w:eastAsia="楷体" w:cs="Times New Roman"/>
          <w:b/>
          <w:bCs/>
          <w:kern w:val="0"/>
          <w:sz w:val="28"/>
          <w:szCs w:val="28"/>
          <w:lang w:val="en-US" w:eastAsia="zh-CN" w:bidi="ar-SA"/>
        </w:rPr>
      </w:pPr>
      <w:r>
        <w:rPr>
          <w:rFonts w:hint="eastAsia" w:ascii="楷体" w:hAnsi="楷体" w:eastAsia="楷体" w:cs="Times New Roman"/>
          <w:b/>
          <w:bCs/>
          <w:kern w:val="0"/>
          <w:sz w:val="28"/>
          <w:szCs w:val="28"/>
          <w:lang w:val="en-US" w:eastAsia="zh-CN" w:bidi="ar-SA"/>
        </w:rPr>
        <w:t>业绩比较基准调整</w:t>
      </w:r>
    </w:p>
    <w:tbl>
      <w:tblPr>
        <w:tblStyle w:val="14"/>
        <w:tblW w:w="9016" w:type="dxa"/>
        <w:tblInd w:w="-14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26"/>
        <w:gridCol w:w="1194"/>
        <w:gridCol w:w="2855"/>
        <w:gridCol w:w="27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4" w:hRule="atLeast"/>
        </w:trPr>
        <w:tc>
          <w:tcPr>
            <w:tcW w:w="2226" w:type="dxa"/>
            <w:noWrap w:val="0"/>
            <w:vAlign w:val="center"/>
          </w:tcPr>
          <w:p>
            <w:pPr>
              <w:pStyle w:val="11"/>
              <w:spacing w:before="0" w:beforeAutospacing="0" w:after="0" w:afterAutospacing="0" w:line="480" w:lineRule="auto"/>
              <w:jc w:val="center"/>
              <w:rPr>
                <w:rFonts w:hint="default" w:ascii="楷体" w:hAnsi="楷体" w:eastAsia="楷体" w:cs="Times New Roman"/>
                <w:b/>
                <w:bCs/>
                <w:sz w:val="24"/>
                <w:szCs w:val="24"/>
                <w:vertAlign w:val="baseline"/>
                <w:lang w:val="en-US" w:eastAsia="zh-CN"/>
              </w:rPr>
            </w:pPr>
            <w:r>
              <w:rPr>
                <w:rFonts w:hint="eastAsia" w:ascii="楷体" w:hAnsi="楷体" w:eastAsia="楷体" w:cs="Times New Roman"/>
                <w:b/>
                <w:bCs/>
                <w:sz w:val="24"/>
                <w:szCs w:val="24"/>
                <w:lang w:val="en-US" w:eastAsia="zh-CN"/>
              </w:rPr>
              <w:t>销售简称</w:t>
            </w:r>
          </w:p>
        </w:tc>
        <w:tc>
          <w:tcPr>
            <w:tcW w:w="1194" w:type="dxa"/>
            <w:noWrap w:val="0"/>
            <w:vAlign w:val="center"/>
          </w:tcPr>
          <w:p>
            <w:pPr>
              <w:pStyle w:val="11"/>
              <w:spacing w:before="0" w:beforeAutospacing="0" w:after="0" w:afterAutospacing="0" w:line="480" w:lineRule="auto"/>
              <w:jc w:val="center"/>
              <w:rPr>
                <w:rFonts w:hint="default" w:ascii="楷体" w:hAnsi="楷体" w:eastAsia="楷体" w:cs="Times New Roman"/>
                <w:b/>
                <w:bCs/>
                <w:sz w:val="24"/>
                <w:szCs w:val="24"/>
                <w:vertAlign w:val="baseline"/>
                <w:lang w:val="en-US" w:eastAsia="zh-CN"/>
              </w:rPr>
            </w:pPr>
            <w:r>
              <w:rPr>
                <w:rFonts w:hint="eastAsia" w:ascii="楷体" w:hAnsi="楷体" w:eastAsia="楷体" w:cs="Times New Roman"/>
                <w:b/>
                <w:bCs/>
                <w:sz w:val="24"/>
                <w:szCs w:val="24"/>
              </w:rPr>
              <w:t>销售代码</w:t>
            </w:r>
          </w:p>
        </w:tc>
        <w:tc>
          <w:tcPr>
            <w:tcW w:w="2855" w:type="dxa"/>
            <w:noWrap w:val="0"/>
            <w:vAlign w:val="center"/>
          </w:tcPr>
          <w:p>
            <w:pPr>
              <w:pStyle w:val="11"/>
              <w:spacing w:before="0" w:beforeAutospacing="0" w:after="0" w:afterAutospacing="0" w:line="480" w:lineRule="auto"/>
              <w:jc w:val="center"/>
              <w:rPr>
                <w:rFonts w:hint="eastAsia" w:ascii="楷体" w:hAnsi="楷体" w:eastAsia="楷体" w:cs="Times New Roman"/>
                <w:b/>
                <w:bCs/>
                <w:sz w:val="24"/>
                <w:szCs w:val="24"/>
                <w:vertAlign w:val="baseline"/>
                <w:lang w:val="en-US" w:eastAsia="zh-CN"/>
              </w:rPr>
            </w:pPr>
            <w:r>
              <w:rPr>
                <w:rFonts w:hint="eastAsia" w:ascii="楷体" w:hAnsi="楷体" w:eastAsia="楷体" w:cs="Times New Roman"/>
                <w:b/>
                <w:bCs/>
                <w:sz w:val="24"/>
                <w:szCs w:val="24"/>
                <w:lang w:val="en-US" w:eastAsia="zh-CN"/>
              </w:rPr>
              <w:t>调整前</w:t>
            </w:r>
            <w:r>
              <w:rPr>
                <w:rFonts w:hint="eastAsia" w:ascii="楷体" w:hAnsi="楷体" w:eastAsia="楷体" w:cs="Times New Roman"/>
                <w:b/>
                <w:bCs/>
                <w:sz w:val="24"/>
                <w:szCs w:val="24"/>
                <w:vertAlign w:val="baseline"/>
                <w:lang w:val="en-US" w:eastAsia="zh-CN"/>
              </w:rPr>
              <w:t>业绩比较基准</w:t>
            </w:r>
          </w:p>
          <w:p>
            <w:pPr>
              <w:pStyle w:val="11"/>
              <w:spacing w:before="0" w:beforeAutospacing="0" w:after="0" w:afterAutospacing="0" w:line="480" w:lineRule="auto"/>
              <w:jc w:val="center"/>
              <w:rPr>
                <w:rFonts w:hint="default" w:ascii="楷体" w:hAnsi="楷体" w:eastAsia="楷体" w:cs="Times New Roman"/>
                <w:b/>
                <w:bCs/>
                <w:sz w:val="24"/>
                <w:szCs w:val="24"/>
                <w:vertAlign w:val="baseline"/>
                <w:lang w:val="en-US" w:eastAsia="zh-CN"/>
              </w:rPr>
            </w:pPr>
            <w:r>
              <w:rPr>
                <w:rFonts w:hint="eastAsia" w:ascii="楷体" w:hAnsi="楷体" w:eastAsia="楷体" w:cs="Times New Roman"/>
                <w:b/>
                <w:bCs/>
                <w:sz w:val="24"/>
                <w:szCs w:val="24"/>
                <w:lang w:val="en-US" w:eastAsia="zh-CN"/>
              </w:rPr>
              <w:t>（年化）</w:t>
            </w:r>
          </w:p>
        </w:tc>
        <w:tc>
          <w:tcPr>
            <w:tcW w:w="2741" w:type="dxa"/>
            <w:noWrap w:val="0"/>
            <w:vAlign w:val="center"/>
          </w:tcPr>
          <w:p>
            <w:pPr>
              <w:pStyle w:val="11"/>
              <w:spacing w:before="0" w:beforeAutospacing="0" w:after="0" w:afterAutospacing="0" w:line="480" w:lineRule="auto"/>
              <w:jc w:val="center"/>
              <w:rPr>
                <w:rFonts w:hint="default" w:ascii="楷体" w:hAnsi="楷体" w:eastAsia="楷体" w:cs="Times New Roman"/>
                <w:b/>
                <w:bCs/>
                <w:sz w:val="24"/>
                <w:szCs w:val="24"/>
                <w:lang w:val="en-US" w:eastAsia="zh-CN"/>
              </w:rPr>
            </w:pPr>
            <w:r>
              <w:rPr>
                <w:rFonts w:hint="eastAsia" w:ascii="楷体" w:hAnsi="楷体" w:eastAsia="楷体" w:cs="Times New Roman"/>
                <w:b/>
                <w:bCs/>
                <w:sz w:val="24"/>
                <w:szCs w:val="24"/>
                <w:lang w:val="en-US" w:eastAsia="zh-CN"/>
              </w:rPr>
              <w:t>调整后业绩比较基准</w:t>
            </w:r>
          </w:p>
          <w:p>
            <w:pPr>
              <w:pStyle w:val="11"/>
              <w:spacing w:before="0" w:beforeAutospacing="0" w:after="0" w:afterAutospacing="0" w:line="480" w:lineRule="auto"/>
              <w:jc w:val="center"/>
              <w:rPr>
                <w:rFonts w:hint="eastAsia" w:ascii="楷体" w:hAnsi="楷体" w:eastAsia="楷体" w:cs="Times New Roman"/>
                <w:b/>
                <w:bCs/>
                <w:sz w:val="24"/>
                <w:szCs w:val="24"/>
                <w:lang w:val="en-US" w:eastAsia="zh-CN"/>
              </w:rPr>
            </w:pPr>
            <w:r>
              <w:rPr>
                <w:rFonts w:hint="eastAsia" w:ascii="楷体" w:hAnsi="楷体" w:eastAsia="楷体" w:cs="Times New Roman"/>
                <w:b/>
                <w:bCs/>
                <w:sz w:val="24"/>
                <w:szCs w:val="24"/>
                <w:lang w:val="en-US" w:eastAsia="zh-CN"/>
              </w:rPr>
              <w:t>（年化）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5" w:hRule="atLeast"/>
        </w:trPr>
        <w:tc>
          <w:tcPr>
            <w:tcW w:w="2226"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苏银理财恒源6月定开2期A</w:t>
            </w:r>
          </w:p>
        </w:tc>
        <w:tc>
          <w:tcPr>
            <w:tcW w:w="1194"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J01283</w:t>
            </w:r>
          </w:p>
        </w:tc>
        <w:tc>
          <w:tcPr>
            <w:tcW w:w="2855" w:type="dxa"/>
            <w:noWrap w:val="0"/>
            <w:vAlign w:val="center"/>
          </w:tcPr>
          <w:p>
            <w:pPr>
              <w:keepNext w:val="0"/>
              <w:keepLines w:val="0"/>
              <w:widowControl/>
              <w:suppressLineNumbers w:val="0"/>
              <w:jc w:val="center"/>
              <w:textAlignment w:val="center"/>
              <w:rPr>
                <w:rFonts w:hint="default"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2.30%-3.10%</w:t>
            </w:r>
          </w:p>
        </w:tc>
        <w:tc>
          <w:tcPr>
            <w:tcW w:w="2741" w:type="dxa"/>
            <w:noWrap w:val="0"/>
            <w:vAlign w:val="center"/>
          </w:tcPr>
          <w:p>
            <w:pPr>
              <w:keepNext w:val="0"/>
              <w:keepLines w:val="0"/>
              <w:widowControl/>
              <w:suppressLineNumbers w:val="0"/>
              <w:jc w:val="center"/>
              <w:textAlignment w:val="center"/>
              <w:rPr>
                <w:rFonts w:hint="default"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2.10%-2.90%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5" w:hRule="atLeast"/>
        </w:trPr>
        <w:tc>
          <w:tcPr>
            <w:tcW w:w="2226"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苏银理财恒源6月定开2期C</w:t>
            </w:r>
          </w:p>
        </w:tc>
        <w:tc>
          <w:tcPr>
            <w:tcW w:w="1194"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J01306</w:t>
            </w:r>
          </w:p>
        </w:tc>
        <w:tc>
          <w:tcPr>
            <w:tcW w:w="2855"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2.40%-3.20%</w:t>
            </w:r>
          </w:p>
        </w:tc>
        <w:tc>
          <w:tcPr>
            <w:tcW w:w="2741"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2.20%-3.00%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5" w:hRule="atLeast"/>
        </w:trPr>
        <w:tc>
          <w:tcPr>
            <w:tcW w:w="2226"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苏银理财恒源6月定开2期D</w:t>
            </w:r>
          </w:p>
        </w:tc>
        <w:tc>
          <w:tcPr>
            <w:tcW w:w="1194"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J01307</w:t>
            </w:r>
          </w:p>
        </w:tc>
        <w:tc>
          <w:tcPr>
            <w:tcW w:w="2855"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2.45%-3.25%</w:t>
            </w:r>
          </w:p>
        </w:tc>
        <w:tc>
          <w:tcPr>
            <w:tcW w:w="2741"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2.25%-3.05%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5" w:hRule="atLeast"/>
        </w:trPr>
        <w:tc>
          <w:tcPr>
            <w:tcW w:w="2226"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苏银理财恒源6月定开2期F</w:t>
            </w:r>
          </w:p>
        </w:tc>
        <w:tc>
          <w:tcPr>
            <w:tcW w:w="1194"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J02060</w:t>
            </w:r>
          </w:p>
        </w:tc>
        <w:tc>
          <w:tcPr>
            <w:tcW w:w="2855"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2.30%-3.10%</w:t>
            </w:r>
          </w:p>
        </w:tc>
        <w:tc>
          <w:tcPr>
            <w:tcW w:w="2741"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2.10%-2.90%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5" w:hRule="atLeast"/>
        </w:trPr>
        <w:tc>
          <w:tcPr>
            <w:tcW w:w="2226"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苏银理财恒源6月定开2期G</w:t>
            </w:r>
          </w:p>
        </w:tc>
        <w:tc>
          <w:tcPr>
            <w:tcW w:w="1194"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J02611</w:t>
            </w:r>
          </w:p>
        </w:tc>
        <w:tc>
          <w:tcPr>
            <w:tcW w:w="2855"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2.40%-3.20%</w:t>
            </w:r>
          </w:p>
        </w:tc>
        <w:tc>
          <w:tcPr>
            <w:tcW w:w="2741"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2.20%-3.00%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5" w:hRule="atLeast"/>
        </w:trPr>
        <w:tc>
          <w:tcPr>
            <w:tcW w:w="2226"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苏银理财恒源6月定开2期K</w:t>
            </w:r>
          </w:p>
        </w:tc>
        <w:tc>
          <w:tcPr>
            <w:tcW w:w="1194"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J02612</w:t>
            </w:r>
          </w:p>
        </w:tc>
        <w:tc>
          <w:tcPr>
            <w:tcW w:w="2855"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2.20%-3.00%</w:t>
            </w:r>
          </w:p>
        </w:tc>
        <w:tc>
          <w:tcPr>
            <w:tcW w:w="2741"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2.00%-2.80%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5" w:hRule="atLeast"/>
        </w:trPr>
        <w:tc>
          <w:tcPr>
            <w:tcW w:w="2226"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苏银理财恒源6月定开2期ZJ（自动赎回）</w:t>
            </w:r>
          </w:p>
        </w:tc>
        <w:tc>
          <w:tcPr>
            <w:tcW w:w="1194"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J07854</w:t>
            </w:r>
          </w:p>
        </w:tc>
        <w:tc>
          <w:tcPr>
            <w:tcW w:w="2855"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2.35%-3.15%</w:t>
            </w:r>
          </w:p>
        </w:tc>
        <w:tc>
          <w:tcPr>
            <w:tcW w:w="2741"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2.10%-2.90%</w:t>
            </w:r>
          </w:p>
        </w:tc>
      </w:tr>
    </w:tbl>
    <w:p>
      <w:pPr>
        <w:pStyle w:val="11"/>
        <w:numPr>
          <w:ilvl w:val="0"/>
          <w:numId w:val="0"/>
        </w:numPr>
        <w:spacing w:before="0" w:beforeAutospacing="0" w:after="0" w:afterAutospacing="0" w:line="480" w:lineRule="auto"/>
        <w:ind w:firstLine="560" w:firstLineChars="200"/>
        <w:jc w:val="left"/>
        <w:rPr>
          <w:rFonts w:hint="default" w:ascii="楷体" w:hAnsi="楷体" w:eastAsia="楷体" w:cs="Times New Roman"/>
          <w:b/>
          <w:bCs/>
          <w:kern w:val="0"/>
          <w:sz w:val="28"/>
          <w:szCs w:val="28"/>
          <w:lang w:val="en-US" w:eastAsia="zh-CN" w:bidi="ar-SA"/>
        </w:rPr>
      </w:pPr>
      <w:r>
        <w:rPr>
          <w:rFonts w:hint="eastAsia" w:ascii="楷体" w:hAnsi="楷体" w:eastAsia="楷体" w:cs="Times New Roman"/>
          <w:kern w:val="0"/>
          <w:sz w:val="28"/>
          <w:szCs w:val="28"/>
          <w:lang w:val="en-US" w:eastAsia="zh-CN" w:bidi="ar-SA"/>
        </w:rPr>
        <w:t>业绩比较基准为管理人对本产品所设定的投资目标，不代表理财产品未来表现，不等于理财产品实际收益，不构成管理人对产品实际投资收益率的承诺或担保，投资者的实际收益由产品净值表现决定。</w:t>
      </w:r>
    </w:p>
    <w:p>
      <w:pPr>
        <w:pStyle w:val="11"/>
        <w:spacing w:before="0" w:beforeAutospacing="0" w:after="0" w:afterAutospacing="0" w:line="480" w:lineRule="auto"/>
        <w:ind w:firstLine="560" w:firstLineChars="200"/>
        <w:jc w:val="left"/>
        <w:rPr>
          <w:rFonts w:hint="eastAsia" w:ascii="楷体" w:hAnsi="楷体" w:eastAsia="楷体" w:cs="Times New Roman"/>
          <w:sz w:val="28"/>
          <w:szCs w:val="28"/>
          <w:lang w:val="en-US" w:eastAsia="zh-CN"/>
        </w:rPr>
      </w:pPr>
      <w:r>
        <w:rPr>
          <w:rFonts w:hint="eastAsia" w:ascii="楷体" w:hAnsi="楷体" w:eastAsia="楷体"/>
          <w:sz w:val="28"/>
          <w:szCs w:val="28"/>
          <w:lang w:val="en-US" w:eastAsia="zh-CN"/>
        </w:rPr>
        <w:t>上述调整将于</w:t>
      </w:r>
      <w:r>
        <w:rPr>
          <w:rFonts w:hint="eastAsia" w:ascii="楷体" w:hAnsi="楷体" w:eastAsia="楷体"/>
          <w:sz w:val="28"/>
          <w:szCs w:val="28"/>
        </w:rPr>
        <w:t>202</w:t>
      </w:r>
      <w:r>
        <w:rPr>
          <w:rFonts w:hint="eastAsia" w:ascii="楷体" w:hAnsi="楷体" w:eastAsia="楷体"/>
          <w:sz w:val="28"/>
          <w:szCs w:val="28"/>
          <w:lang w:val="en-US" w:eastAsia="zh-CN"/>
        </w:rPr>
        <w:t>6</w:t>
      </w:r>
      <w:r>
        <w:rPr>
          <w:rFonts w:hint="eastAsia" w:ascii="楷体" w:hAnsi="楷体" w:eastAsia="楷体"/>
          <w:sz w:val="28"/>
          <w:szCs w:val="28"/>
        </w:rPr>
        <w:t>年</w:t>
      </w:r>
      <w:r>
        <w:rPr>
          <w:rFonts w:hint="eastAsia" w:ascii="楷体" w:hAnsi="楷体" w:eastAsia="楷体"/>
          <w:sz w:val="28"/>
          <w:szCs w:val="28"/>
          <w:lang w:val="en-US" w:eastAsia="zh-CN"/>
        </w:rPr>
        <w:t>3</w:t>
      </w:r>
      <w:r>
        <w:rPr>
          <w:rFonts w:hint="eastAsia" w:ascii="楷体" w:hAnsi="楷体" w:eastAsia="楷体"/>
          <w:sz w:val="28"/>
          <w:szCs w:val="28"/>
        </w:rPr>
        <w:t>月</w:t>
      </w:r>
      <w:r>
        <w:rPr>
          <w:rFonts w:hint="eastAsia" w:ascii="楷体" w:hAnsi="楷体" w:eastAsia="楷体"/>
          <w:sz w:val="28"/>
          <w:szCs w:val="28"/>
          <w:lang w:val="en-US" w:eastAsia="zh-CN"/>
        </w:rPr>
        <w:t>31日起生效，投资者如不接受本次公告所述调整，可于</w:t>
      </w:r>
      <w:r>
        <w:rPr>
          <w:rFonts w:hint="eastAsia" w:ascii="楷体" w:hAnsi="楷体" w:eastAsia="楷体"/>
          <w:sz w:val="28"/>
          <w:szCs w:val="28"/>
        </w:rPr>
        <w:t>202</w:t>
      </w:r>
      <w:r>
        <w:rPr>
          <w:rFonts w:hint="eastAsia" w:ascii="楷体" w:hAnsi="楷体" w:eastAsia="楷体"/>
          <w:sz w:val="28"/>
          <w:szCs w:val="28"/>
          <w:lang w:val="en-US" w:eastAsia="zh-CN"/>
        </w:rPr>
        <w:t>6</w:t>
      </w:r>
      <w:r>
        <w:rPr>
          <w:rFonts w:hint="eastAsia" w:ascii="楷体" w:hAnsi="楷体" w:eastAsia="楷体"/>
          <w:sz w:val="28"/>
          <w:szCs w:val="28"/>
        </w:rPr>
        <w:t>年</w:t>
      </w:r>
      <w:r>
        <w:rPr>
          <w:rFonts w:hint="eastAsia" w:ascii="楷体" w:hAnsi="楷体" w:eastAsia="楷体"/>
          <w:sz w:val="28"/>
          <w:szCs w:val="28"/>
          <w:lang w:val="en-US" w:eastAsia="zh-CN"/>
        </w:rPr>
        <w:t>3</w:t>
      </w:r>
      <w:r>
        <w:rPr>
          <w:rFonts w:hint="eastAsia" w:ascii="楷体" w:hAnsi="楷体" w:eastAsia="楷体"/>
          <w:sz w:val="28"/>
          <w:szCs w:val="28"/>
        </w:rPr>
        <w:t>月</w:t>
      </w:r>
      <w:r>
        <w:rPr>
          <w:rFonts w:hint="eastAsia" w:ascii="楷体" w:hAnsi="楷体" w:eastAsia="楷体"/>
          <w:sz w:val="28"/>
          <w:szCs w:val="28"/>
          <w:lang w:val="en-US" w:eastAsia="zh-CN"/>
        </w:rPr>
        <w:t>20日至</w:t>
      </w:r>
      <w:r>
        <w:rPr>
          <w:rFonts w:hint="eastAsia" w:ascii="楷体" w:hAnsi="楷体" w:eastAsia="楷体"/>
          <w:sz w:val="28"/>
          <w:szCs w:val="28"/>
        </w:rPr>
        <w:t>202</w:t>
      </w:r>
      <w:r>
        <w:rPr>
          <w:rFonts w:hint="eastAsia" w:ascii="楷体" w:hAnsi="楷体" w:eastAsia="楷体"/>
          <w:sz w:val="28"/>
          <w:szCs w:val="28"/>
          <w:lang w:val="en-US" w:eastAsia="zh-CN"/>
        </w:rPr>
        <w:t>6</w:t>
      </w:r>
      <w:r>
        <w:rPr>
          <w:rFonts w:hint="eastAsia" w:ascii="楷体" w:hAnsi="楷体" w:eastAsia="楷体"/>
          <w:sz w:val="28"/>
          <w:szCs w:val="28"/>
        </w:rPr>
        <w:t>年</w:t>
      </w:r>
      <w:r>
        <w:rPr>
          <w:rFonts w:hint="eastAsia" w:ascii="楷体" w:hAnsi="楷体" w:eastAsia="楷体"/>
          <w:sz w:val="28"/>
          <w:szCs w:val="28"/>
          <w:lang w:val="en-US" w:eastAsia="zh-CN"/>
        </w:rPr>
        <w:t>3</w:t>
      </w:r>
      <w:r>
        <w:rPr>
          <w:rFonts w:hint="eastAsia" w:ascii="楷体" w:hAnsi="楷体" w:eastAsia="楷体"/>
          <w:sz w:val="28"/>
          <w:szCs w:val="28"/>
        </w:rPr>
        <w:t>月</w:t>
      </w:r>
      <w:r>
        <w:rPr>
          <w:rFonts w:hint="eastAsia" w:ascii="楷体" w:hAnsi="楷体" w:eastAsia="楷体"/>
          <w:sz w:val="28"/>
          <w:szCs w:val="28"/>
          <w:lang w:val="en-US" w:eastAsia="zh-CN"/>
        </w:rPr>
        <w:t>30日产品开放期内提出赎回申请；若投资者逾期未提出赎回申请，则视为接受上述调整事项。</w:t>
      </w:r>
    </w:p>
    <w:p>
      <w:pPr>
        <w:pStyle w:val="11"/>
        <w:spacing w:before="0" w:beforeAutospacing="0" w:after="0" w:afterAutospacing="0" w:line="480" w:lineRule="auto"/>
        <w:ind w:firstLine="560" w:firstLineChars="200"/>
        <w:jc w:val="left"/>
        <w:rPr>
          <w:rFonts w:hint="default" w:ascii="楷体" w:hAnsi="楷体" w:eastAsia="楷体" w:cs="Times New Roman"/>
          <w:sz w:val="28"/>
          <w:szCs w:val="28"/>
          <w:lang w:val="en-US" w:eastAsia="zh-CN"/>
        </w:rPr>
      </w:pPr>
      <w:r>
        <w:rPr>
          <w:rFonts w:hint="eastAsia" w:ascii="楷体" w:hAnsi="楷体" w:eastAsia="楷体" w:cs="Times New Roman"/>
          <w:sz w:val="28"/>
          <w:szCs w:val="28"/>
          <w:lang w:val="en-US" w:eastAsia="zh-CN"/>
        </w:rPr>
        <w:t>投资者可通过原理财产品合同约定的信息披露渠道查询更新后的理财产品合同。</w:t>
      </w:r>
    </w:p>
    <w:p>
      <w:pPr>
        <w:pStyle w:val="11"/>
        <w:spacing w:before="0" w:beforeAutospacing="0" w:after="0" w:afterAutospacing="0" w:line="48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特此报告。</w:t>
      </w:r>
    </w:p>
    <w:p>
      <w:pPr>
        <w:pStyle w:val="11"/>
        <w:spacing w:before="0" w:beforeAutospacing="0" w:after="0" w:afterAutospacing="0" w:line="48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感谢您投资苏银理财本期理财产品，敬请继续关注我司近期推出的其他理财产品。</w:t>
      </w:r>
    </w:p>
    <w:p>
      <w:pPr>
        <w:spacing w:line="520" w:lineRule="exact"/>
        <w:jc w:val="right"/>
        <w:rPr>
          <w:rFonts w:hint="eastAsia" w:ascii="楷体" w:hAnsi="楷体" w:eastAsia="楷体"/>
          <w:kern w:val="0"/>
          <w:sz w:val="28"/>
          <w:szCs w:val="28"/>
        </w:rPr>
      </w:pPr>
      <w:r>
        <w:rPr>
          <w:rFonts w:hint="eastAsia" w:ascii="楷体" w:hAnsi="楷体" w:eastAsia="楷体"/>
          <w:kern w:val="0"/>
          <w:sz w:val="28"/>
          <w:szCs w:val="28"/>
        </w:rPr>
        <w:t>苏银理财有限责任公司</w:t>
      </w:r>
    </w:p>
    <w:p>
      <w:pPr>
        <w:spacing w:line="520" w:lineRule="exact"/>
        <w:jc w:val="right"/>
        <w:rPr>
          <w:rFonts w:hint="eastAsia" w:ascii="楷体" w:hAnsi="楷体" w:eastAsia="楷体"/>
          <w:kern w:val="0"/>
          <w:sz w:val="24"/>
          <w:szCs w:val="24"/>
        </w:rPr>
      </w:pPr>
      <w:r>
        <w:rPr>
          <w:rFonts w:hint="eastAsia" w:ascii="楷体" w:hAnsi="楷体" w:eastAsia="楷体"/>
          <w:kern w:val="0"/>
          <w:sz w:val="28"/>
          <w:szCs w:val="28"/>
        </w:rPr>
        <w:t>202</w:t>
      </w:r>
      <w:r>
        <w:rPr>
          <w:rFonts w:hint="eastAsia" w:ascii="楷体" w:hAnsi="楷体" w:eastAsia="楷体"/>
          <w:kern w:val="0"/>
          <w:sz w:val="28"/>
          <w:szCs w:val="28"/>
          <w:lang w:val="en-US" w:eastAsia="zh-CN"/>
        </w:rPr>
        <w:t>6</w:t>
      </w:r>
      <w:r>
        <w:rPr>
          <w:rFonts w:hint="eastAsia" w:ascii="楷体" w:hAnsi="楷体" w:eastAsia="楷体"/>
          <w:kern w:val="0"/>
          <w:sz w:val="28"/>
          <w:szCs w:val="28"/>
        </w:rPr>
        <w:t>年</w:t>
      </w:r>
      <w:r>
        <w:rPr>
          <w:rFonts w:hint="eastAsia" w:ascii="楷体" w:hAnsi="楷体" w:eastAsia="楷体"/>
          <w:kern w:val="0"/>
          <w:sz w:val="28"/>
          <w:szCs w:val="28"/>
          <w:lang w:val="en-US" w:eastAsia="zh-CN"/>
        </w:rPr>
        <w:t>3</w:t>
      </w:r>
      <w:bookmarkStart w:id="0" w:name="_GoBack"/>
      <w:bookmarkEnd w:id="0"/>
      <w:r>
        <w:rPr>
          <w:rFonts w:hint="eastAsia" w:ascii="楷体" w:hAnsi="楷体" w:eastAsia="楷体"/>
          <w:kern w:val="0"/>
          <w:sz w:val="28"/>
          <w:szCs w:val="28"/>
        </w:rPr>
        <w:t>月</w:t>
      </w:r>
      <w:r>
        <w:rPr>
          <w:rFonts w:hint="eastAsia" w:ascii="楷体" w:hAnsi="楷体" w:eastAsia="楷体"/>
          <w:kern w:val="0"/>
          <w:sz w:val="28"/>
          <w:szCs w:val="28"/>
          <w:lang w:val="en-US" w:eastAsia="zh-CN"/>
        </w:rPr>
        <w:t>9</w:t>
      </w:r>
      <w:r>
        <w:rPr>
          <w:rFonts w:hint="eastAsia" w:ascii="楷体" w:hAnsi="楷体" w:eastAsia="楷体"/>
          <w:kern w:val="0"/>
          <w:sz w:val="28"/>
          <w:szCs w:val="28"/>
        </w:rPr>
        <w:t>日</w:t>
      </w:r>
    </w:p>
    <w:p>
      <w:pPr>
        <w:spacing w:line="520" w:lineRule="exact"/>
        <w:rPr>
          <w:rFonts w:hint="eastAsia"/>
        </w:rPr>
      </w:pPr>
    </w:p>
    <w:p>
      <w:pPr>
        <w:spacing w:line="520" w:lineRule="exact"/>
        <w:rPr>
          <w:rFonts w:hint="eastAsia"/>
        </w:rPr>
      </w:pPr>
    </w:p>
    <w:p>
      <w:pPr>
        <w:spacing w:line="520" w:lineRule="exact"/>
        <w:jc w:val="left"/>
        <w:rPr>
          <w:rFonts w:hint="eastAsia" w:ascii="楷体" w:hAnsi="楷体" w:eastAsia="楷体" w:cs="楷体"/>
        </w:rPr>
      </w:pPr>
      <w:r>
        <w:rPr>
          <w:rFonts w:hint="eastAsia" w:ascii="楷体" w:hAnsi="楷体" w:eastAsia="楷体" w:cs="楷体"/>
        </w:rPr>
        <w:t>备注：本次披露内容解释权归苏银理财所有，不构成任何形式的法律要约或承诺。</w:t>
      </w:r>
    </w:p>
    <w:sectPr>
      <w:headerReference r:id="rId5" w:type="first"/>
      <w:headerReference r:id="rId3" w:type="default"/>
      <w:footerReference r:id="rId6" w:type="default"/>
      <w:headerReference r:id="rId4" w:type="even"/>
      <w:pgSz w:w="11906" w:h="16838"/>
      <w:pgMar w:top="1440" w:right="1800" w:bottom="1440" w:left="170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1</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1</w:t>
    </w:r>
    <w:r>
      <w:rPr>
        <w:b/>
        <w:bCs/>
        <w:sz w:val="24"/>
        <w:szCs w:val="24"/>
      </w:rPr>
      <w:fldChar w:fldCharType="end"/>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kinsoku w:val="0"/>
      <w:overflowPunct w:val="0"/>
      <w:spacing w:before="0" w:line="320" w:lineRule="exact"/>
      <w:ind w:left="20"/>
      <w:jc w:val="both"/>
      <w:rPr>
        <w:rFonts w:ascii="楷体" w:hAnsi="楷体" w:eastAsia="楷体" w:cs="黑体"/>
        <w:b/>
        <w:spacing w:val="-2"/>
        <w:sz w:val="24"/>
        <w:szCs w:val="24"/>
      </w:rPr>
    </w:pPr>
    <w:r>
      <w:rPr>
        <w:rFonts w:ascii="楷体" w:hAnsi="楷体" w:eastAsia="楷体"/>
        <w:b/>
      </w:rPr>
      <w:drawing>
        <wp:anchor distT="0" distB="0" distL="114300" distR="114300" simplePos="0" relativeHeight="251661312"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3" name="WordPictureWatermark367128483"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ordPictureWatermark367128483"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r>
      <w:drawing>
        <wp:anchor distT="0" distB="0" distL="114300" distR="114300" simplePos="0" relativeHeight="251662336" behindDoc="0" locked="0" layoutInCell="1" allowOverlap="1">
          <wp:simplePos x="0" y="0"/>
          <wp:positionH relativeFrom="column">
            <wp:posOffset>3923665</wp:posOffset>
          </wp:positionH>
          <wp:positionV relativeFrom="paragraph">
            <wp:posOffset>-95250</wp:posOffset>
          </wp:positionV>
          <wp:extent cx="1325245" cy="424815"/>
          <wp:effectExtent l="0" t="0" r="8255" b="13335"/>
          <wp:wrapSquare wrapText="bothSides"/>
          <wp:docPr id="4" name="图片 1" descr="说明: 说明: C:\Users\JSYH\Desktop\苏银理财.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descr="说明: 说明: C:\Users\JSYH\Desktop\苏银理财.png"/>
                  <pic:cNvPicPr>
                    <a:picLocks noChangeAspect="1"/>
                  </pic:cNvPicPr>
                </pic:nvPicPr>
                <pic:blipFill>
                  <a:blip r:embed="rId2"/>
                  <a:stretch>
                    <a:fillRect/>
                  </a:stretch>
                </pic:blipFill>
                <pic:spPr>
                  <a:xfrm>
                    <a:off x="0" y="0"/>
                    <a:ext cx="1325245" cy="424815"/>
                  </a:xfrm>
                  <a:prstGeom prst="rect">
                    <a:avLst/>
                  </a:prstGeom>
                  <a:noFill/>
                  <a:ln>
                    <a:noFill/>
                  </a:ln>
                </pic:spPr>
              </pic:pic>
            </a:graphicData>
          </a:graphic>
        </wp:anchor>
      </w:drawing>
    </w:r>
    <w:r>
      <w:rPr>
        <w:rFonts w:hint="eastAsia" w:ascii="楷体" w:hAnsi="楷体" w:eastAsia="楷体" w:cs="黑体"/>
        <w:b/>
        <w:bCs/>
        <w:spacing w:val="-2"/>
        <w:sz w:val="24"/>
        <w:szCs w:val="24"/>
        <w:lang w:val="en-US" w:eastAsia="zh-CN"/>
      </w:rPr>
      <w:t>`</w:t>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drawing>
        <wp:anchor distT="0" distB="0" distL="114300" distR="114300" simplePos="0" relativeHeight="251660288"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2" name="WordPictureWatermark367128482"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ordPictureWatermark367128482"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drawing>
        <wp:anchor distT="0" distB="0" distL="114300" distR="114300" simplePos="0" relativeHeight="251659264"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1" name="WordPictureWatermark367128481"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367128481"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19228C8"/>
    <w:multiLevelType w:val="singleLevel"/>
    <w:tmpl w:val="219228C8"/>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23F7"/>
    <w:rsid w:val="00001531"/>
    <w:rsid w:val="0000191C"/>
    <w:rsid w:val="00001E2F"/>
    <w:rsid w:val="00002389"/>
    <w:rsid w:val="00003606"/>
    <w:rsid w:val="000048B0"/>
    <w:rsid w:val="00005B01"/>
    <w:rsid w:val="000101E4"/>
    <w:rsid w:val="0001103A"/>
    <w:rsid w:val="000131EF"/>
    <w:rsid w:val="00013628"/>
    <w:rsid w:val="00014334"/>
    <w:rsid w:val="000158A7"/>
    <w:rsid w:val="00015A92"/>
    <w:rsid w:val="00015D58"/>
    <w:rsid w:val="00016232"/>
    <w:rsid w:val="0002052D"/>
    <w:rsid w:val="00020A6F"/>
    <w:rsid w:val="00021007"/>
    <w:rsid w:val="000223C5"/>
    <w:rsid w:val="00023BA8"/>
    <w:rsid w:val="000247F9"/>
    <w:rsid w:val="00024C7F"/>
    <w:rsid w:val="000263ED"/>
    <w:rsid w:val="00027E61"/>
    <w:rsid w:val="00027F48"/>
    <w:rsid w:val="0003072E"/>
    <w:rsid w:val="00030D69"/>
    <w:rsid w:val="00031806"/>
    <w:rsid w:val="00031F80"/>
    <w:rsid w:val="00034890"/>
    <w:rsid w:val="000375C2"/>
    <w:rsid w:val="000405B1"/>
    <w:rsid w:val="000434FB"/>
    <w:rsid w:val="00043555"/>
    <w:rsid w:val="00043D5F"/>
    <w:rsid w:val="000469D0"/>
    <w:rsid w:val="00046AAA"/>
    <w:rsid w:val="0004768E"/>
    <w:rsid w:val="00050975"/>
    <w:rsid w:val="00051DB3"/>
    <w:rsid w:val="00054854"/>
    <w:rsid w:val="00057B16"/>
    <w:rsid w:val="00060571"/>
    <w:rsid w:val="00061D74"/>
    <w:rsid w:val="00062791"/>
    <w:rsid w:val="00064F2B"/>
    <w:rsid w:val="00066F56"/>
    <w:rsid w:val="000677EE"/>
    <w:rsid w:val="00071418"/>
    <w:rsid w:val="00071581"/>
    <w:rsid w:val="000715B1"/>
    <w:rsid w:val="0007293A"/>
    <w:rsid w:val="00072D1F"/>
    <w:rsid w:val="0007366C"/>
    <w:rsid w:val="00074189"/>
    <w:rsid w:val="00074306"/>
    <w:rsid w:val="000757BB"/>
    <w:rsid w:val="00080C2C"/>
    <w:rsid w:val="00081AD6"/>
    <w:rsid w:val="000853F6"/>
    <w:rsid w:val="000867A8"/>
    <w:rsid w:val="00087036"/>
    <w:rsid w:val="00087EDB"/>
    <w:rsid w:val="00091208"/>
    <w:rsid w:val="00093C11"/>
    <w:rsid w:val="00094631"/>
    <w:rsid w:val="00096382"/>
    <w:rsid w:val="0009795C"/>
    <w:rsid w:val="00097F80"/>
    <w:rsid w:val="000A2D2D"/>
    <w:rsid w:val="000A2E68"/>
    <w:rsid w:val="000A45AB"/>
    <w:rsid w:val="000A5E00"/>
    <w:rsid w:val="000B0078"/>
    <w:rsid w:val="000B0690"/>
    <w:rsid w:val="000B382A"/>
    <w:rsid w:val="000B3B58"/>
    <w:rsid w:val="000B3EFD"/>
    <w:rsid w:val="000B659B"/>
    <w:rsid w:val="000B6E9F"/>
    <w:rsid w:val="000B7D78"/>
    <w:rsid w:val="000C3DB1"/>
    <w:rsid w:val="000C54ED"/>
    <w:rsid w:val="000C5C02"/>
    <w:rsid w:val="000C6143"/>
    <w:rsid w:val="000C7382"/>
    <w:rsid w:val="000D35BD"/>
    <w:rsid w:val="000D3992"/>
    <w:rsid w:val="000D70FD"/>
    <w:rsid w:val="000D71CF"/>
    <w:rsid w:val="000D7225"/>
    <w:rsid w:val="000D722C"/>
    <w:rsid w:val="000E0485"/>
    <w:rsid w:val="000E1951"/>
    <w:rsid w:val="000E2E7D"/>
    <w:rsid w:val="000E34F3"/>
    <w:rsid w:val="000E4205"/>
    <w:rsid w:val="000E7CF6"/>
    <w:rsid w:val="000F0433"/>
    <w:rsid w:val="000F1D3C"/>
    <w:rsid w:val="000F362A"/>
    <w:rsid w:val="000F3D5D"/>
    <w:rsid w:val="000F4243"/>
    <w:rsid w:val="000F4ABF"/>
    <w:rsid w:val="000F5B66"/>
    <w:rsid w:val="000F5FF6"/>
    <w:rsid w:val="000F65C5"/>
    <w:rsid w:val="000F7056"/>
    <w:rsid w:val="000F7D2C"/>
    <w:rsid w:val="00100F0C"/>
    <w:rsid w:val="001025A3"/>
    <w:rsid w:val="001036A0"/>
    <w:rsid w:val="0010457E"/>
    <w:rsid w:val="001065F5"/>
    <w:rsid w:val="00110417"/>
    <w:rsid w:val="00111E3E"/>
    <w:rsid w:val="001126F6"/>
    <w:rsid w:val="00112F03"/>
    <w:rsid w:val="00115E7F"/>
    <w:rsid w:val="0011696D"/>
    <w:rsid w:val="00121681"/>
    <w:rsid w:val="00122F58"/>
    <w:rsid w:val="0012352A"/>
    <w:rsid w:val="00123BCB"/>
    <w:rsid w:val="0012411A"/>
    <w:rsid w:val="001242DE"/>
    <w:rsid w:val="00124C00"/>
    <w:rsid w:val="001259EA"/>
    <w:rsid w:val="00125B8C"/>
    <w:rsid w:val="0012647A"/>
    <w:rsid w:val="001303B2"/>
    <w:rsid w:val="00130EED"/>
    <w:rsid w:val="00130F7B"/>
    <w:rsid w:val="00131F1B"/>
    <w:rsid w:val="0013364F"/>
    <w:rsid w:val="00133AAF"/>
    <w:rsid w:val="00133B98"/>
    <w:rsid w:val="0013472F"/>
    <w:rsid w:val="00134733"/>
    <w:rsid w:val="001359ED"/>
    <w:rsid w:val="00140B25"/>
    <w:rsid w:val="001450DF"/>
    <w:rsid w:val="0014734D"/>
    <w:rsid w:val="00151CC7"/>
    <w:rsid w:val="00152B36"/>
    <w:rsid w:val="00153081"/>
    <w:rsid w:val="001530B2"/>
    <w:rsid w:val="001543E7"/>
    <w:rsid w:val="00155B77"/>
    <w:rsid w:val="00160569"/>
    <w:rsid w:val="00161BF0"/>
    <w:rsid w:val="00161E2F"/>
    <w:rsid w:val="001624A3"/>
    <w:rsid w:val="001624DA"/>
    <w:rsid w:val="00162BF5"/>
    <w:rsid w:val="00165E23"/>
    <w:rsid w:val="0016609C"/>
    <w:rsid w:val="00166B3A"/>
    <w:rsid w:val="00170099"/>
    <w:rsid w:val="00170194"/>
    <w:rsid w:val="00170927"/>
    <w:rsid w:val="0017092A"/>
    <w:rsid w:val="00170A6E"/>
    <w:rsid w:val="00172B90"/>
    <w:rsid w:val="00173A2B"/>
    <w:rsid w:val="00173CE1"/>
    <w:rsid w:val="00174417"/>
    <w:rsid w:val="001749CF"/>
    <w:rsid w:val="00176B8E"/>
    <w:rsid w:val="001770F3"/>
    <w:rsid w:val="00177BCC"/>
    <w:rsid w:val="0018251A"/>
    <w:rsid w:val="001846FB"/>
    <w:rsid w:val="00193A02"/>
    <w:rsid w:val="00194E69"/>
    <w:rsid w:val="00195FF0"/>
    <w:rsid w:val="00197DD9"/>
    <w:rsid w:val="001A05F5"/>
    <w:rsid w:val="001A1C12"/>
    <w:rsid w:val="001A2EBB"/>
    <w:rsid w:val="001A57DB"/>
    <w:rsid w:val="001A586B"/>
    <w:rsid w:val="001A73F1"/>
    <w:rsid w:val="001B1D26"/>
    <w:rsid w:val="001B1E1E"/>
    <w:rsid w:val="001B2F76"/>
    <w:rsid w:val="001B2F82"/>
    <w:rsid w:val="001B396B"/>
    <w:rsid w:val="001B4B9C"/>
    <w:rsid w:val="001B72EB"/>
    <w:rsid w:val="001B7D0D"/>
    <w:rsid w:val="001C13E9"/>
    <w:rsid w:val="001C4148"/>
    <w:rsid w:val="001C78FF"/>
    <w:rsid w:val="001D0B29"/>
    <w:rsid w:val="001D1C27"/>
    <w:rsid w:val="001D2A8B"/>
    <w:rsid w:val="001D48EE"/>
    <w:rsid w:val="001D49AC"/>
    <w:rsid w:val="001D4BC9"/>
    <w:rsid w:val="001D4FE1"/>
    <w:rsid w:val="001D5D06"/>
    <w:rsid w:val="001D78FF"/>
    <w:rsid w:val="001E0062"/>
    <w:rsid w:val="001E0387"/>
    <w:rsid w:val="001E223F"/>
    <w:rsid w:val="001E4374"/>
    <w:rsid w:val="001E4A82"/>
    <w:rsid w:val="001E4C0D"/>
    <w:rsid w:val="001E4E95"/>
    <w:rsid w:val="001E631F"/>
    <w:rsid w:val="001F0A69"/>
    <w:rsid w:val="001F1728"/>
    <w:rsid w:val="001F2658"/>
    <w:rsid w:val="001F3AD6"/>
    <w:rsid w:val="001F3CCB"/>
    <w:rsid w:val="001F63BD"/>
    <w:rsid w:val="001F6775"/>
    <w:rsid w:val="001F69BF"/>
    <w:rsid w:val="00200449"/>
    <w:rsid w:val="00200DF8"/>
    <w:rsid w:val="0020123C"/>
    <w:rsid w:val="0020196F"/>
    <w:rsid w:val="002024E9"/>
    <w:rsid w:val="0020639A"/>
    <w:rsid w:val="00210857"/>
    <w:rsid w:val="002119A2"/>
    <w:rsid w:val="00213632"/>
    <w:rsid w:val="00215F66"/>
    <w:rsid w:val="00216C87"/>
    <w:rsid w:val="0022162D"/>
    <w:rsid w:val="002222A4"/>
    <w:rsid w:val="0022633B"/>
    <w:rsid w:val="00226F9D"/>
    <w:rsid w:val="00230F4A"/>
    <w:rsid w:val="00231B08"/>
    <w:rsid w:val="00232A54"/>
    <w:rsid w:val="0023376E"/>
    <w:rsid w:val="0023523A"/>
    <w:rsid w:val="002353C4"/>
    <w:rsid w:val="00235E45"/>
    <w:rsid w:val="002366EB"/>
    <w:rsid w:val="002379DD"/>
    <w:rsid w:val="00237FDB"/>
    <w:rsid w:val="0024053C"/>
    <w:rsid w:val="002436C1"/>
    <w:rsid w:val="00243A17"/>
    <w:rsid w:val="00243DF5"/>
    <w:rsid w:val="00245106"/>
    <w:rsid w:val="00245D03"/>
    <w:rsid w:val="0024748B"/>
    <w:rsid w:val="00247A7D"/>
    <w:rsid w:val="0025150E"/>
    <w:rsid w:val="00252B51"/>
    <w:rsid w:val="00253997"/>
    <w:rsid w:val="0025423C"/>
    <w:rsid w:val="00254A3C"/>
    <w:rsid w:val="00254A8B"/>
    <w:rsid w:val="00256E57"/>
    <w:rsid w:val="0025744E"/>
    <w:rsid w:val="002579CC"/>
    <w:rsid w:val="0026641B"/>
    <w:rsid w:val="002672C8"/>
    <w:rsid w:val="00270665"/>
    <w:rsid w:val="00272C53"/>
    <w:rsid w:val="00272E20"/>
    <w:rsid w:val="00273681"/>
    <w:rsid w:val="0027409E"/>
    <w:rsid w:val="00274FAF"/>
    <w:rsid w:val="0027510A"/>
    <w:rsid w:val="002765F4"/>
    <w:rsid w:val="00276831"/>
    <w:rsid w:val="00276883"/>
    <w:rsid w:val="00277C1F"/>
    <w:rsid w:val="002821D7"/>
    <w:rsid w:val="00282F20"/>
    <w:rsid w:val="00284410"/>
    <w:rsid w:val="0029004F"/>
    <w:rsid w:val="00291B84"/>
    <w:rsid w:val="00292B19"/>
    <w:rsid w:val="00292B5E"/>
    <w:rsid w:val="002932FC"/>
    <w:rsid w:val="00293CDD"/>
    <w:rsid w:val="00294431"/>
    <w:rsid w:val="00294B49"/>
    <w:rsid w:val="00295538"/>
    <w:rsid w:val="00297034"/>
    <w:rsid w:val="002A046A"/>
    <w:rsid w:val="002A0E6D"/>
    <w:rsid w:val="002A237A"/>
    <w:rsid w:val="002A23E0"/>
    <w:rsid w:val="002A2E20"/>
    <w:rsid w:val="002A32DF"/>
    <w:rsid w:val="002A6980"/>
    <w:rsid w:val="002A7DF5"/>
    <w:rsid w:val="002A7E94"/>
    <w:rsid w:val="002B0795"/>
    <w:rsid w:val="002B2620"/>
    <w:rsid w:val="002B3225"/>
    <w:rsid w:val="002B5694"/>
    <w:rsid w:val="002C021F"/>
    <w:rsid w:val="002C2056"/>
    <w:rsid w:val="002C222A"/>
    <w:rsid w:val="002C23F7"/>
    <w:rsid w:val="002C3367"/>
    <w:rsid w:val="002C7117"/>
    <w:rsid w:val="002C7CB4"/>
    <w:rsid w:val="002D0706"/>
    <w:rsid w:val="002D29FD"/>
    <w:rsid w:val="002D2AEC"/>
    <w:rsid w:val="002D2C1F"/>
    <w:rsid w:val="002D600D"/>
    <w:rsid w:val="002E1382"/>
    <w:rsid w:val="002E6CC3"/>
    <w:rsid w:val="002E6F55"/>
    <w:rsid w:val="002F0E4E"/>
    <w:rsid w:val="002F24A1"/>
    <w:rsid w:val="002F344B"/>
    <w:rsid w:val="002F41A5"/>
    <w:rsid w:val="002F709A"/>
    <w:rsid w:val="002F77A8"/>
    <w:rsid w:val="003010FA"/>
    <w:rsid w:val="00301619"/>
    <w:rsid w:val="00301AD3"/>
    <w:rsid w:val="00301E80"/>
    <w:rsid w:val="00302755"/>
    <w:rsid w:val="00303147"/>
    <w:rsid w:val="00304D18"/>
    <w:rsid w:val="00305A15"/>
    <w:rsid w:val="00305FD1"/>
    <w:rsid w:val="00306353"/>
    <w:rsid w:val="00306D41"/>
    <w:rsid w:val="00307094"/>
    <w:rsid w:val="00307342"/>
    <w:rsid w:val="00310A72"/>
    <w:rsid w:val="00311C18"/>
    <w:rsid w:val="0031298C"/>
    <w:rsid w:val="00313D52"/>
    <w:rsid w:val="00314235"/>
    <w:rsid w:val="0031453A"/>
    <w:rsid w:val="003222FC"/>
    <w:rsid w:val="00325D85"/>
    <w:rsid w:val="0032607C"/>
    <w:rsid w:val="00326E7B"/>
    <w:rsid w:val="0033166C"/>
    <w:rsid w:val="0033358A"/>
    <w:rsid w:val="00333937"/>
    <w:rsid w:val="003342B8"/>
    <w:rsid w:val="0033504B"/>
    <w:rsid w:val="003362C7"/>
    <w:rsid w:val="00336A5A"/>
    <w:rsid w:val="00337AA0"/>
    <w:rsid w:val="0034029E"/>
    <w:rsid w:val="00342ADB"/>
    <w:rsid w:val="00343B0F"/>
    <w:rsid w:val="00347006"/>
    <w:rsid w:val="00347D0D"/>
    <w:rsid w:val="003503AE"/>
    <w:rsid w:val="00351D8C"/>
    <w:rsid w:val="0035213A"/>
    <w:rsid w:val="00353419"/>
    <w:rsid w:val="00355D35"/>
    <w:rsid w:val="00356BEA"/>
    <w:rsid w:val="00360094"/>
    <w:rsid w:val="003627FB"/>
    <w:rsid w:val="00362826"/>
    <w:rsid w:val="00363EEF"/>
    <w:rsid w:val="0036403D"/>
    <w:rsid w:val="0036455C"/>
    <w:rsid w:val="003656BF"/>
    <w:rsid w:val="00366074"/>
    <w:rsid w:val="00367122"/>
    <w:rsid w:val="0037083D"/>
    <w:rsid w:val="00372402"/>
    <w:rsid w:val="003724FE"/>
    <w:rsid w:val="003726C4"/>
    <w:rsid w:val="003732C5"/>
    <w:rsid w:val="0037344E"/>
    <w:rsid w:val="00374086"/>
    <w:rsid w:val="00375BEB"/>
    <w:rsid w:val="003800B4"/>
    <w:rsid w:val="00380687"/>
    <w:rsid w:val="003809E0"/>
    <w:rsid w:val="003814E2"/>
    <w:rsid w:val="00381E88"/>
    <w:rsid w:val="003821F9"/>
    <w:rsid w:val="003827CD"/>
    <w:rsid w:val="00383A99"/>
    <w:rsid w:val="00383D6D"/>
    <w:rsid w:val="003852EF"/>
    <w:rsid w:val="003870EE"/>
    <w:rsid w:val="00393452"/>
    <w:rsid w:val="00394C2C"/>
    <w:rsid w:val="00395441"/>
    <w:rsid w:val="00396F85"/>
    <w:rsid w:val="0039723A"/>
    <w:rsid w:val="003A1CB9"/>
    <w:rsid w:val="003A27B8"/>
    <w:rsid w:val="003A3D8C"/>
    <w:rsid w:val="003A539D"/>
    <w:rsid w:val="003A5FA1"/>
    <w:rsid w:val="003A7623"/>
    <w:rsid w:val="003B1725"/>
    <w:rsid w:val="003B242C"/>
    <w:rsid w:val="003B324C"/>
    <w:rsid w:val="003B4D64"/>
    <w:rsid w:val="003B5DFB"/>
    <w:rsid w:val="003B6220"/>
    <w:rsid w:val="003B76DC"/>
    <w:rsid w:val="003C1E93"/>
    <w:rsid w:val="003C2161"/>
    <w:rsid w:val="003C596C"/>
    <w:rsid w:val="003D03AF"/>
    <w:rsid w:val="003D07CA"/>
    <w:rsid w:val="003D1FE5"/>
    <w:rsid w:val="003D3735"/>
    <w:rsid w:val="003D5148"/>
    <w:rsid w:val="003D6081"/>
    <w:rsid w:val="003D6720"/>
    <w:rsid w:val="003D6B3F"/>
    <w:rsid w:val="003D7951"/>
    <w:rsid w:val="003E030F"/>
    <w:rsid w:val="003E0964"/>
    <w:rsid w:val="003E1EFB"/>
    <w:rsid w:val="003E2B26"/>
    <w:rsid w:val="003E4299"/>
    <w:rsid w:val="003E6D92"/>
    <w:rsid w:val="003E70B9"/>
    <w:rsid w:val="003E7812"/>
    <w:rsid w:val="003F2136"/>
    <w:rsid w:val="003F277A"/>
    <w:rsid w:val="003F31E6"/>
    <w:rsid w:val="003F40F9"/>
    <w:rsid w:val="003F4C40"/>
    <w:rsid w:val="003F52FE"/>
    <w:rsid w:val="003F580D"/>
    <w:rsid w:val="003F61D7"/>
    <w:rsid w:val="00401F3A"/>
    <w:rsid w:val="0040272E"/>
    <w:rsid w:val="00402EA0"/>
    <w:rsid w:val="00403497"/>
    <w:rsid w:val="004041C9"/>
    <w:rsid w:val="00407810"/>
    <w:rsid w:val="004079CC"/>
    <w:rsid w:val="004106A7"/>
    <w:rsid w:val="00410F85"/>
    <w:rsid w:val="00412823"/>
    <w:rsid w:val="0041382E"/>
    <w:rsid w:val="00413D00"/>
    <w:rsid w:val="00414410"/>
    <w:rsid w:val="00414992"/>
    <w:rsid w:val="00416ED0"/>
    <w:rsid w:val="004175B0"/>
    <w:rsid w:val="00421C9B"/>
    <w:rsid w:val="00426041"/>
    <w:rsid w:val="00426AD3"/>
    <w:rsid w:val="00426CBC"/>
    <w:rsid w:val="00427CC0"/>
    <w:rsid w:val="0043002F"/>
    <w:rsid w:val="004303B3"/>
    <w:rsid w:val="00430927"/>
    <w:rsid w:val="0043308A"/>
    <w:rsid w:val="00433113"/>
    <w:rsid w:val="00434262"/>
    <w:rsid w:val="0043673C"/>
    <w:rsid w:val="00436801"/>
    <w:rsid w:val="004370D4"/>
    <w:rsid w:val="00437DA0"/>
    <w:rsid w:val="004412CE"/>
    <w:rsid w:val="00442603"/>
    <w:rsid w:val="00444898"/>
    <w:rsid w:val="00445E88"/>
    <w:rsid w:val="004509F6"/>
    <w:rsid w:val="00453254"/>
    <w:rsid w:val="0045366F"/>
    <w:rsid w:val="00453947"/>
    <w:rsid w:val="00453F4D"/>
    <w:rsid w:val="00455D49"/>
    <w:rsid w:val="00455DF1"/>
    <w:rsid w:val="00456A0F"/>
    <w:rsid w:val="00456C53"/>
    <w:rsid w:val="00460F22"/>
    <w:rsid w:val="0046446A"/>
    <w:rsid w:val="004645D0"/>
    <w:rsid w:val="00464A97"/>
    <w:rsid w:val="00464FA6"/>
    <w:rsid w:val="004651E5"/>
    <w:rsid w:val="004676E4"/>
    <w:rsid w:val="0046796E"/>
    <w:rsid w:val="00467E09"/>
    <w:rsid w:val="004707EC"/>
    <w:rsid w:val="00470F11"/>
    <w:rsid w:val="0047173F"/>
    <w:rsid w:val="004722FE"/>
    <w:rsid w:val="00472A2C"/>
    <w:rsid w:val="004739B2"/>
    <w:rsid w:val="0047586E"/>
    <w:rsid w:val="004761F8"/>
    <w:rsid w:val="0047624F"/>
    <w:rsid w:val="00476551"/>
    <w:rsid w:val="00476764"/>
    <w:rsid w:val="00477506"/>
    <w:rsid w:val="00477994"/>
    <w:rsid w:val="00480ED0"/>
    <w:rsid w:val="00481CB0"/>
    <w:rsid w:val="00482251"/>
    <w:rsid w:val="00482CC2"/>
    <w:rsid w:val="004835E4"/>
    <w:rsid w:val="00484CF0"/>
    <w:rsid w:val="004856F7"/>
    <w:rsid w:val="00485E98"/>
    <w:rsid w:val="00487169"/>
    <w:rsid w:val="00490539"/>
    <w:rsid w:val="004907EE"/>
    <w:rsid w:val="004910C2"/>
    <w:rsid w:val="00491342"/>
    <w:rsid w:val="0049147A"/>
    <w:rsid w:val="00491B25"/>
    <w:rsid w:val="004925DF"/>
    <w:rsid w:val="0049267E"/>
    <w:rsid w:val="004929D1"/>
    <w:rsid w:val="004939CA"/>
    <w:rsid w:val="00497D5C"/>
    <w:rsid w:val="004A243A"/>
    <w:rsid w:val="004A2756"/>
    <w:rsid w:val="004A49CD"/>
    <w:rsid w:val="004A4AED"/>
    <w:rsid w:val="004A58D1"/>
    <w:rsid w:val="004A5E88"/>
    <w:rsid w:val="004A65C0"/>
    <w:rsid w:val="004A6C11"/>
    <w:rsid w:val="004B1E66"/>
    <w:rsid w:val="004B4001"/>
    <w:rsid w:val="004B4B39"/>
    <w:rsid w:val="004B6EA9"/>
    <w:rsid w:val="004B735F"/>
    <w:rsid w:val="004B77FF"/>
    <w:rsid w:val="004C0F0C"/>
    <w:rsid w:val="004C1C90"/>
    <w:rsid w:val="004C49FA"/>
    <w:rsid w:val="004C4C9B"/>
    <w:rsid w:val="004C4EA4"/>
    <w:rsid w:val="004C7C47"/>
    <w:rsid w:val="004D0388"/>
    <w:rsid w:val="004D0478"/>
    <w:rsid w:val="004D0A93"/>
    <w:rsid w:val="004D20F5"/>
    <w:rsid w:val="004D34DD"/>
    <w:rsid w:val="004D382B"/>
    <w:rsid w:val="004D3B10"/>
    <w:rsid w:val="004D49D8"/>
    <w:rsid w:val="004D6E8F"/>
    <w:rsid w:val="004D73A7"/>
    <w:rsid w:val="004D7BA3"/>
    <w:rsid w:val="004E3C6A"/>
    <w:rsid w:val="004E46B0"/>
    <w:rsid w:val="004E645B"/>
    <w:rsid w:val="004F2948"/>
    <w:rsid w:val="004F3AC9"/>
    <w:rsid w:val="004F3E60"/>
    <w:rsid w:val="004F40EF"/>
    <w:rsid w:val="004F46F0"/>
    <w:rsid w:val="004F4F78"/>
    <w:rsid w:val="004F55EC"/>
    <w:rsid w:val="005013A2"/>
    <w:rsid w:val="0050386F"/>
    <w:rsid w:val="005041D5"/>
    <w:rsid w:val="005071D2"/>
    <w:rsid w:val="00510526"/>
    <w:rsid w:val="00510823"/>
    <w:rsid w:val="0051208D"/>
    <w:rsid w:val="005139EC"/>
    <w:rsid w:val="00515789"/>
    <w:rsid w:val="00516DA1"/>
    <w:rsid w:val="005201F1"/>
    <w:rsid w:val="00520ACC"/>
    <w:rsid w:val="00520B0B"/>
    <w:rsid w:val="005212D4"/>
    <w:rsid w:val="00522AA1"/>
    <w:rsid w:val="0052415B"/>
    <w:rsid w:val="005262C8"/>
    <w:rsid w:val="005266CB"/>
    <w:rsid w:val="00527FBD"/>
    <w:rsid w:val="0053069A"/>
    <w:rsid w:val="005308B0"/>
    <w:rsid w:val="00531618"/>
    <w:rsid w:val="0053444E"/>
    <w:rsid w:val="0053510C"/>
    <w:rsid w:val="005362B4"/>
    <w:rsid w:val="0053633A"/>
    <w:rsid w:val="00536E3A"/>
    <w:rsid w:val="005400DC"/>
    <w:rsid w:val="00542CCA"/>
    <w:rsid w:val="0054309D"/>
    <w:rsid w:val="005436F3"/>
    <w:rsid w:val="00544451"/>
    <w:rsid w:val="005449D5"/>
    <w:rsid w:val="00544A6C"/>
    <w:rsid w:val="00551427"/>
    <w:rsid w:val="00551C0A"/>
    <w:rsid w:val="00554430"/>
    <w:rsid w:val="00560551"/>
    <w:rsid w:val="00561922"/>
    <w:rsid w:val="00561FE9"/>
    <w:rsid w:val="00562804"/>
    <w:rsid w:val="00564093"/>
    <w:rsid w:val="00564F46"/>
    <w:rsid w:val="005659B2"/>
    <w:rsid w:val="00566CB6"/>
    <w:rsid w:val="00567AAC"/>
    <w:rsid w:val="00572A2F"/>
    <w:rsid w:val="00572C28"/>
    <w:rsid w:val="00572D91"/>
    <w:rsid w:val="00574893"/>
    <w:rsid w:val="00575E03"/>
    <w:rsid w:val="00576A3A"/>
    <w:rsid w:val="00576B9E"/>
    <w:rsid w:val="00577555"/>
    <w:rsid w:val="00577910"/>
    <w:rsid w:val="005803FA"/>
    <w:rsid w:val="00583A5E"/>
    <w:rsid w:val="00590CD8"/>
    <w:rsid w:val="00593310"/>
    <w:rsid w:val="0059593D"/>
    <w:rsid w:val="00595C4D"/>
    <w:rsid w:val="00597498"/>
    <w:rsid w:val="0059767A"/>
    <w:rsid w:val="005A0462"/>
    <w:rsid w:val="005A3825"/>
    <w:rsid w:val="005A43FC"/>
    <w:rsid w:val="005A6007"/>
    <w:rsid w:val="005A6752"/>
    <w:rsid w:val="005A6DE4"/>
    <w:rsid w:val="005A7236"/>
    <w:rsid w:val="005B08B3"/>
    <w:rsid w:val="005B0F07"/>
    <w:rsid w:val="005B16D7"/>
    <w:rsid w:val="005B1BB5"/>
    <w:rsid w:val="005B31FB"/>
    <w:rsid w:val="005B3AC2"/>
    <w:rsid w:val="005B439F"/>
    <w:rsid w:val="005B49CC"/>
    <w:rsid w:val="005B62FA"/>
    <w:rsid w:val="005B6576"/>
    <w:rsid w:val="005C09F1"/>
    <w:rsid w:val="005C0B01"/>
    <w:rsid w:val="005C1CF3"/>
    <w:rsid w:val="005C201C"/>
    <w:rsid w:val="005C37A8"/>
    <w:rsid w:val="005C3B0D"/>
    <w:rsid w:val="005C4B2D"/>
    <w:rsid w:val="005C5BC2"/>
    <w:rsid w:val="005C72E9"/>
    <w:rsid w:val="005C79F4"/>
    <w:rsid w:val="005D163E"/>
    <w:rsid w:val="005D33A6"/>
    <w:rsid w:val="005D4D03"/>
    <w:rsid w:val="005D5292"/>
    <w:rsid w:val="005D5470"/>
    <w:rsid w:val="005D637B"/>
    <w:rsid w:val="005E0829"/>
    <w:rsid w:val="005E14F6"/>
    <w:rsid w:val="005E162C"/>
    <w:rsid w:val="005E26A1"/>
    <w:rsid w:val="005E2D33"/>
    <w:rsid w:val="005E494F"/>
    <w:rsid w:val="005E5312"/>
    <w:rsid w:val="005E588E"/>
    <w:rsid w:val="005E5F0F"/>
    <w:rsid w:val="005E695B"/>
    <w:rsid w:val="005F0E22"/>
    <w:rsid w:val="005F1547"/>
    <w:rsid w:val="005F1604"/>
    <w:rsid w:val="005F24F4"/>
    <w:rsid w:val="005F2903"/>
    <w:rsid w:val="005F31D7"/>
    <w:rsid w:val="005F3AA3"/>
    <w:rsid w:val="005F537F"/>
    <w:rsid w:val="005F5931"/>
    <w:rsid w:val="005F7D07"/>
    <w:rsid w:val="0060020D"/>
    <w:rsid w:val="00602794"/>
    <w:rsid w:val="00604135"/>
    <w:rsid w:val="006058CB"/>
    <w:rsid w:val="0060733C"/>
    <w:rsid w:val="0061140B"/>
    <w:rsid w:val="00612B94"/>
    <w:rsid w:val="00613453"/>
    <w:rsid w:val="0061470B"/>
    <w:rsid w:val="00616AE1"/>
    <w:rsid w:val="00617F6B"/>
    <w:rsid w:val="0062067C"/>
    <w:rsid w:val="006214AD"/>
    <w:rsid w:val="0062541F"/>
    <w:rsid w:val="00625863"/>
    <w:rsid w:val="006260E5"/>
    <w:rsid w:val="0062647B"/>
    <w:rsid w:val="00627ADB"/>
    <w:rsid w:val="00627B69"/>
    <w:rsid w:val="00631A5D"/>
    <w:rsid w:val="00633754"/>
    <w:rsid w:val="00635E85"/>
    <w:rsid w:val="006371FF"/>
    <w:rsid w:val="006436A7"/>
    <w:rsid w:val="00643DD9"/>
    <w:rsid w:val="00644A75"/>
    <w:rsid w:val="006472A0"/>
    <w:rsid w:val="00651512"/>
    <w:rsid w:val="00654956"/>
    <w:rsid w:val="00654DE7"/>
    <w:rsid w:val="0065533C"/>
    <w:rsid w:val="00656A9D"/>
    <w:rsid w:val="00656F5E"/>
    <w:rsid w:val="00662CBC"/>
    <w:rsid w:val="006700A9"/>
    <w:rsid w:val="00670127"/>
    <w:rsid w:val="0067038D"/>
    <w:rsid w:val="00671A6A"/>
    <w:rsid w:val="00672AAA"/>
    <w:rsid w:val="00673F0C"/>
    <w:rsid w:val="00676A38"/>
    <w:rsid w:val="00680098"/>
    <w:rsid w:val="00680957"/>
    <w:rsid w:val="00682CFC"/>
    <w:rsid w:val="00683B13"/>
    <w:rsid w:val="00686216"/>
    <w:rsid w:val="00686325"/>
    <w:rsid w:val="00686EC4"/>
    <w:rsid w:val="00687063"/>
    <w:rsid w:val="00690FFC"/>
    <w:rsid w:val="00691425"/>
    <w:rsid w:val="00695E17"/>
    <w:rsid w:val="00696763"/>
    <w:rsid w:val="00696D1D"/>
    <w:rsid w:val="0069734A"/>
    <w:rsid w:val="006A139A"/>
    <w:rsid w:val="006A1939"/>
    <w:rsid w:val="006A303A"/>
    <w:rsid w:val="006A4427"/>
    <w:rsid w:val="006A45A4"/>
    <w:rsid w:val="006A45AE"/>
    <w:rsid w:val="006A5C3E"/>
    <w:rsid w:val="006B0367"/>
    <w:rsid w:val="006B147C"/>
    <w:rsid w:val="006B1E00"/>
    <w:rsid w:val="006B202A"/>
    <w:rsid w:val="006B4802"/>
    <w:rsid w:val="006B4D34"/>
    <w:rsid w:val="006B5097"/>
    <w:rsid w:val="006B5516"/>
    <w:rsid w:val="006B5D36"/>
    <w:rsid w:val="006B5E7D"/>
    <w:rsid w:val="006B7A09"/>
    <w:rsid w:val="006C42CE"/>
    <w:rsid w:val="006C51DA"/>
    <w:rsid w:val="006C5486"/>
    <w:rsid w:val="006C592D"/>
    <w:rsid w:val="006C5D93"/>
    <w:rsid w:val="006C748B"/>
    <w:rsid w:val="006C74B3"/>
    <w:rsid w:val="006D209C"/>
    <w:rsid w:val="006D3791"/>
    <w:rsid w:val="006D465F"/>
    <w:rsid w:val="006D46A6"/>
    <w:rsid w:val="006D4B56"/>
    <w:rsid w:val="006D7209"/>
    <w:rsid w:val="006E11C9"/>
    <w:rsid w:val="006E31AE"/>
    <w:rsid w:val="006E4984"/>
    <w:rsid w:val="006E5E71"/>
    <w:rsid w:val="006F32BF"/>
    <w:rsid w:val="006F38F6"/>
    <w:rsid w:val="006F3989"/>
    <w:rsid w:val="006F3DB1"/>
    <w:rsid w:val="006F4219"/>
    <w:rsid w:val="006F55D6"/>
    <w:rsid w:val="006F575A"/>
    <w:rsid w:val="00700A73"/>
    <w:rsid w:val="007015E9"/>
    <w:rsid w:val="00702A10"/>
    <w:rsid w:val="0070484E"/>
    <w:rsid w:val="00704ED8"/>
    <w:rsid w:val="0070601C"/>
    <w:rsid w:val="00706C45"/>
    <w:rsid w:val="00707008"/>
    <w:rsid w:val="00710993"/>
    <w:rsid w:val="00712884"/>
    <w:rsid w:val="00713C6D"/>
    <w:rsid w:val="00715090"/>
    <w:rsid w:val="00715379"/>
    <w:rsid w:val="0071587A"/>
    <w:rsid w:val="007159EB"/>
    <w:rsid w:val="007160E0"/>
    <w:rsid w:val="00716E3F"/>
    <w:rsid w:val="00717DE7"/>
    <w:rsid w:val="00720629"/>
    <w:rsid w:val="00720B16"/>
    <w:rsid w:val="007219C5"/>
    <w:rsid w:val="007223FC"/>
    <w:rsid w:val="00723E51"/>
    <w:rsid w:val="00725F23"/>
    <w:rsid w:val="007267EB"/>
    <w:rsid w:val="0072737A"/>
    <w:rsid w:val="00730159"/>
    <w:rsid w:val="00730AC8"/>
    <w:rsid w:val="00730C0D"/>
    <w:rsid w:val="0073129C"/>
    <w:rsid w:val="007339DB"/>
    <w:rsid w:val="007356FC"/>
    <w:rsid w:val="00735CE3"/>
    <w:rsid w:val="00736DD5"/>
    <w:rsid w:val="0074032D"/>
    <w:rsid w:val="0074101E"/>
    <w:rsid w:val="0074150A"/>
    <w:rsid w:val="00741FEC"/>
    <w:rsid w:val="007433D3"/>
    <w:rsid w:val="00743A86"/>
    <w:rsid w:val="00743F1B"/>
    <w:rsid w:val="0074430F"/>
    <w:rsid w:val="007448B9"/>
    <w:rsid w:val="007468E9"/>
    <w:rsid w:val="00746BED"/>
    <w:rsid w:val="00747D71"/>
    <w:rsid w:val="00750288"/>
    <w:rsid w:val="00751BF1"/>
    <w:rsid w:val="007537F1"/>
    <w:rsid w:val="00756643"/>
    <w:rsid w:val="007567FF"/>
    <w:rsid w:val="00756DA9"/>
    <w:rsid w:val="0075794D"/>
    <w:rsid w:val="007608C8"/>
    <w:rsid w:val="00761696"/>
    <w:rsid w:val="00761834"/>
    <w:rsid w:val="00761D56"/>
    <w:rsid w:val="007620D8"/>
    <w:rsid w:val="007631A8"/>
    <w:rsid w:val="0076420A"/>
    <w:rsid w:val="0076492F"/>
    <w:rsid w:val="00764D0F"/>
    <w:rsid w:val="00764ED5"/>
    <w:rsid w:val="007665AE"/>
    <w:rsid w:val="007665E7"/>
    <w:rsid w:val="00767809"/>
    <w:rsid w:val="00773845"/>
    <w:rsid w:val="0077605D"/>
    <w:rsid w:val="00780896"/>
    <w:rsid w:val="00780E48"/>
    <w:rsid w:val="00780FF2"/>
    <w:rsid w:val="007815A1"/>
    <w:rsid w:val="00783BF6"/>
    <w:rsid w:val="0078501F"/>
    <w:rsid w:val="00785229"/>
    <w:rsid w:val="00791744"/>
    <w:rsid w:val="0079186B"/>
    <w:rsid w:val="007919EE"/>
    <w:rsid w:val="00793312"/>
    <w:rsid w:val="00794B5C"/>
    <w:rsid w:val="00796A9E"/>
    <w:rsid w:val="00796D05"/>
    <w:rsid w:val="00797687"/>
    <w:rsid w:val="007A0BE3"/>
    <w:rsid w:val="007A25AF"/>
    <w:rsid w:val="007A30A5"/>
    <w:rsid w:val="007A4E36"/>
    <w:rsid w:val="007A5FB9"/>
    <w:rsid w:val="007A664A"/>
    <w:rsid w:val="007A70C6"/>
    <w:rsid w:val="007B11D0"/>
    <w:rsid w:val="007B1CB5"/>
    <w:rsid w:val="007B27E9"/>
    <w:rsid w:val="007B2987"/>
    <w:rsid w:val="007B6A8F"/>
    <w:rsid w:val="007B70D3"/>
    <w:rsid w:val="007C1116"/>
    <w:rsid w:val="007C3AA6"/>
    <w:rsid w:val="007C4EF2"/>
    <w:rsid w:val="007C55D4"/>
    <w:rsid w:val="007D093F"/>
    <w:rsid w:val="007D0BE8"/>
    <w:rsid w:val="007D0D6D"/>
    <w:rsid w:val="007D36CA"/>
    <w:rsid w:val="007D4C02"/>
    <w:rsid w:val="007D5920"/>
    <w:rsid w:val="007D6496"/>
    <w:rsid w:val="007D6731"/>
    <w:rsid w:val="007D6837"/>
    <w:rsid w:val="007D7001"/>
    <w:rsid w:val="007D782F"/>
    <w:rsid w:val="007D7E87"/>
    <w:rsid w:val="007E1666"/>
    <w:rsid w:val="007E1ECC"/>
    <w:rsid w:val="007E2A09"/>
    <w:rsid w:val="007E40DD"/>
    <w:rsid w:val="007E4D5F"/>
    <w:rsid w:val="007E5A59"/>
    <w:rsid w:val="007E7C73"/>
    <w:rsid w:val="007F0225"/>
    <w:rsid w:val="007F0AC8"/>
    <w:rsid w:val="007F10CE"/>
    <w:rsid w:val="007F167C"/>
    <w:rsid w:val="007F2066"/>
    <w:rsid w:val="007F2B93"/>
    <w:rsid w:val="007F4005"/>
    <w:rsid w:val="007F64E9"/>
    <w:rsid w:val="007F7EFE"/>
    <w:rsid w:val="007F7F51"/>
    <w:rsid w:val="0080100B"/>
    <w:rsid w:val="00801BBC"/>
    <w:rsid w:val="00802684"/>
    <w:rsid w:val="00804380"/>
    <w:rsid w:val="00804490"/>
    <w:rsid w:val="00805CED"/>
    <w:rsid w:val="00805FBA"/>
    <w:rsid w:val="00806655"/>
    <w:rsid w:val="00806B2A"/>
    <w:rsid w:val="008071EA"/>
    <w:rsid w:val="00810DA4"/>
    <w:rsid w:val="00813597"/>
    <w:rsid w:val="00814221"/>
    <w:rsid w:val="00814A29"/>
    <w:rsid w:val="00825793"/>
    <w:rsid w:val="008259B8"/>
    <w:rsid w:val="00825ADA"/>
    <w:rsid w:val="00825DEA"/>
    <w:rsid w:val="0082667C"/>
    <w:rsid w:val="008269BB"/>
    <w:rsid w:val="00827362"/>
    <w:rsid w:val="008279A8"/>
    <w:rsid w:val="00827E59"/>
    <w:rsid w:val="0083160C"/>
    <w:rsid w:val="0083338A"/>
    <w:rsid w:val="00833923"/>
    <w:rsid w:val="00834848"/>
    <w:rsid w:val="00834CDA"/>
    <w:rsid w:val="0083568E"/>
    <w:rsid w:val="00835A8D"/>
    <w:rsid w:val="008362EF"/>
    <w:rsid w:val="008367C0"/>
    <w:rsid w:val="00840F68"/>
    <w:rsid w:val="00841F00"/>
    <w:rsid w:val="00843EBB"/>
    <w:rsid w:val="008443EB"/>
    <w:rsid w:val="00844E1C"/>
    <w:rsid w:val="00847A9C"/>
    <w:rsid w:val="00855674"/>
    <w:rsid w:val="0086291A"/>
    <w:rsid w:val="00862D4F"/>
    <w:rsid w:val="00871456"/>
    <w:rsid w:val="00871856"/>
    <w:rsid w:val="008729F2"/>
    <w:rsid w:val="00872ABA"/>
    <w:rsid w:val="00872FCE"/>
    <w:rsid w:val="00874EBD"/>
    <w:rsid w:val="008761FC"/>
    <w:rsid w:val="00877D2F"/>
    <w:rsid w:val="008800C1"/>
    <w:rsid w:val="00881137"/>
    <w:rsid w:val="00882933"/>
    <w:rsid w:val="00883A75"/>
    <w:rsid w:val="00883F98"/>
    <w:rsid w:val="00884396"/>
    <w:rsid w:val="008843FC"/>
    <w:rsid w:val="008862BD"/>
    <w:rsid w:val="00886A92"/>
    <w:rsid w:val="008917E7"/>
    <w:rsid w:val="008962E9"/>
    <w:rsid w:val="0089653C"/>
    <w:rsid w:val="00896CA9"/>
    <w:rsid w:val="0089766E"/>
    <w:rsid w:val="00897AEF"/>
    <w:rsid w:val="008A0DE6"/>
    <w:rsid w:val="008A1FF5"/>
    <w:rsid w:val="008A233D"/>
    <w:rsid w:val="008A237E"/>
    <w:rsid w:val="008A447D"/>
    <w:rsid w:val="008A4AF5"/>
    <w:rsid w:val="008A4EFA"/>
    <w:rsid w:val="008A62A5"/>
    <w:rsid w:val="008A6ECD"/>
    <w:rsid w:val="008A74CD"/>
    <w:rsid w:val="008A7E2E"/>
    <w:rsid w:val="008B3124"/>
    <w:rsid w:val="008B5749"/>
    <w:rsid w:val="008B6744"/>
    <w:rsid w:val="008B6930"/>
    <w:rsid w:val="008B72A5"/>
    <w:rsid w:val="008B7762"/>
    <w:rsid w:val="008C0421"/>
    <w:rsid w:val="008C1918"/>
    <w:rsid w:val="008C1A51"/>
    <w:rsid w:val="008C2A4A"/>
    <w:rsid w:val="008C2F29"/>
    <w:rsid w:val="008C421B"/>
    <w:rsid w:val="008C4AD0"/>
    <w:rsid w:val="008C6B30"/>
    <w:rsid w:val="008D3033"/>
    <w:rsid w:val="008D493B"/>
    <w:rsid w:val="008D4A7C"/>
    <w:rsid w:val="008D51DA"/>
    <w:rsid w:val="008D53A9"/>
    <w:rsid w:val="008D5615"/>
    <w:rsid w:val="008D5F0D"/>
    <w:rsid w:val="008D683A"/>
    <w:rsid w:val="008E0359"/>
    <w:rsid w:val="008E0805"/>
    <w:rsid w:val="008E0FFB"/>
    <w:rsid w:val="008E12B9"/>
    <w:rsid w:val="008E2B4D"/>
    <w:rsid w:val="008E3094"/>
    <w:rsid w:val="008E3295"/>
    <w:rsid w:val="008E55EA"/>
    <w:rsid w:val="008E5926"/>
    <w:rsid w:val="008E75C5"/>
    <w:rsid w:val="008E7887"/>
    <w:rsid w:val="008E7E6E"/>
    <w:rsid w:val="008F1194"/>
    <w:rsid w:val="008F1884"/>
    <w:rsid w:val="008F237A"/>
    <w:rsid w:val="008F2796"/>
    <w:rsid w:val="008F34D3"/>
    <w:rsid w:val="008F6A2F"/>
    <w:rsid w:val="008F6B5E"/>
    <w:rsid w:val="008F755E"/>
    <w:rsid w:val="008F79D0"/>
    <w:rsid w:val="009008B1"/>
    <w:rsid w:val="00902015"/>
    <w:rsid w:val="00903531"/>
    <w:rsid w:val="00904A65"/>
    <w:rsid w:val="00905793"/>
    <w:rsid w:val="00907263"/>
    <w:rsid w:val="009123F6"/>
    <w:rsid w:val="00913E2A"/>
    <w:rsid w:val="0091468D"/>
    <w:rsid w:val="0091475E"/>
    <w:rsid w:val="009163B6"/>
    <w:rsid w:val="00916B61"/>
    <w:rsid w:val="00917ED2"/>
    <w:rsid w:val="00917F42"/>
    <w:rsid w:val="009205E3"/>
    <w:rsid w:val="009217A9"/>
    <w:rsid w:val="00922F29"/>
    <w:rsid w:val="009231E6"/>
    <w:rsid w:val="0092352C"/>
    <w:rsid w:val="00924926"/>
    <w:rsid w:val="00924ED9"/>
    <w:rsid w:val="009277E9"/>
    <w:rsid w:val="0093042C"/>
    <w:rsid w:val="00931316"/>
    <w:rsid w:val="00933086"/>
    <w:rsid w:val="00934A0F"/>
    <w:rsid w:val="009350E8"/>
    <w:rsid w:val="00935CA2"/>
    <w:rsid w:val="00937ED6"/>
    <w:rsid w:val="009406E7"/>
    <w:rsid w:val="00940B04"/>
    <w:rsid w:val="00944AB3"/>
    <w:rsid w:val="009465F6"/>
    <w:rsid w:val="009469A2"/>
    <w:rsid w:val="00950141"/>
    <w:rsid w:val="00950802"/>
    <w:rsid w:val="00950FC7"/>
    <w:rsid w:val="00951D07"/>
    <w:rsid w:val="00953FB3"/>
    <w:rsid w:val="0095455D"/>
    <w:rsid w:val="0095482D"/>
    <w:rsid w:val="009563AA"/>
    <w:rsid w:val="009623A4"/>
    <w:rsid w:val="00963229"/>
    <w:rsid w:val="0096515A"/>
    <w:rsid w:val="00965BC8"/>
    <w:rsid w:val="00965C79"/>
    <w:rsid w:val="00966601"/>
    <w:rsid w:val="00967094"/>
    <w:rsid w:val="00967DCB"/>
    <w:rsid w:val="00970079"/>
    <w:rsid w:val="009700A9"/>
    <w:rsid w:val="00970A79"/>
    <w:rsid w:val="00973C9C"/>
    <w:rsid w:val="009752BD"/>
    <w:rsid w:val="009758CF"/>
    <w:rsid w:val="0098672A"/>
    <w:rsid w:val="00990141"/>
    <w:rsid w:val="00990D6F"/>
    <w:rsid w:val="0099157D"/>
    <w:rsid w:val="00993A67"/>
    <w:rsid w:val="00994D7F"/>
    <w:rsid w:val="009962A0"/>
    <w:rsid w:val="0099644E"/>
    <w:rsid w:val="00996F8C"/>
    <w:rsid w:val="009A0627"/>
    <w:rsid w:val="009A0875"/>
    <w:rsid w:val="009A24C3"/>
    <w:rsid w:val="009A44CB"/>
    <w:rsid w:val="009A454D"/>
    <w:rsid w:val="009A472B"/>
    <w:rsid w:val="009A5C14"/>
    <w:rsid w:val="009A7763"/>
    <w:rsid w:val="009A7A9E"/>
    <w:rsid w:val="009A7B95"/>
    <w:rsid w:val="009B05E8"/>
    <w:rsid w:val="009B05F1"/>
    <w:rsid w:val="009B126C"/>
    <w:rsid w:val="009B2CF2"/>
    <w:rsid w:val="009B45E7"/>
    <w:rsid w:val="009B493A"/>
    <w:rsid w:val="009B4DE3"/>
    <w:rsid w:val="009B62CB"/>
    <w:rsid w:val="009B6612"/>
    <w:rsid w:val="009B6A55"/>
    <w:rsid w:val="009C158C"/>
    <w:rsid w:val="009C196E"/>
    <w:rsid w:val="009C3B52"/>
    <w:rsid w:val="009C4A6F"/>
    <w:rsid w:val="009C55F9"/>
    <w:rsid w:val="009C6025"/>
    <w:rsid w:val="009D161B"/>
    <w:rsid w:val="009D18A0"/>
    <w:rsid w:val="009D1EF0"/>
    <w:rsid w:val="009D478F"/>
    <w:rsid w:val="009D479C"/>
    <w:rsid w:val="009D5125"/>
    <w:rsid w:val="009D705F"/>
    <w:rsid w:val="009D7772"/>
    <w:rsid w:val="009D7E79"/>
    <w:rsid w:val="009E0B76"/>
    <w:rsid w:val="009E1143"/>
    <w:rsid w:val="009E2925"/>
    <w:rsid w:val="009E409E"/>
    <w:rsid w:val="009E63C4"/>
    <w:rsid w:val="009E7131"/>
    <w:rsid w:val="009F0065"/>
    <w:rsid w:val="009F0651"/>
    <w:rsid w:val="009F0908"/>
    <w:rsid w:val="009F1BCB"/>
    <w:rsid w:val="009F2488"/>
    <w:rsid w:val="009F3650"/>
    <w:rsid w:val="009F6E81"/>
    <w:rsid w:val="009F7321"/>
    <w:rsid w:val="00A00194"/>
    <w:rsid w:val="00A001C6"/>
    <w:rsid w:val="00A00244"/>
    <w:rsid w:val="00A02BF2"/>
    <w:rsid w:val="00A031F9"/>
    <w:rsid w:val="00A05A0B"/>
    <w:rsid w:val="00A05E0C"/>
    <w:rsid w:val="00A070DA"/>
    <w:rsid w:val="00A12FE6"/>
    <w:rsid w:val="00A14944"/>
    <w:rsid w:val="00A2017E"/>
    <w:rsid w:val="00A2337E"/>
    <w:rsid w:val="00A24A28"/>
    <w:rsid w:val="00A24FA6"/>
    <w:rsid w:val="00A2547A"/>
    <w:rsid w:val="00A261BA"/>
    <w:rsid w:val="00A26D65"/>
    <w:rsid w:val="00A37578"/>
    <w:rsid w:val="00A403A8"/>
    <w:rsid w:val="00A404B2"/>
    <w:rsid w:val="00A406D2"/>
    <w:rsid w:val="00A41901"/>
    <w:rsid w:val="00A428F3"/>
    <w:rsid w:val="00A44630"/>
    <w:rsid w:val="00A446D4"/>
    <w:rsid w:val="00A4582E"/>
    <w:rsid w:val="00A466C5"/>
    <w:rsid w:val="00A472C5"/>
    <w:rsid w:val="00A50CD1"/>
    <w:rsid w:val="00A513F1"/>
    <w:rsid w:val="00A528CC"/>
    <w:rsid w:val="00A52EF0"/>
    <w:rsid w:val="00A5472F"/>
    <w:rsid w:val="00A54C4F"/>
    <w:rsid w:val="00A560DE"/>
    <w:rsid w:val="00A565E9"/>
    <w:rsid w:val="00A56F02"/>
    <w:rsid w:val="00A57FD5"/>
    <w:rsid w:val="00A61B87"/>
    <w:rsid w:val="00A62028"/>
    <w:rsid w:val="00A6320B"/>
    <w:rsid w:val="00A640E4"/>
    <w:rsid w:val="00A6444C"/>
    <w:rsid w:val="00A64491"/>
    <w:rsid w:val="00A66DA4"/>
    <w:rsid w:val="00A7441C"/>
    <w:rsid w:val="00A75036"/>
    <w:rsid w:val="00A7606A"/>
    <w:rsid w:val="00A7702A"/>
    <w:rsid w:val="00A80332"/>
    <w:rsid w:val="00A80D18"/>
    <w:rsid w:val="00A84413"/>
    <w:rsid w:val="00A85069"/>
    <w:rsid w:val="00A851D3"/>
    <w:rsid w:val="00A85C99"/>
    <w:rsid w:val="00A86059"/>
    <w:rsid w:val="00A8682A"/>
    <w:rsid w:val="00A86B8B"/>
    <w:rsid w:val="00A877EA"/>
    <w:rsid w:val="00A90434"/>
    <w:rsid w:val="00A90848"/>
    <w:rsid w:val="00A90D5D"/>
    <w:rsid w:val="00A919A8"/>
    <w:rsid w:val="00A94817"/>
    <w:rsid w:val="00A95E04"/>
    <w:rsid w:val="00A9702D"/>
    <w:rsid w:val="00AA084D"/>
    <w:rsid w:val="00AA09CE"/>
    <w:rsid w:val="00AA109A"/>
    <w:rsid w:val="00AA184D"/>
    <w:rsid w:val="00AA21D4"/>
    <w:rsid w:val="00AA3ADF"/>
    <w:rsid w:val="00AA4945"/>
    <w:rsid w:val="00AA4F18"/>
    <w:rsid w:val="00AA7490"/>
    <w:rsid w:val="00AA7EB9"/>
    <w:rsid w:val="00AB0321"/>
    <w:rsid w:val="00AB21EA"/>
    <w:rsid w:val="00AB29DA"/>
    <w:rsid w:val="00AB2D5C"/>
    <w:rsid w:val="00AB3BFD"/>
    <w:rsid w:val="00AB51C0"/>
    <w:rsid w:val="00AB538D"/>
    <w:rsid w:val="00AB70F7"/>
    <w:rsid w:val="00AC12F5"/>
    <w:rsid w:val="00AC1749"/>
    <w:rsid w:val="00AC2A9D"/>
    <w:rsid w:val="00AC56CE"/>
    <w:rsid w:val="00AC59CF"/>
    <w:rsid w:val="00AC604F"/>
    <w:rsid w:val="00AC6C89"/>
    <w:rsid w:val="00AC71B2"/>
    <w:rsid w:val="00AD2F15"/>
    <w:rsid w:val="00AD34FD"/>
    <w:rsid w:val="00AD4224"/>
    <w:rsid w:val="00AD4E75"/>
    <w:rsid w:val="00AD6DC7"/>
    <w:rsid w:val="00AD74C8"/>
    <w:rsid w:val="00AE3181"/>
    <w:rsid w:val="00AE357C"/>
    <w:rsid w:val="00AE6795"/>
    <w:rsid w:val="00AE6ED6"/>
    <w:rsid w:val="00AE7EDF"/>
    <w:rsid w:val="00AF0768"/>
    <w:rsid w:val="00AF07F9"/>
    <w:rsid w:val="00AF143D"/>
    <w:rsid w:val="00AF165B"/>
    <w:rsid w:val="00AF16C9"/>
    <w:rsid w:val="00AF3257"/>
    <w:rsid w:val="00AF4186"/>
    <w:rsid w:val="00B01969"/>
    <w:rsid w:val="00B04BED"/>
    <w:rsid w:val="00B06EDD"/>
    <w:rsid w:val="00B10470"/>
    <w:rsid w:val="00B10AEC"/>
    <w:rsid w:val="00B12515"/>
    <w:rsid w:val="00B1367C"/>
    <w:rsid w:val="00B16963"/>
    <w:rsid w:val="00B2044E"/>
    <w:rsid w:val="00B234B3"/>
    <w:rsid w:val="00B24FA2"/>
    <w:rsid w:val="00B27D31"/>
    <w:rsid w:val="00B30BB7"/>
    <w:rsid w:val="00B3130A"/>
    <w:rsid w:val="00B320FF"/>
    <w:rsid w:val="00B32B9E"/>
    <w:rsid w:val="00B32FB1"/>
    <w:rsid w:val="00B33766"/>
    <w:rsid w:val="00B35AFE"/>
    <w:rsid w:val="00B40329"/>
    <w:rsid w:val="00B40649"/>
    <w:rsid w:val="00B40B8D"/>
    <w:rsid w:val="00B4103B"/>
    <w:rsid w:val="00B432A2"/>
    <w:rsid w:val="00B45440"/>
    <w:rsid w:val="00B4736B"/>
    <w:rsid w:val="00B52150"/>
    <w:rsid w:val="00B53BE1"/>
    <w:rsid w:val="00B5466A"/>
    <w:rsid w:val="00B546E5"/>
    <w:rsid w:val="00B54E07"/>
    <w:rsid w:val="00B565C8"/>
    <w:rsid w:val="00B56E68"/>
    <w:rsid w:val="00B575ED"/>
    <w:rsid w:val="00B57F78"/>
    <w:rsid w:val="00B62EFE"/>
    <w:rsid w:val="00B62F9E"/>
    <w:rsid w:val="00B6326B"/>
    <w:rsid w:val="00B6556B"/>
    <w:rsid w:val="00B66F7A"/>
    <w:rsid w:val="00B67ED0"/>
    <w:rsid w:val="00B70E53"/>
    <w:rsid w:val="00B71451"/>
    <w:rsid w:val="00B74278"/>
    <w:rsid w:val="00B74705"/>
    <w:rsid w:val="00B74730"/>
    <w:rsid w:val="00B75149"/>
    <w:rsid w:val="00B803D6"/>
    <w:rsid w:val="00B83257"/>
    <w:rsid w:val="00B903E3"/>
    <w:rsid w:val="00B911C2"/>
    <w:rsid w:val="00B91DF8"/>
    <w:rsid w:val="00B93396"/>
    <w:rsid w:val="00B94FBA"/>
    <w:rsid w:val="00B95300"/>
    <w:rsid w:val="00B9543E"/>
    <w:rsid w:val="00B9594C"/>
    <w:rsid w:val="00B96F03"/>
    <w:rsid w:val="00B9734C"/>
    <w:rsid w:val="00BA0B05"/>
    <w:rsid w:val="00BA1C6F"/>
    <w:rsid w:val="00BA314C"/>
    <w:rsid w:val="00BA6C1F"/>
    <w:rsid w:val="00BA6D21"/>
    <w:rsid w:val="00BB1E94"/>
    <w:rsid w:val="00BB57F4"/>
    <w:rsid w:val="00BB64DA"/>
    <w:rsid w:val="00BB7712"/>
    <w:rsid w:val="00BC177D"/>
    <w:rsid w:val="00BC1A41"/>
    <w:rsid w:val="00BC2114"/>
    <w:rsid w:val="00BC2908"/>
    <w:rsid w:val="00BC3FC3"/>
    <w:rsid w:val="00BC5224"/>
    <w:rsid w:val="00BC6BAB"/>
    <w:rsid w:val="00BC6FDF"/>
    <w:rsid w:val="00BC7AE4"/>
    <w:rsid w:val="00BC7D79"/>
    <w:rsid w:val="00BD02DD"/>
    <w:rsid w:val="00BD09E2"/>
    <w:rsid w:val="00BD4A4B"/>
    <w:rsid w:val="00BD4C27"/>
    <w:rsid w:val="00BD626E"/>
    <w:rsid w:val="00BD6E92"/>
    <w:rsid w:val="00BE05BB"/>
    <w:rsid w:val="00BE0F25"/>
    <w:rsid w:val="00BE207E"/>
    <w:rsid w:val="00BE274E"/>
    <w:rsid w:val="00BE336C"/>
    <w:rsid w:val="00BE4D2C"/>
    <w:rsid w:val="00BE5519"/>
    <w:rsid w:val="00BE7988"/>
    <w:rsid w:val="00BE7F6B"/>
    <w:rsid w:val="00BF0382"/>
    <w:rsid w:val="00BF082E"/>
    <w:rsid w:val="00BF0FC4"/>
    <w:rsid w:val="00BF1E0A"/>
    <w:rsid w:val="00BF27E9"/>
    <w:rsid w:val="00BF6F76"/>
    <w:rsid w:val="00C02978"/>
    <w:rsid w:val="00C034A9"/>
    <w:rsid w:val="00C03859"/>
    <w:rsid w:val="00C03DBF"/>
    <w:rsid w:val="00C04FA0"/>
    <w:rsid w:val="00C05E01"/>
    <w:rsid w:val="00C05E42"/>
    <w:rsid w:val="00C06075"/>
    <w:rsid w:val="00C063F1"/>
    <w:rsid w:val="00C078BD"/>
    <w:rsid w:val="00C104A8"/>
    <w:rsid w:val="00C13805"/>
    <w:rsid w:val="00C15CA6"/>
    <w:rsid w:val="00C16807"/>
    <w:rsid w:val="00C2025F"/>
    <w:rsid w:val="00C214FA"/>
    <w:rsid w:val="00C2167D"/>
    <w:rsid w:val="00C21BCC"/>
    <w:rsid w:val="00C228FA"/>
    <w:rsid w:val="00C23C07"/>
    <w:rsid w:val="00C2403A"/>
    <w:rsid w:val="00C24CC2"/>
    <w:rsid w:val="00C24DAA"/>
    <w:rsid w:val="00C266D3"/>
    <w:rsid w:val="00C266DA"/>
    <w:rsid w:val="00C26FE9"/>
    <w:rsid w:val="00C27BD3"/>
    <w:rsid w:val="00C27D03"/>
    <w:rsid w:val="00C31095"/>
    <w:rsid w:val="00C31607"/>
    <w:rsid w:val="00C32321"/>
    <w:rsid w:val="00C32332"/>
    <w:rsid w:val="00C349F0"/>
    <w:rsid w:val="00C34A1E"/>
    <w:rsid w:val="00C3720B"/>
    <w:rsid w:val="00C41423"/>
    <w:rsid w:val="00C43335"/>
    <w:rsid w:val="00C4334F"/>
    <w:rsid w:val="00C4434A"/>
    <w:rsid w:val="00C44974"/>
    <w:rsid w:val="00C44E9E"/>
    <w:rsid w:val="00C46098"/>
    <w:rsid w:val="00C46439"/>
    <w:rsid w:val="00C46B32"/>
    <w:rsid w:val="00C47A26"/>
    <w:rsid w:val="00C50E1F"/>
    <w:rsid w:val="00C516EC"/>
    <w:rsid w:val="00C53DC9"/>
    <w:rsid w:val="00C571A9"/>
    <w:rsid w:val="00C57A73"/>
    <w:rsid w:val="00C615A7"/>
    <w:rsid w:val="00C616BF"/>
    <w:rsid w:val="00C62C5D"/>
    <w:rsid w:val="00C64873"/>
    <w:rsid w:val="00C65A0A"/>
    <w:rsid w:val="00C66628"/>
    <w:rsid w:val="00C72E4C"/>
    <w:rsid w:val="00C73961"/>
    <w:rsid w:val="00C7422F"/>
    <w:rsid w:val="00C751BF"/>
    <w:rsid w:val="00C7651A"/>
    <w:rsid w:val="00C77280"/>
    <w:rsid w:val="00C812AA"/>
    <w:rsid w:val="00C81AD1"/>
    <w:rsid w:val="00C83111"/>
    <w:rsid w:val="00C84265"/>
    <w:rsid w:val="00C84ED5"/>
    <w:rsid w:val="00C9070B"/>
    <w:rsid w:val="00C94791"/>
    <w:rsid w:val="00C96465"/>
    <w:rsid w:val="00C96D0A"/>
    <w:rsid w:val="00CA001B"/>
    <w:rsid w:val="00CA01AD"/>
    <w:rsid w:val="00CA1A52"/>
    <w:rsid w:val="00CA2625"/>
    <w:rsid w:val="00CA3024"/>
    <w:rsid w:val="00CA3E46"/>
    <w:rsid w:val="00CA5475"/>
    <w:rsid w:val="00CA6FE3"/>
    <w:rsid w:val="00CB19DA"/>
    <w:rsid w:val="00CB1BF5"/>
    <w:rsid w:val="00CB3AF4"/>
    <w:rsid w:val="00CB3F45"/>
    <w:rsid w:val="00CB40A0"/>
    <w:rsid w:val="00CB44F6"/>
    <w:rsid w:val="00CB51FF"/>
    <w:rsid w:val="00CB7F06"/>
    <w:rsid w:val="00CC0334"/>
    <w:rsid w:val="00CC1692"/>
    <w:rsid w:val="00CC1B8B"/>
    <w:rsid w:val="00CC1DF5"/>
    <w:rsid w:val="00CC3A59"/>
    <w:rsid w:val="00CC4253"/>
    <w:rsid w:val="00CC4804"/>
    <w:rsid w:val="00CC5133"/>
    <w:rsid w:val="00CC59AB"/>
    <w:rsid w:val="00CC5F27"/>
    <w:rsid w:val="00CC63FE"/>
    <w:rsid w:val="00CC7437"/>
    <w:rsid w:val="00CD1841"/>
    <w:rsid w:val="00CD20E1"/>
    <w:rsid w:val="00CD3BBB"/>
    <w:rsid w:val="00CD3C54"/>
    <w:rsid w:val="00CD492D"/>
    <w:rsid w:val="00CE204E"/>
    <w:rsid w:val="00CE3521"/>
    <w:rsid w:val="00CE3BC2"/>
    <w:rsid w:val="00CE5723"/>
    <w:rsid w:val="00CE6ED8"/>
    <w:rsid w:val="00CE74C3"/>
    <w:rsid w:val="00CF1168"/>
    <w:rsid w:val="00CF1C88"/>
    <w:rsid w:val="00CF3FC7"/>
    <w:rsid w:val="00CF4841"/>
    <w:rsid w:val="00CF5493"/>
    <w:rsid w:val="00CF67D8"/>
    <w:rsid w:val="00CF694E"/>
    <w:rsid w:val="00CF6BF4"/>
    <w:rsid w:val="00CF7DE9"/>
    <w:rsid w:val="00D01398"/>
    <w:rsid w:val="00D0189D"/>
    <w:rsid w:val="00D04528"/>
    <w:rsid w:val="00D050BA"/>
    <w:rsid w:val="00D05E32"/>
    <w:rsid w:val="00D06FC6"/>
    <w:rsid w:val="00D106A3"/>
    <w:rsid w:val="00D11CE7"/>
    <w:rsid w:val="00D12281"/>
    <w:rsid w:val="00D13764"/>
    <w:rsid w:val="00D137C2"/>
    <w:rsid w:val="00D14D03"/>
    <w:rsid w:val="00D174F0"/>
    <w:rsid w:val="00D17707"/>
    <w:rsid w:val="00D22CDE"/>
    <w:rsid w:val="00D26B1B"/>
    <w:rsid w:val="00D2713F"/>
    <w:rsid w:val="00D2772F"/>
    <w:rsid w:val="00D3079F"/>
    <w:rsid w:val="00D30C5E"/>
    <w:rsid w:val="00D3100A"/>
    <w:rsid w:val="00D312EB"/>
    <w:rsid w:val="00D3348F"/>
    <w:rsid w:val="00D3413F"/>
    <w:rsid w:val="00D3483B"/>
    <w:rsid w:val="00D3497A"/>
    <w:rsid w:val="00D373B0"/>
    <w:rsid w:val="00D40C75"/>
    <w:rsid w:val="00D40F22"/>
    <w:rsid w:val="00D4142C"/>
    <w:rsid w:val="00D4229B"/>
    <w:rsid w:val="00D42F0B"/>
    <w:rsid w:val="00D45C32"/>
    <w:rsid w:val="00D462AD"/>
    <w:rsid w:val="00D46FF7"/>
    <w:rsid w:val="00D47AD5"/>
    <w:rsid w:val="00D47D4C"/>
    <w:rsid w:val="00D518C3"/>
    <w:rsid w:val="00D51C09"/>
    <w:rsid w:val="00D532C6"/>
    <w:rsid w:val="00D5426B"/>
    <w:rsid w:val="00D5599A"/>
    <w:rsid w:val="00D55B21"/>
    <w:rsid w:val="00D569AD"/>
    <w:rsid w:val="00D605E5"/>
    <w:rsid w:val="00D62A8B"/>
    <w:rsid w:val="00D71595"/>
    <w:rsid w:val="00D71B33"/>
    <w:rsid w:val="00D71FDF"/>
    <w:rsid w:val="00D72158"/>
    <w:rsid w:val="00D740F4"/>
    <w:rsid w:val="00D802FD"/>
    <w:rsid w:val="00D8162D"/>
    <w:rsid w:val="00D869C5"/>
    <w:rsid w:val="00D932E1"/>
    <w:rsid w:val="00D937A6"/>
    <w:rsid w:val="00D9385C"/>
    <w:rsid w:val="00D94A5A"/>
    <w:rsid w:val="00D95166"/>
    <w:rsid w:val="00D97721"/>
    <w:rsid w:val="00DA0427"/>
    <w:rsid w:val="00DA05B7"/>
    <w:rsid w:val="00DA127D"/>
    <w:rsid w:val="00DA266F"/>
    <w:rsid w:val="00DA26A7"/>
    <w:rsid w:val="00DA2928"/>
    <w:rsid w:val="00DA30E8"/>
    <w:rsid w:val="00DA3AE2"/>
    <w:rsid w:val="00DA3B33"/>
    <w:rsid w:val="00DA42A3"/>
    <w:rsid w:val="00DA5B4D"/>
    <w:rsid w:val="00DA7075"/>
    <w:rsid w:val="00DA74A2"/>
    <w:rsid w:val="00DB6664"/>
    <w:rsid w:val="00DB73FB"/>
    <w:rsid w:val="00DB7CD4"/>
    <w:rsid w:val="00DC0DBE"/>
    <w:rsid w:val="00DC429D"/>
    <w:rsid w:val="00DC553A"/>
    <w:rsid w:val="00DC6E17"/>
    <w:rsid w:val="00DC6F8F"/>
    <w:rsid w:val="00DC762A"/>
    <w:rsid w:val="00DD26B7"/>
    <w:rsid w:val="00DD35D4"/>
    <w:rsid w:val="00DD4DCA"/>
    <w:rsid w:val="00DD5181"/>
    <w:rsid w:val="00DD5CCB"/>
    <w:rsid w:val="00DD6003"/>
    <w:rsid w:val="00DD7B1D"/>
    <w:rsid w:val="00DE189C"/>
    <w:rsid w:val="00DE1A4C"/>
    <w:rsid w:val="00DE285A"/>
    <w:rsid w:val="00DE2F3F"/>
    <w:rsid w:val="00DE4AFA"/>
    <w:rsid w:val="00DE5417"/>
    <w:rsid w:val="00DE5630"/>
    <w:rsid w:val="00DE6892"/>
    <w:rsid w:val="00DE7227"/>
    <w:rsid w:val="00DE76FC"/>
    <w:rsid w:val="00DF3789"/>
    <w:rsid w:val="00DF3F22"/>
    <w:rsid w:val="00DF4241"/>
    <w:rsid w:val="00DF45B4"/>
    <w:rsid w:val="00DF4680"/>
    <w:rsid w:val="00DF4731"/>
    <w:rsid w:val="00DF4BAB"/>
    <w:rsid w:val="00DF5D14"/>
    <w:rsid w:val="00DF608E"/>
    <w:rsid w:val="00DF6CC5"/>
    <w:rsid w:val="00DF6DEE"/>
    <w:rsid w:val="00DF6FF1"/>
    <w:rsid w:val="00DF76E0"/>
    <w:rsid w:val="00E0139A"/>
    <w:rsid w:val="00E015A9"/>
    <w:rsid w:val="00E02883"/>
    <w:rsid w:val="00E04029"/>
    <w:rsid w:val="00E04242"/>
    <w:rsid w:val="00E10861"/>
    <w:rsid w:val="00E120BC"/>
    <w:rsid w:val="00E1376C"/>
    <w:rsid w:val="00E15635"/>
    <w:rsid w:val="00E16BEE"/>
    <w:rsid w:val="00E21B02"/>
    <w:rsid w:val="00E23869"/>
    <w:rsid w:val="00E26156"/>
    <w:rsid w:val="00E27323"/>
    <w:rsid w:val="00E3099D"/>
    <w:rsid w:val="00E333FB"/>
    <w:rsid w:val="00E3345C"/>
    <w:rsid w:val="00E36150"/>
    <w:rsid w:val="00E36F7B"/>
    <w:rsid w:val="00E40778"/>
    <w:rsid w:val="00E41FE9"/>
    <w:rsid w:val="00E4501A"/>
    <w:rsid w:val="00E4586E"/>
    <w:rsid w:val="00E45DE5"/>
    <w:rsid w:val="00E45DEB"/>
    <w:rsid w:val="00E464B9"/>
    <w:rsid w:val="00E46BFA"/>
    <w:rsid w:val="00E47194"/>
    <w:rsid w:val="00E477BE"/>
    <w:rsid w:val="00E47B62"/>
    <w:rsid w:val="00E51517"/>
    <w:rsid w:val="00E51F74"/>
    <w:rsid w:val="00E54533"/>
    <w:rsid w:val="00E55868"/>
    <w:rsid w:val="00E60C14"/>
    <w:rsid w:val="00E61815"/>
    <w:rsid w:val="00E63C50"/>
    <w:rsid w:val="00E653EB"/>
    <w:rsid w:val="00E65D86"/>
    <w:rsid w:val="00E66967"/>
    <w:rsid w:val="00E67E1C"/>
    <w:rsid w:val="00E70E2A"/>
    <w:rsid w:val="00E72C1A"/>
    <w:rsid w:val="00E74BBE"/>
    <w:rsid w:val="00E763CD"/>
    <w:rsid w:val="00E76A0F"/>
    <w:rsid w:val="00E7711B"/>
    <w:rsid w:val="00E807D4"/>
    <w:rsid w:val="00E8114F"/>
    <w:rsid w:val="00E828F9"/>
    <w:rsid w:val="00E82B64"/>
    <w:rsid w:val="00E83E08"/>
    <w:rsid w:val="00E850A3"/>
    <w:rsid w:val="00E8528B"/>
    <w:rsid w:val="00E86A15"/>
    <w:rsid w:val="00E87034"/>
    <w:rsid w:val="00E90733"/>
    <w:rsid w:val="00E90F26"/>
    <w:rsid w:val="00E931A2"/>
    <w:rsid w:val="00E93D9A"/>
    <w:rsid w:val="00E96340"/>
    <w:rsid w:val="00EA38D5"/>
    <w:rsid w:val="00EA4363"/>
    <w:rsid w:val="00EA5409"/>
    <w:rsid w:val="00EA5F10"/>
    <w:rsid w:val="00EA5F30"/>
    <w:rsid w:val="00EA6EA0"/>
    <w:rsid w:val="00EA6F59"/>
    <w:rsid w:val="00EA789A"/>
    <w:rsid w:val="00EA7F85"/>
    <w:rsid w:val="00EB219C"/>
    <w:rsid w:val="00EB321E"/>
    <w:rsid w:val="00EB62A2"/>
    <w:rsid w:val="00EB64FC"/>
    <w:rsid w:val="00EB7B3E"/>
    <w:rsid w:val="00EC0FC7"/>
    <w:rsid w:val="00EC3466"/>
    <w:rsid w:val="00EC37C6"/>
    <w:rsid w:val="00EC3CEA"/>
    <w:rsid w:val="00EC744B"/>
    <w:rsid w:val="00EC778D"/>
    <w:rsid w:val="00EC7B5A"/>
    <w:rsid w:val="00ED0894"/>
    <w:rsid w:val="00ED1573"/>
    <w:rsid w:val="00ED1966"/>
    <w:rsid w:val="00ED419B"/>
    <w:rsid w:val="00ED4DA5"/>
    <w:rsid w:val="00ED5AAA"/>
    <w:rsid w:val="00ED5AF3"/>
    <w:rsid w:val="00ED6E55"/>
    <w:rsid w:val="00ED71E9"/>
    <w:rsid w:val="00ED7419"/>
    <w:rsid w:val="00EE050F"/>
    <w:rsid w:val="00EE067F"/>
    <w:rsid w:val="00EE081A"/>
    <w:rsid w:val="00EE1EB5"/>
    <w:rsid w:val="00EE243B"/>
    <w:rsid w:val="00EE2FB7"/>
    <w:rsid w:val="00EE60DB"/>
    <w:rsid w:val="00EE7E38"/>
    <w:rsid w:val="00EE7EEA"/>
    <w:rsid w:val="00EF1D7E"/>
    <w:rsid w:val="00EF2D5D"/>
    <w:rsid w:val="00EF39FC"/>
    <w:rsid w:val="00EF449C"/>
    <w:rsid w:val="00EF4CEE"/>
    <w:rsid w:val="00EF5638"/>
    <w:rsid w:val="00EF6801"/>
    <w:rsid w:val="00EF7F09"/>
    <w:rsid w:val="00F016CA"/>
    <w:rsid w:val="00F01E4F"/>
    <w:rsid w:val="00F04143"/>
    <w:rsid w:val="00F0482C"/>
    <w:rsid w:val="00F0740D"/>
    <w:rsid w:val="00F07750"/>
    <w:rsid w:val="00F07780"/>
    <w:rsid w:val="00F106C0"/>
    <w:rsid w:val="00F10988"/>
    <w:rsid w:val="00F10A86"/>
    <w:rsid w:val="00F12149"/>
    <w:rsid w:val="00F13587"/>
    <w:rsid w:val="00F160A9"/>
    <w:rsid w:val="00F16387"/>
    <w:rsid w:val="00F203C7"/>
    <w:rsid w:val="00F210E0"/>
    <w:rsid w:val="00F21646"/>
    <w:rsid w:val="00F21917"/>
    <w:rsid w:val="00F27A4B"/>
    <w:rsid w:val="00F27BB1"/>
    <w:rsid w:val="00F31BEE"/>
    <w:rsid w:val="00F32B0E"/>
    <w:rsid w:val="00F33DC4"/>
    <w:rsid w:val="00F35946"/>
    <w:rsid w:val="00F359C0"/>
    <w:rsid w:val="00F35A3E"/>
    <w:rsid w:val="00F37DBE"/>
    <w:rsid w:val="00F421EA"/>
    <w:rsid w:val="00F430AC"/>
    <w:rsid w:val="00F462D5"/>
    <w:rsid w:val="00F46975"/>
    <w:rsid w:val="00F477B9"/>
    <w:rsid w:val="00F53604"/>
    <w:rsid w:val="00F54A39"/>
    <w:rsid w:val="00F54B2D"/>
    <w:rsid w:val="00F54BBB"/>
    <w:rsid w:val="00F55625"/>
    <w:rsid w:val="00F55FAE"/>
    <w:rsid w:val="00F60171"/>
    <w:rsid w:val="00F6086F"/>
    <w:rsid w:val="00F613FA"/>
    <w:rsid w:val="00F61F89"/>
    <w:rsid w:val="00F6631F"/>
    <w:rsid w:val="00F72112"/>
    <w:rsid w:val="00F723D6"/>
    <w:rsid w:val="00F724AB"/>
    <w:rsid w:val="00F77E87"/>
    <w:rsid w:val="00F804E3"/>
    <w:rsid w:val="00F806A9"/>
    <w:rsid w:val="00F81620"/>
    <w:rsid w:val="00F8217F"/>
    <w:rsid w:val="00F83113"/>
    <w:rsid w:val="00F83C22"/>
    <w:rsid w:val="00F84521"/>
    <w:rsid w:val="00F87451"/>
    <w:rsid w:val="00F906AB"/>
    <w:rsid w:val="00F91766"/>
    <w:rsid w:val="00F91A6E"/>
    <w:rsid w:val="00F96B7D"/>
    <w:rsid w:val="00FA0537"/>
    <w:rsid w:val="00FA25EA"/>
    <w:rsid w:val="00FA2ECA"/>
    <w:rsid w:val="00FA2FA8"/>
    <w:rsid w:val="00FA65E5"/>
    <w:rsid w:val="00FA6A63"/>
    <w:rsid w:val="00FB1348"/>
    <w:rsid w:val="00FB1D2A"/>
    <w:rsid w:val="00FB1EA0"/>
    <w:rsid w:val="00FB2144"/>
    <w:rsid w:val="00FB2DA4"/>
    <w:rsid w:val="00FB45C2"/>
    <w:rsid w:val="00FB6B51"/>
    <w:rsid w:val="00FC1E49"/>
    <w:rsid w:val="00FC2786"/>
    <w:rsid w:val="00FC36CB"/>
    <w:rsid w:val="00FC3779"/>
    <w:rsid w:val="00FC400D"/>
    <w:rsid w:val="00FC58AA"/>
    <w:rsid w:val="00FC7979"/>
    <w:rsid w:val="00FC7CE2"/>
    <w:rsid w:val="00FD1489"/>
    <w:rsid w:val="00FD15A5"/>
    <w:rsid w:val="00FD2169"/>
    <w:rsid w:val="00FD245E"/>
    <w:rsid w:val="00FD24D9"/>
    <w:rsid w:val="00FD2B4A"/>
    <w:rsid w:val="00FD43CA"/>
    <w:rsid w:val="00FD4B6C"/>
    <w:rsid w:val="00FD7C6C"/>
    <w:rsid w:val="00FE1CB9"/>
    <w:rsid w:val="00FE54A8"/>
    <w:rsid w:val="00FE6741"/>
    <w:rsid w:val="00FE6B1A"/>
    <w:rsid w:val="00FF06F9"/>
    <w:rsid w:val="00FF0FB4"/>
    <w:rsid w:val="00FF1A88"/>
    <w:rsid w:val="00FF2B2A"/>
    <w:rsid w:val="00FF2B97"/>
    <w:rsid w:val="00FF4EE6"/>
    <w:rsid w:val="00FF683E"/>
    <w:rsid w:val="02303477"/>
    <w:rsid w:val="023C6806"/>
    <w:rsid w:val="03106218"/>
    <w:rsid w:val="035F51F4"/>
    <w:rsid w:val="038C2F2E"/>
    <w:rsid w:val="040B7A51"/>
    <w:rsid w:val="044D68F7"/>
    <w:rsid w:val="0479381B"/>
    <w:rsid w:val="047D60CB"/>
    <w:rsid w:val="051C0254"/>
    <w:rsid w:val="05C24554"/>
    <w:rsid w:val="05D34EF8"/>
    <w:rsid w:val="06801F81"/>
    <w:rsid w:val="07731EDA"/>
    <w:rsid w:val="07AA5141"/>
    <w:rsid w:val="08BE3556"/>
    <w:rsid w:val="099D0555"/>
    <w:rsid w:val="09E52699"/>
    <w:rsid w:val="0BEC30C9"/>
    <w:rsid w:val="0C842099"/>
    <w:rsid w:val="0D0D51A1"/>
    <w:rsid w:val="0D31771F"/>
    <w:rsid w:val="0D3A4FC5"/>
    <w:rsid w:val="0D3D40F5"/>
    <w:rsid w:val="0DAF4280"/>
    <w:rsid w:val="0DBA03C4"/>
    <w:rsid w:val="0E5674C0"/>
    <w:rsid w:val="0EF60E72"/>
    <w:rsid w:val="0F663BA5"/>
    <w:rsid w:val="0F70557A"/>
    <w:rsid w:val="0FAB6295"/>
    <w:rsid w:val="10E55ACF"/>
    <w:rsid w:val="11DE6793"/>
    <w:rsid w:val="11E73358"/>
    <w:rsid w:val="122E5495"/>
    <w:rsid w:val="126016A1"/>
    <w:rsid w:val="12883731"/>
    <w:rsid w:val="130622DB"/>
    <w:rsid w:val="13D1461D"/>
    <w:rsid w:val="13F13831"/>
    <w:rsid w:val="14335C49"/>
    <w:rsid w:val="14353636"/>
    <w:rsid w:val="14C656D8"/>
    <w:rsid w:val="153F6DD6"/>
    <w:rsid w:val="15B84DEB"/>
    <w:rsid w:val="15CF287D"/>
    <w:rsid w:val="167B4BEF"/>
    <w:rsid w:val="16D4085E"/>
    <w:rsid w:val="16EC6A72"/>
    <w:rsid w:val="170175C7"/>
    <w:rsid w:val="176D5FAF"/>
    <w:rsid w:val="17CE34D4"/>
    <w:rsid w:val="18986C38"/>
    <w:rsid w:val="18CE3EEB"/>
    <w:rsid w:val="1914122C"/>
    <w:rsid w:val="19653D7A"/>
    <w:rsid w:val="1B7A3F9E"/>
    <w:rsid w:val="1CD31AE5"/>
    <w:rsid w:val="1DFA532E"/>
    <w:rsid w:val="1E273D7F"/>
    <w:rsid w:val="1E350E78"/>
    <w:rsid w:val="1E7A0B31"/>
    <w:rsid w:val="1EB205AB"/>
    <w:rsid w:val="1F2B0B6F"/>
    <w:rsid w:val="1F5B2D78"/>
    <w:rsid w:val="1F6E052A"/>
    <w:rsid w:val="1F862355"/>
    <w:rsid w:val="1FA70348"/>
    <w:rsid w:val="20161286"/>
    <w:rsid w:val="20924045"/>
    <w:rsid w:val="212D388C"/>
    <w:rsid w:val="2136319D"/>
    <w:rsid w:val="22166433"/>
    <w:rsid w:val="22360C2F"/>
    <w:rsid w:val="24C712FD"/>
    <w:rsid w:val="251D5EF1"/>
    <w:rsid w:val="2522191B"/>
    <w:rsid w:val="25261894"/>
    <w:rsid w:val="26006EFF"/>
    <w:rsid w:val="273A167A"/>
    <w:rsid w:val="27780CFE"/>
    <w:rsid w:val="282F3DA1"/>
    <w:rsid w:val="28A93AF0"/>
    <w:rsid w:val="28D60900"/>
    <w:rsid w:val="28FD058B"/>
    <w:rsid w:val="2A217253"/>
    <w:rsid w:val="2B1A324C"/>
    <w:rsid w:val="2BE7205A"/>
    <w:rsid w:val="2C6A4D5C"/>
    <w:rsid w:val="2D064D96"/>
    <w:rsid w:val="2D770ECD"/>
    <w:rsid w:val="2DF46922"/>
    <w:rsid w:val="2E665FDB"/>
    <w:rsid w:val="2EF06564"/>
    <w:rsid w:val="2FC56D75"/>
    <w:rsid w:val="301B1F5D"/>
    <w:rsid w:val="32213548"/>
    <w:rsid w:val="32217E3D"/>
    <w:rsid w:val="328359CD"/>
    <w:rsid w:val="32F86A57"/>
    <w:rsid w:val="339C50F5"/>
    <w:rsid w:val="33AC3ACA"/>
    <w:rsid w:val="349845AE"/>
    <w:rsid w:val="361111DE"/>
    <w:rsid w:val="36CD140D"/>
    <w:rsid w:val="37E9738C"/>
    <w:rsid w:val="38450DC6"/>
    <w:rsid w:val="399827D5"/>
    <w:rsid w:val="3A0F37B2"/>
    <w:rsid w:val="3ABF7DB8"/>
    <w:rsid w:val="3AC267A1"/>
    <w:rsid w:val="3AE568CD"/>
    <w:rsid w:val="3B47753F"/>
    <w:rsid w:val="3BB43FE7"/>
    <w:rsid w:val="3BBC7BD7"/>
    <w:rsid w:val="3CA02E52"/>
    <w:rsid w:val="3D0B2B59"/>
    <w:rsid w:val="3DB32B34"/>
    <w:rsid w:val="3EE70447"/>
    <w:rsid w:val="3F0907DB"/>
    <w:rsid w:val="40496DD1"/>
    <w:rsid w:val="40ED4CDF"/>
    <w:rsid w:val="412A4AC5"/>
    <w:rsid w:val="41556579"/>
    <w:rsid w:val="4156368B"/>
    <w:rsid w:val="4301624C"/>
    <w:rsid w:val="43180A02"/>
    <w:rsid w:val="43B15984"/>
    <w:rsid w:val="45EB52C6"/>
    <w:rsid w:val="46245780"/>
    <w:rsid w:val="46F848B7"/>
    <w:rsid w:val="47204176"/>
    <w:rsid w:val="4845132D"/>
    <w:rsid w:val="49283FDD"/>
    <w:rsid w:val="4A273AFF"/>
    <w:rsid w:val="4A3040B7"/>
    <w:rsid w:val="4AB40965"/>
    <w:rsid w:val="4AD400F9"/>
    <w:rsid w:val="4B4E3FC1"/>
    <w:rsid w:val="4B8F267C"/>
    <w:rsid w:val="4BD64368"/>
    <w:rsid w:val="4CC267F4"/>
    <w:rsid w:val="4DE7092B"/>
    <w:rsid w:val="4E1B6A0B"/>
    <w:rsid w:val="4E3F35B1"/>
    <w:rsid w:val="4EDB5930"/>
    <w:rsid w:val="4F1C0B58"/>
    <w:rsid w:val="4F40507F"/>
    <w:rsid w:val="4F637396"/>
    <w:rsid w:val="4FC30C4B"/>
    <w:rsid w:val="508D5948"/>
    <w:rsid w:val="515E766D"/>
    <w:rsid w:val="51CB2211"/>
    <w:rsid w:val="5278364F"/>
    <w:rsid w:val="53CC53A1"/>
    <w:rsid w:val="5408569A"/>
    <w:rsid w:val="54234A78"/>
    <w:rsid w:val="542B316D"/>
    <w:rsid w:val="545E3A05"/>
    <w:rsid w:val="55186600"/>
    <w:rsid w:val="55452A0E"/>
    <w:rsid w:val="555B4260"/>
    <w:rsid w:val="56082A8F"/>
    <w:rsid w:val="564B4CA2"/>
    <w:rsid w:val="56796F8B"/>
    <w:rsid w:val="56B67570"/>
    <w:rsid w:val="57460D6C"/>
    <w:rsid w:val="57B06DB9"/>
    <w:rsid w:val="587B3C9A"/>
    <w:rsid w:val="59DE78AE"/>
    <w:rsid w:val="5A245A07"/>
    <w:rsid w:val="5A5F39B5"/>
    <w:rsid w:val="5BF65C2B"/>
    <w:rsid w:val="5CD36CAF"/>
    <w:rsid w:val="5D1C44CF"/>
    <w:rsid w:val="5D5050A8"/>
    <w:rsid w:val="5D54684B"/>
    <w:rsid w:val="5DE326BE"/>
    <w:rsid w:val="5E906D4E"/>
    <w:rsid w:val="5E910BE2"/>
    <w:rsid w:val="5EF94137"/>
    <w:rsid w:val="5FA65813"/>
    <w:rsid w:val="5FCF03EA"/>
    <w:rsid w:val="60F331B7"/>
    <w:rsid w:val="61772C3D"/>
    <w:rsid w:val="61A07E2C"/>
    <w:rsid w:val="62E33F15"/>
    <w:rsid w:val="63F44488"/>
    <w:rsid w:val="64AC2D84"/>
    <w:rsid w:val="64EA0F56"/>
    <w:rsid w:val="654E27FD"/>
    <w:rsid w:val="65977F9E"/>
    <w:rsid w:val="65E22A78"/>
    <w:rsid w:val="65EB352E"/>
    <w:rsid w:val="66214CBD"/>
    <w:rsid w:val="6660764C"/>
    <w:rsid w:val="666F1961"/>
    <w:rsid w:val="66765504"/>
    <w:rsid w:val="67B17358"/>
    <w:rsid w:val="680C02F6"/>
    <w:rsid w:val="68114BA3"/>
    <w:rsid w:val="6890344B"/>
    <w:rsid w:val="68BB73C1"/>
    <w:rsid w:val="68C62803"/>
    <w:rsid w:val="69C04ABB"/>
    <w:rsid w:val="6A41344C"/>
    <w:rsid w:val="6A557DFF"/>
    <w:rsid w:val="6ACE4D37"/>
    <w:rsid w:val="6AD50E7F"/>
    <w:rsid w:val="6B653AC3"/>
    <w:rsid w:val="6C326303"/>
    <w:rsid w:val="6C9A398A"/>
    <w:rsid w:val="6E116380"/>
    <w:rsid w:val="6E13494D"/>
    <w:rsid w:val="6E2A6511"/>
    <w:rsid w:val="6F626099"/>
    <w:rsid w:val="70133E96"/>
    <w:rsid w:val="70425E4E"/>
    <w:rsid w:val="70844159"/>
    <w:rsid w:val="70DB7CE8"/>
    <w:rsid w:val="719264C4"/>
    <w:rsid w:val="71ED5FE3"/>
    <w:rsid w:val="72820531"/>
    <w:rsid w:val="7396760B"/>
    <w:rsid w:val="73C862B5"/>
    <w:rsid w:val="74966354"/>
    <w:rsid w:val="75233BB6"/>
    <w:rsid w:val="755B1AA4"/>
    <w:rsid w:val="76595A4F"/>
    <w:rsid w:val="766A4803"/>
    <w:rsid w:val="775554CA"/>
    <w:rsid w:val="77667C2A"/>
    <w:rsid w:val="78CF16D6"/>
    <w:rsid w:val="794513BB"/>
    <w:rsid w:val="7965579B"/>
    <w:rsid w:val="7A0E5BE7"/>
    <w:rsid w:val="7A495510"/>
    <w:rsid w:val="7A8F32F6"/>
    <w:rsid w:val="7A9046C1"/>
    <w:rsid w:val="7AC631B1"/>
    <w:rsid w:val="7B691929"/>
    <w:rsid w:val="7B773AF5"/>
    <w:rsid w:val="7B8F388A"/>
    <w:rsid w:val="7C395B5F"/>
    <w:rsid w:val="7D491EA6"/>
    <w:rsid w:val="7DA43BE7"/>
    <w:rsid w:val="7DF433D7"/>
    <w:rsid w:val="7EB87468"/>
    <w:rsid w:val="7F354F10"/>
    <w:rsid w:val="7FCD658C"/>
    <w:rsid w:val="7FFE44B9"/>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3">
    <w:name w:val="heading 1"/>
    <w:basedOn w:val="1"/>
    <w:next w:val="1"/>
    <w:link w:val="20"/>
    <w:qFormat/>
    <w:uiPriority w:val="1"/>
    <w:pPr>
      <w:autoSpaceDE w:val="0"/>
      <w:autoSpaceDN w:val="0"/>
      <w:adjustRightInd w:val="0"/>
      <w:spacing w:before="17"/>
      <w:ind w:left="1144"/>
      <w:jc w:val="left"/>
      <w:outlineLvl w:val="0"/>
    </w:pPr>
    <w:rPr>
      <w:rFonts w:ascii="黑体" w:hAnsi="Times New Roman" w:eastAsia="黑体"/>
      <w:b/>
      <w:bCs/>
      <w:kern w:val="0"/>
      <w:sz w:val="36"/>
      <w:szCs w:val="36"/>
    </w:rPr>
  </w:style>
  <w:style w:type="paragraph" w:styleId="4">
    <w:name w:val="heading 2"/>
    <w:basedOn w:val="1"/>
    <w:next w:val="1"/>
    <w:link w:val="21"/>
    <w:qFormat/>
    <w:uiPriority w:val="9"/>
    <w:pPr>
      <w:keepNext/>
      <w:keepLines/>
      <w:spacing w:before="260" w:after="260" w:line="416" w:lineRule="auto"/>
      <w:outlineLvl w:val="1"/>
    </w:pPr>
    <w:rPr>
      <w:rFonts w:ascii="Cambria" w:hAnsi="Cambria"/>
      <w:b/>
      <w:bCs/>
      <w:kern w:val="0"/>
      <w:sz w:val="32"/>
      <w:szCs w:val="32"/>
    </w:rPr>
  </w:style>
  <w:style w:type="paragraph" w:styleId="5">
    <w:name w:val="heading 3"/>
    <w:basedOn w:val="1"/>
    <w:next w:val="1"/>
    <w:link w:val="22"/>
    <w:qFormat/>
    <w:uiPriority w:val="1"/>
    <w:pPr>
      <w:autoSpaceDE w:val="0"/>
      <w:autoSpaceDN w:val="0"/>
      <w:adjustRightInd w:val="0"/>
      <w:spacing w:before="34"/>
      <w:ind w:left="120"/>
      <w:jc w:val="left"/>
      <w:outlineLvl w:val="2"/>
    </w:pPr>
    <w:rPr>
      <w:rFonts w:ascii="宋体" w:hAnsi="Times New Roman"/>
      <w:b/>
      <w:bCs/>
      <w:kern w:val="0"/>
      <w:sz w:val="20"/>
      <w:szCs w:val="21"/>
    </w:rPr>
  </w:style>
  <w:style w:type="character" w:default="1" w:styleId="15">
    <w:name w:val="Default Paragraph Font"/>
    <w:unhideWhenUsed/>
    <w:qFormat/>
    <w:uiPriority w:val="1"/>
  </w:style>
  <w:style w:type="table" w:default="1" w:styleId="13">
    <w:name w:val="Normal Table"/>
    <w:unhideWhenUsed/>
    <w:qFormat/>
    <w:uiPriority w:val="99"/>
    <w:tblPr>
      <w:tblCellMar>
        <w:top w:w="0" w:type="dxa"/>
        <w:left w:w="108" w:type="dxa"/>
        <w:bottom w:w="0" w:type="dxa"/>
        <w:right w:w="108" w:type="dxa"/>
      </w:tblCellMar>
    </w:tblPr>
  </w:style>
  <w:style w:type="paragraph" w:styleId="2">
    <w:name w:val="Body Text"/>
    <w:basedOn w:val="1"/>
    <w:next w:val="1"/>
    <w:link w:val="19"/>
    <w:qFormat/>
    <w:uiPriority w:val="1"/>
    <w:pPr>
      <w:autoSpaceDE w:val="0"/>
      <w:autoSpaceDN w:val="0"/>
      <w:adjustRightInd w:val="0"/>
      <w:spacing w:before="162"/>
      <w:ind w:left="120"/>
      <w:jc w:val="left"/>
    </w:pPr>
    <w:rPr>
      <w:rFonts w:ascii="宋体" w:hAnsi="Times New Roman"/>
      <w:kern w:val="0"/>
      <w:sz w:val="20"/>
      <w:szCs w:val="21"/>
    </w:rPr>
  </w:style>
  <w:style w:type="paragraph" w:styleId="6">
    <w:name w:val="annotation text"/>
    <w:basedOn w:val="1"/>
    <w:link w:val="23"/>
    <w:unhideWhenUsed/>
    <w:qFormat/>
    <w:uiPriority w:val="99"/>
    <w:pPr>
      <w:jc w:val="left"/>
    </w:pPr>
  </w:style>
  <w:style w:type="paragraph" w:styleId="7">
    <w:name w:val="Date"/>
    <w:basedOn w:val="1"/>
    <w:next w:val="1"/>
    <w:link w:val="24"/>
    <w:unhideWhenUsed/>
    <w:qFormat/>
    <w:uiPriority w:val="99"/>
    <w:pPr>
      <w:ind w:left="100" w:leftChars="2500"/>
    </w:pPr>
  </w:style>
  <w:style w:type="paragraph" w:styleId="8">
    <w:name w:val="Balloon Text"/>
    <w:basedOn w:val="1"/>
    <w:link w:val="25"/>
    <w:unhideWhenUsed/>
    <w:qFormat/>
    <w:uiPriority w:val="99"/>
    <w:rPr>
      <w:kern w:val="0"/>
      <w:sz w:val="18"/>
      <w:szCs w:val="18"/>
    </w:rPr>
  </w:style>
  <w:style w:type="paragraph" w:styleId="9">
    <w:name w:val="footer"/>
    <w:basedOn w:val="1"/>
    <w:link w:val="26"/>
    <w:unhideWhenUsed/>
    <w:qFormat/>
    <w:uiPriority w:val="99"/>
    <w:pPr>
      <w:tabs>
        <w:tab w:val="center" w:pos="4153"/>
        <w:tab w:val="right" w:pos="8306"/>
      </w:tabs>
      <w:snapToGrid w:val="0"/>
      <w:jc w:val="left"/>
    </w:pPr>
    <w:rPr>
      <w:kern w:val="0"/>
      <w:sz w:val="18"/>
      <w:szCs w:val="18"/>
    </w:rPr>
  </w:style>
  <w:style w:type="paragraph" w:styleId="10">
    <w:name w:val="header"/>
    <w:basedOn w:val="1"/>
    <w:link w:val="27"/>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1">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12">
    <w:name w:val="annotation subject"/>
    <w:basedOn w:val="6"/>
    <w:next w:val="6"/>
    <w:link w:val="28"/>
    <w:unhideWhenUsed/>
    <w:qFormat/>
    <w:uiPriority w:val="99"/>
    <w:rPr>
      <w:b/>
      <w:bCs/>
    </w:rPr>
  </w:style>
  <w:style w:type="table" w:styleId="14">
    <w:name w:val="Table Grid"/>
    <w:basedOn w:val="13"/>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Strong"/>
    <w:qFormat/>
    <w:uiPriority w:val="22"/>
    <w:rPr>
      <w:b/>
      <w:bCs/>
    </w:rPr>
  </w:style>
  <w:style w:type="character" w:styleId="17">
    <w:name w:val="Hyperlink"/>
    <w:unhideWhenUsed/>
    <w:qFormat/>
    <w:uiPriority w:val="99"/>
    <w:rPr>
      <w:color w:val="0000FF"/>
      <w:u w:val="single"/>
    </w:rPr>
  </w:style>
  <w:style w:type="character" w:styleId="18">
    <w:name w:val="annotation reference"/>
    <w:unhideWhenUsed/>
    <w:qFormat/>
    <w:uiPriority w:val="99"/>
    <w:rPr>
      <w:sz w:val="21"/>
      <w:szCs w:val="21"/>
    </w:rPr>
  </w:style>
  <w:style w:type="character" w:customStyle="1" w:styleId="19">
    <w:name w:val="正文文本 Char"/>
    <w:link w:val="2"/>
    <w:qFormat/>
    <w:uiPriority w:val="1"/>
    <w:rPr>
      <w:rFonts w:ascii="宋体" w:hAnsi="Times New Roman" w:eastAsia="宋体" w:cs="宋体"/>
      <w:kern w:val="0"/>
      <w:szCs w:val="21"/>
    </w:rPr>
  </w:style>
  <w:style w:type="character" w:customStyle="1" w:styleId="20">
    <w:name w:val="标题 1 Char"/>
    <w:link w:val="3"/>
    <w:qFormat/>
    <w:uiPriority w:val="1"/>
    <w:rPr>
      <w:rFonts w:ascii="黑体" w:hAnsi="Times New Roman" w:eastAsia="黑体" w:cs="黑体"/>
      <w:b/>
      <w:bCs/>
      <w:kern w:val="0"/>
      <w:sz w:val="36"/>
      <w:szCs w:val="36"/>
    </w:rPr>
  </w:style>
  <w:style w:type="character" w:customStyle="1" w:styleId="21">
    <w:name w:val="标题 2 Char"/>
    <w:link w:val="4"/>
    <w:qFormat/>
    <w:uiPriority w:val="9"/>
    <w:rPr>
      <w:rFonts w:ascii="Cambria" w:hAnsi="Cambria" w:eastAsia="宋体" w:cs="Times New Roman"/>
      <w:b/>
      <w:bCs/>
      <w:sz w:val="32"/>
      <w:szCs w:val="32"/>
    </w:rPr>
  </w:style>
  <w:style w:type="character" w:customStyle="1" w:styleId="22">
    <w:name w:val="标题 3 Char"/>
    <w:link w:val="5"/>
    <w:qFormat/>
    <w:uiPriority w:val="1"/>
    <w:rPr>
      <w:rFonts w:ascii="宋体" w:hAnsi="Times New Roman" w:eastAsia="宋体" w:cs="宋体"/>
      <w:b/>
      <w:bCs/>
      <w:kern w:val="0"/>
      <w:szCs w:val="21"/>
    </w:rPr>
  </w:style>
  <w:style w:type="character" w:customStyle="1" w:styleId="23">
    <w:name w:val="批注文字 Char"/>
    <w:link w:val="6"/>
    <w:qFormat/>
    <w:uiPriority w:val="99"/>
    <w:rPr>
      <w:kern w:val="2"/>
      <w:sz w:val="21"/>
      <w:szCs w:val="22"/>
    </w:rPr>
  </w:style>
  <w:style w:type="character" w:customStyle="1" w:styleId="24">
    <w:name w:val="日期 Char"/>
    <w:basedOn w:val="15"/>
    <w:link w:val="7"/>
    <w:semiHidden/>
    <w:qFormat/>
    <w:uiPriority w:val="99"/>
  </w:style>
  <w:style w:type="character" w:customStyle="1" w:styleId="25">
    <w:name w:val="批注框文本 Char"/>
    <w:link w:val="8"/>
    <w:semiHidden/>
    <w:qFormat/>
    <w:uiPriority w:val="99"/>
    <w:rPr>
      <w:sz w:val="18"/>
      <w:szCs w:val="18"/>
    </w:rPr>
  </w:style>
  <w:style w:type="character" w:customStyle="1" w:styleId="26">
    <w:name w:val="页脚 Char"/>
    <w:link w:val="9"/>
    <w:qFormat/>
    <w:uiPriority w:val="99"/>
    <w:rPr>
      <w:sz w:val="18"/>
      <w:szCs w:val="18"/>
    </w:rPr>
  </w:style>
  <w:style w:type="character" w:customStyle="1" w:styleId="27">
    <w:name w:val="页眉 Char"/>
    <w:link w:val="10"/>
    <w:qFormat/>
    <w:uiPriority w:val="99"/>
    <w:rPr>
      <w:sz w:val="18"/>
      <w:szCs w:val="18"/>
    </w:rPr>
  </w:style>
  <w:style w:type="character" w:customStyle="1" w:styleId="28">
    <w:name w:val="批注主题 Char"/>
    <w:link w:val="12"/>
    <w:semiHidden/>
    <w:qFormat/>
    <w:uiPriority w:val="99"/>
    <w:rPr>
      <w:b/>
      <w:bCs/>
      <w:kern w:val="2"/>
      <w:sz w:val="21"/>
      <w:szCs w:val="22"/>
    </w:rPr>
  </w:style>
  <w:style w:type="paragraph" w:customStyle="1" w:styleId="29">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paragraph" w:customStyle="1" w:styleId="30">
    <w:name w:val="Table Paragraph"/>
    <w:basedOn w:val="1"/>
    <w:qFormat/>
    <w:uiPriority w:val="1"/>
    <w:pPr>
      <w:autoSpaceDE w:val="0"/>
      <w:autoSpaceDN w:val="0"/>
      <w:adjustRightInd w:val="0"/>
      <w:jc w:val="left"/>
    </w:pPr>
    <w:rPr>
      <w:rFonts w:ascii="Times New Roman" w:hAnsi="Times New Roman" w:cs="Times New Roman"/>
      <w:kern w:val="0"/>
      <w:sz w:val="24"/>
      <w:szCs w:val="24"/>
    </w:rPr>
  </w:style>
  <w:style w:type="paragraph" w:customStyle="1" w:styleId="31">
    <w:name w:val="_Style 30"/>
    <w:semiHidden/>
    <w:qFormat/>
    <w:uiPriority w:val="99"/>
    <w:rPr>
      <w:rFonts w:ascii="Times New Roman" w:hAnsi="Times New Roman" w:eastAsia="宋体" w:cs="Times New Roman"/>
      <w:kern w:val="2"/>
      <w:sz w:val="21"/>
      <w:szCs w:val="22"/>
      <w:lang w:val="en-US" w:eastAsia="zh-CN" w:bidi="ar-SA"/>
    </w:rPr>
  </w:style>
  <w:style w:type="paragraph" w:styleId="32">
    <w:name w:val="List Paragraph"/>
    <w:basedOn w:val="1"/>
    <w:qFormat/>
    <w:uiPriority w:val="72"/>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3</Pages>
  <Words>1504</Words>
  <Characters>1787</Characters>
  <Lines>2</Lines>
  <Paragraphs>1</Paragraphs>
  <TotalTime>10</TotalTime>
  <ScaleCrop>false</ScaleCrop>
  <LinksUpToDate>false</LinksUpToDate>
  <CharactersWithSpaces>1788</CharactersWithSpaces>
  <Application>WPS Office_11.8.2.11734_F1E327BC-269C-435d-A152-05C5408002CA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2021-11-27T07:26:00Z</dcterms:created>
  <dc:creator>JSYH</dc:creator>
  <cp:lastModifiedBy>lhy</cp:lastModifiedBy>
  <cp:lastPrinted>2022-05-26T09:07:00Z</cp:lastPrinted>
  <dcterms:modified xsi:type="dcterms:W3CDTF">2026-02-28T07:22:09Z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3B58C87B52334A799226F252000474C5</vt:lpwstr>
  </property>
</Properties>
</file>