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7FF699">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14:paraId="499736F7">
      <w:pPr>
        <w:adjustRightInd w:val="0"/>
        <w:spacing w:line="360" w:lineRule="auto"/>
        <w:jc w:val="center"/>
        <w:rPr>
          <w:rStyle w:val="27"/>
          <w:rFonts w:ascii="宋体" w:hAnsi="宋体"/>
          <w:sz w:val="32"/>
          <w:szCs w:val="32"/>
        </w:rPr>
      </w:pPr>
    </w:p>
    <w:p w14:paraId="5971DE10">
      <w:pPr>
        <w:adjustRightInd w:val="0"/>
        <w:spacing w:line="360" w:lineRule="auto"/>
        <w:jc w:val="center"/>
        <w:rPr>
          <w:rStyle w:val="27"/>
          <w:rFonts w:ascii="宋体" w:hAnsi="宋体"/>
          <w:sz w:val="32"/>
          <w:szCs w:val="32"/>
        </w:rPr>
      </w:pPr>
    </w:p>
    <w:p w14:paraId="5D03D620">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4EC1652F">
      <w:pPr>
        <w:adjustRightInd w:val="0"/>
        <w:spacing w:line="360" w:lineRule="auto"/>
        <w:jc w:val="center"/>
        <w:rPr>
          <w:rStyle w:val="27"/>
          <w:rFonts w:ascii="宋体" w:hAnsi="宋体"/>
          <w:sz w:val="32"/>
          <w:szCs w:val="32"/>
        </w:rPr>
      </w:pPr>
    </w:p>
    <w:p w14:paraId="7244BC5A">
      <w:pPr>
        <w:adjustRightInd w:val="0"/>
        <w:spacing w:line="360" w:lineRule="auto"/>
        <w:jc w:val="center"/>
        <w:rPr>
          <w:rStyle w:val="27"/>
          <w:rFonts w:ascii="黑体" w:hAnsi="黑体" w:eastAsia="黑体"/>
          <w:sz w:val="44"/>
          <w:szCs w:val="44"/>
        </w:rPr>
      </w:pPr>
      <w:permStart w:id="0" w:edGrp="everyone"/>
      <w:r>
        <w:rPr>
          <w:rStyle w:val="27"/>
          <w:rFonts w:hint="eastAsia" w:ascii="黑体" w:hAnsi="黑体" w:eastAsia="黑体"/>
          <w:sz w:val="44"/>
          <w:szCs w:val="44"/>
        </w:rPr>
        <w:t>兴银理财【</w:t>
      </w:r>
      <w:r>
        <w:rPr>
          <w:rStyle w:val="27"/>
          <w:rFonts w:hint="eastAsia" w:ascii="黑体" w:hAnsi="黑体" w:eastAsia="黑体"/>
          <w:sz w:val="44"/>
          <w:szCs w:val="44"/>
          <w:lang w:val="en-US" w:eastAsia="zh-CN"/>
        </w:rPr>
        <w:t>甄合封闭式固收类</w:t>
      </w:r>
      <w:r>
        <w:rPr>
          <w:rStyle w:val="27"/>
          <w:rFonts w:hint="eastAsia" w:ascii="黑体" w:hAnsi="黑体" w:eastAsia="黑体"/>
          <w:sz w:val="44"/>
          <w:szCs w:val="44"/>
        </w:rPr>
        <w:t>】理财产品</w:t>
      </w:r>
      <w:permEnd w:id="0"/>
    </w:p>
    <w:p w14:paraId="74D558A3">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14:paraId="3492E304">
      <w:pPr>
        <w:adjustRightInd w:val="0"/>
        <w:spacing w:line="360" w:lineRule="auto"/>
        <w:jc w:val="center"/>
        <w:rPr>
          <w:rStyle w:val="27"/>
          <w:rFonts w:ascii="宋体" w:hAnsi="宋体"/>
          <w:sz w:val="32"/>
          <w:szCs w:val="32"/>
        </w:rPr>
      </w:pPr>
    </w:p>
    <w:p w14:paraId="3A3B0249">
      <w:pPr>
        <w:adjustRightInd w:val="0"/>
        <w:spacing w:line="360" w:lineRule="auto"/>
        <w:jc w:val="center"/>
        <w:rPr>
          <w:rStyle w:val="27"/>
          <w:rFonts w:ascii="黑体" w:hAnsi="黑体" w:eastAsia="黑体"/>
          <w:bCs w:val="0"/>
          <w:sz w:val="28"/>
          <w:szCs w:val="28"/>
        </w:rPr>
      </w:pPr>
    </w:p>
    <w:p w14:paraId="0A25D3BA">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14:paraId="2850EA03">
      <w:pPr>
        <w:adjustRightInd w:val="0"/>
        <w:spacing w:line="360" w:lineRule="auto"/>
        <w:jc w:val="center"/>
        <w:rPr>
          <w:rStyle w:val="27"/>
          <w:rFonts w:ascii="宋体" w:hAnsi="宋体"/>
          <w:sz w:val="32"/>
          <w:szCs w:val="32"/>
        </w:rPr>
      </w:pPr>
    </w:p>
    <w:p w14:paraId="0A840FE5">
      <w:pPr>
        <w:adjustRightInd w:val="0"/>
        <w:spacing w:line="360" w:lineRule="auto"/>
        <w:jc w:val="center"/>
        <w:rPr>
          <w:rStyle w:val="27"/>
          <w:rFonts w:ascii="宋体" w:hAnsi="宋体"/>
          <w:sz w:val="32"/>
          <w:szCs w:val="32"/>
        </w:rPr>
      </w:pPr>
    </w:p>
    <w:p w14:paraId="074165ED">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w:t>
      </w:r>
      <w:r>
        <w:rPr>
          <w:rStyle w:val="27"/>
          <w:rFonts w:hint="eastAsia" w:ascii="宋体" w:hAnsi="宋体" w:cs="Times New Roman"/>
          <w:color w:val="auto"/>
          <w:sz w:val="32"/>
          <w:szCs w:val="32"/>
          <w:lang w:val="en-US" w:eastAsia="zh-CN"/>
        </w:rPr>
        <w:t>2026</w:t>
      </w:r>
      <w:r>
        <w:rPr>
          <w:rStyle w:val="27"/>
          <w:rFonts w:hint="eastAsia" w:ascii="宋体" w:hAnsi="宋体" w:cs="Times New Roman"/>
          <w:color w:val="auto"/>
          <w:sz w:val="32"/>
          <w:szCs w:val="32"/>
        </w:rPr>
        <w:t>】年【</w:t>
      </w:r>
      <w:r>
        <w:rPr>
          <w:rStyle w:val="27"/>
          <w:rFonts w:hint="eastAsia" w:ascii="宋体" w:hAnsi="宋体" w:cs="Times New Roman"/>
          <w:color w:val="auto"/>
          <w:sz w:val="32"/>
          <w:szCs w:val="32"/>
          <w:lang w:val="en-US" w:eastAsia="zh-CN"/>
        </w:rPr>
        <w:t>01</w:t>
      </w:r>
      <w:r>
        <w:rPr>
          <w:rStyle w:val="27"/>
          <w:rFonts w:hint="eastAsia" w:ascii="宋体" w:hAnsi="宋体" w:cs="Times New Roman"/>
          <w:sz w:val="32"/>
          <w:szCs w:val="32"/>
        </w:rPr>
        <w:t>】月</w:t>
      </w:r>
      <w:permEnd w:id="1"/>
    </w:p>
    <w:p w14:paraId="719C2F99">
      <w:pPr>
        <w:adjustRightInd w:val="0"/>
        <w:spacing w:line="360" w:lineRule="auto"/>
        <w:jc w:val="center"/>
        <w:rPr>
          <w:rStyle w:val="27"/>
          <w:rFonts w:ascii="宋体" w:hAnsi="宋体"/>
          <w:sz w:val="32"/>
          <w:szCs w:val="32"/>
        </w:rPr>
      </w:pPr>
    </w:p>
    <w:p w14:paraId="3F6794BF">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14:paraId="5D9E4998">
          <w:pPr>
            <w:pStyle w:val="48"/>
            <w:spacing w:line="360" w:lineRule="auto"/>
            <w:jc w:val="center"/>
          </w:pPr>
          <w:permStart w:id="2" w:edGrp="everyone"/>
          <w:bookmarkStart w:id="0" w:name="_Toc78276587"/>
          <w:r>
            <w:rPr>
              <w:lang w:val="zh-CN"/>
            </w:rPr>
            <w:t>目录</w:t>
          </w:r>
        </w:p>
        <w:p w14:paraId="50E5F012">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14:paraId="650FF06A">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14:paraId="77864C04">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14:paraId="40643F12">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14:paraId="7BA3CCEE">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14:paraId="3DEED6AD">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14:paraId="65A7C036">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14:paraId="2B0CD978">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14:paraId="0B808E59">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14:paraId="2E71E8D8">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14:paraId="6CB436E5">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14:paraId="3C54848A">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14:paraId="366EA688">
          <w:pPr>
            <w:spacing w:line="360" w:lineRule="auto"/>
          </w:pPr>
          <w:r>
            <w:fldChar w:fldCharType="end"/>
          </w:r>
        </w:p>
      </w:sdtContent>
    </w:sdt>
    <w:permEnd w:id="2"/>
    <w:p w14:paraId="786EC8CC">
      <w:pPr>
        <w:rPr>
          <w:rFonts w:ascii="Times New Roman"/>
          <w:sz w:val="30"/>
        </w:rPr>
      </w:pPr>
      <w:r>
        <w:rPr>
          <w:rFonts w:ascii="Times New Roman"/>
          <w:sz w:val="30"/>
        </w:rPr>
        <w:br w:type="page"/>
      </w:r>
    </w:p>
    <w:p w14:paraId="7E530F8F">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14:paraId="75E3B835">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14:paraId="12348A53">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14:paraId="1FAD37A5">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14:paraId="75EFED87">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14:paraId="3FF1DA7C">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14:paraId="178E3017">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国家金融监督管理总局认定的其他业务活动</w:t>
      </w:r>
      <w:r>
        <w:rPr>
          <w:rFonts w:asciiTheme="majorEastAsia" w:hAnsiTheme="majorEastAsia" w:eastAsiaTheme="majorEastAsia"/>
          <w:bCs/>
          <w:color w:val="auto"/>
          <w:sz w:val="18"/>
          <w:szCs w:val="18"/>
        </w:rPr>
        <w:t>。各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14:paraId="7DD3E678">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14:paraId="4D0AF2D7">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14:paraId="4D41A64C">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14:paraId="0FE0C5B7">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14:paraId="49464997">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14:paraId="609957DC">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14:paraId="2CECC955">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14:paraId="0355EAC9">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w:t>
      </w:r>
      <w:permStart w:id="4"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甄合封闭式固收类</w:t>
      </w:r>
      <w:r>
        <w:rPr>
          <w:rFonts w:hint="eastAsia" w:asciiTheme="majorEastAsia" w:hAnsiTheme="majorEastAsia" w:eastAsiaTheme="majorEastAsia"/>
          <w:bCs/>
          <w:sz w:val="18"/>
          <w:szCs w:val="18"/>
        </w:rPr>
        <w:t>】理财产品</w:t>
      </w:r>
      <w:permEnd w:id="4"/>
      <w:r>
        <w:rPr>
          <w:rFonts w:hint="eastAsia" w:asciiTheme="majorEastAsia" w:hAnsiTheme="majorEastAsia" w:eastAsiaTheme="majorEastAsia"/>
          <w:bCs/>
          <w:sz w:val="18"/>
          <w:szCs w:val="18"/>
        </w:rPr>
        <w:t>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14:paraId="0F6E7F21">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w:t>
      </w:r>
      <w:permStart w:id="5"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甄合封闭式固收类</w:t>
      </w:r>
      <w:r>
        <w:rPr>
          <w:rFonts w:hint="eastAsia" w:asciiTheme="majorEastAsia" w:hAnsiTheme="majorEastAsia" w:eastAsiaTheme="majorEastAsia"/>
          <w:bCs/>
          <w:sz w:val="18"/>
          <w:szCs w:val="18"/>
        </w:rPr>
        <w:t>】理财产品</w:t>
      </w:r>
      <w:permEnd w:id="5"/>
      <w:r>
        <w:rPr>
          <w:rFonts w:hint="eastAsia" w:asciiTheme="majorEastAsia" w:hAnsiTheme="majorEastAsia" w:eastAsiaTheme="majorEastAsia"/>
          <w:bCs/>
          <w:sz w:val="18"/>
          <w:szCs w:val="18"/>
        </w:rPr>
        <w:t>投资协议书》，以及对该文件的有效修改或补充。</w:t>
      </w:r>
    </w:p>
    <w:p w14:paraId="2EBFDFCA">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w:t>
      </w:r>
      <w:permStart w:id="6"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甄合封闭式固收类</w:t>
      </w:r>
      <w:r>
        <w:rPr>
          <w:rFonts w:hint="eastAsia" w:asciiTheme="majorEastAsia" w:hAnsiTheme="majorEastAsia" w:eastAsiaTheme="majorEastAsia"/>
          <w:bCs/>
          <w:sz w:val="18"/>
          <w:szCs w:val="18"/>
        </w:rPr>
        <w:t>】理财产品</w:t>
      </w:r>
      <w:permEnd w:id="6"/>
      <w:r>
        <w:rPr>
          <w:rFonts w:hint="eastAsia" w:asciiTheme="majorEastAsia" w:hAnsiTheme="majorEastAsia" w:eastAsiaTheme="majorEastAsia"/>
          <w:bCs/>
          <w:sz w:val="18"/>
          <w:szCs w:val="18"/>
        </w:rPr>
        <w:t>产品说明书》，以及对该文件的有效修改或补充。</w:t>
      </w:r>
    </w:p>
    <w:p w14:paraId="10960BA7">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w:t>
      </w:r>
      <w:permStart w:id="7"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甄合封闭式固收类</w:t>
      </w:r>
      <w:r>
        <w:rPr>
          <w:rFonts w:hint="eastAsia" w:asciiTheme="majorEastAsia" w:hAnsiTheme="majorEastAsia" w:eastAsiaTheme="majorEastAsia"/>
          <w:bCs/>
          <w:sz w:val="18"/>
          <w:szCs w:val="18"/>
        </w:rPr>
        <w:t>】理财产品</w:t>
      </w:r>
      <w:permEnd w:id="7"/>
      <w:r>
        <w:rPr>
          <w:rFonts w:hint="eastAsia" w:asciiTheme="majorEastAsia" w:hAnsiTheme="majorEastAsia" w:eastAsiaTheme="majorEastAsia"/>
          <w:bCs/>
          <w:sz w:val="18"/>
          <w:szCs w:val="18"/>
        </w:rPr>
        <w:t>（代理）销售协议书》或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8"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甄合封闭式固收类</w:t>
      </w:r>
      <w:r>
        <w:rPr>
          <w:rFonts w:hint="eastAsia" w:asciiTheme="majorEastAsia" w:hAnsiTheme="majorEastAsia" w:eastAsiaTheme="majorEastAsia"/>
          <w:bCs/>
          <w:sz w:val="18"/>
          <w:szCs w:val="18"/>
        </w:rPr>
        <w:t>】理财产品</w:t>
      </w:r>
      <w:permEnd w:id="8"/>
      <w:r>
        <w:rPr>
          <w:rFonts w:hint="eastAsia" w:asciiTheme="majorEastAsia" w:hAnsiTheme="majorEastAsia" w:eastAsiaTheme="majorEastAsia"/>
          <w:bCs/>
          <w:sz w:val="18"/>
          <w:szCs w:val="18"/>
        </w:rPr>
        <w:t>（代理）销售协议书》（文件名称以代理销售机构实际编制为准），以及对该文件的有效修改或补充。</w:t>
      </w:r>
    </w:p>
    <w:p w14:paraId="5836E7E2">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w:t>
      </w:r>
      <w:permStart w:id="9"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甄合封闭式固收类</w:t>
      </w:r>
      <w:r>
        <w:rPr>
          <w:rFonts w:hint="eastAsia" w:asciiTheme="majorEastAsia" w:hAnsiTheme="majorEastAsia" w:eastAsiaTheme="majorEastAsia"/>
          <w:bCs/>
          <w:sz w:val="18"/>
          <w:szCs w:val="18"/>
        </w:rPr>
        <w:t>】理财产品</w:t>
      </w:r>
      <w:permEnd w:id="9"/>
      <w:r>
        <w:rPr>
          <w:rFonts w:hint="eastAsia" w:asciiTheme="majorEastAsia" w:hAnsiTheme="majorEastAsia" w:eastAsiaTheme="majorEastAsia"/>
          <w:bCs/>
          <w:sz w:val="18"/>
          <w:szCs w:val="18"/>
        </w:rPr>
        <w:t>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10"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甄合封闭式固收类</w:t>
      </w:r>
      <w:r>
        <w:rPr>
          <w:rFonts w:hint="eastAsia" w:asciiTheme="majorEastAsia" w:hAnsiTheme="majorEastAsia" w:eastAsiaTheme="majorEastAsia"/>
          <w:bCs/>
          <w:sz w:val="18"/>
          <w:szCs w:val="18"/>
        </w:rPr>
        <w:t>】理财产品</w:t>
      </w:r>
      <w:permEnd w:id="10"/>
      <w:r>
        <w:rPr>
          <w:rFonts w:hint="eastAsia" w:asciiTheme="majorEastAsia" w:hAnsiTheme="majorEastAsia" w:eastAsiaTheme="majorEastAsia"/>
          <w:bCs/>
          <w:sz w:val="18"/>
          <w:szCs w:val="18"/>
        </w:rPr>
        <w:t>风险揭示书》（文件名称以代理销售机构实际编制为准），以及对该文件的有效修改或补充。</w:t>
      </w:r>
    </w:p>
    <w:p w14:paraId="78E12C2B">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w:t>
      </w:r>
      <w:permStart w:id="11"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甄合封闭式固收类</w:t>
      </w:r>
      <w:r>
        <w:rPr>
          <w:rFonts w:hint="eastAsia" w:asciiTheme="majorEastAsia" w:hAnsiTheme="majorEastAsia" w:eastAsiaTheme="majorEastAsia"/>
          <w:bCs/>
          <w:sz w:val="18"/>
          <w:szCs w:val="18"/>
        </w:rPr>
        <w:t>】理财产品</w:t>
      </w:r>
      <w:permEnd w:id="11"/>
      <w:r>
        <w:rPr>
          <w:rFonts w:hint="eastAsia" w:asciiTheme="majorEastAsia" w:hAnsiTheme="majorEastAsia" w:eastAsiaTheme="majorEastAsia"/>
          <w:bCs/>
          <w:sz w:val="18"/>
          <w:szCs w:val="18"/>
        </w:rPr>
        <w:t>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w:t>
      </w:r>
      <w:permStart w:id="12"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甄合封闭式固收类</w:t>
      </w:r>
      <w:r>
        <w:rPr>
          <w:rFonts w:hint="eastAsia" w:asciiTheme="majorEastAsia" w:hAnsiTheme="majorEastAsia" w:eastAsiaTheme="majorEastAsia"/>
          <w:bCs/>
          <w:sz w:val="18"/>
          <w:szCs w:val="18"/>
        </w:rPr>
        <w:t>】理财产品</w:t>
      </w:r>
      <w:permEnd w:id="12"/>
      <w:r>
        <w:rPr>
          <w:rFonts w:hint="eastAsia" w:asciiTheme="majorEastAsia" w:hAnsiTheme="majorEastAsia" w:eastAsiaTheme="majorEastAsia"/>
          <w:bCs/>
          <w:sz w:val="18"/>
          <w:szCs w:val="18"/>
        </w:rPr>
        <w:t>投资者权益须知》（文件名称以代理销售机构实际编制为准），以及对该文件的有效修改或补充。</w:t>
      </w:r>
    </w:p>
    <w:p w14:paraId="00EEDE79">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14:paraId="24A3122A">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14:paraId="7F65FDB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14:paraId="5FF811E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14:paraId="61D2C9EA">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14:paraId="405B80C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14:paraId="1995433D">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14:paraId="7905F145">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14:paraId="5B6154E0">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14:paraId="165552B5">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14:paraId="70883DB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14:paraId="113AA1FD">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w:t>
      </w:r>
    </w:p>
    <w:p w14:paraId="0C1DE33E">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14:paraId="6C17C99B">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14:paraId="490806F6">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14:paraId="59A20B77">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14:paraId="5A0381C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14:paraId="4B07F4B1">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14:paraId="3C2EF6D0">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14:paraId="49515871">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14:paraId="25562224">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14:paraId="0F46703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14:paraId="3AD8F5E0">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14:paraId="52340511">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14:paraId="69A3CC8C">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14:paraId="42140D2A">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14:paraId="22FF8213">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14:paraId="7FD329CA">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14:paraId="6F7B8F8E">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14:paraId="6AA569D5">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14:paraId="4045C390">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14:paraId="0DEA3F8E">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工作日：指除中国法定节假日和公休日外的其他日。</w:t>
      </w:r>
    </w:p>
    <w:p w14:paraId="68957DE7">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14:paraId="26196888">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14:paraId="66342058">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14:paraId="2CE23385">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14:paraId="4F6060C0">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14:paraId="3217520D">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14:paraId="148E3E3A">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14:paraId="215B6DD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14:paraId="5BEC1A27">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14:paraId="227BB864">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14:paraId="2EFF91EF">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14:paraId="3A8ECA5B">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14:paraId="1D1D209E">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14:paraId="4A08DF2F">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14:paraId="1FA4F6D6">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14:paraId="6DFCC9F8">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14:paraId="222E10C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14:paraId="6ACEEB97">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14:paraId="641FAC4E">
      <w:pPr>
        <w:pStyle w:val="2"/>
        <w:spacing w:before="0" w:after="0" w:line="360" w:lineRule="auto"/>
        <w:jc w:val="center"/>
        <w:rPr>
          <w:rFonts w:hAnsi="宋体"/>
          <w:sz w:val="28"/>
          <w:szCs w:val="28"/>
        </w:rPr>
      </w:pPr>
      <w:bookmarkStart w:id="2" w:name="_Toc176189754"/>
      <w:bookmarkStart w:id="3" w:name="_Toc79154665"/>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14:paraId="4F64B0E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14:paraId="47048946">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vAlign w:val="top"/>
          </w:tcPr>
          <w:p w14:paraId="5AF662AD">
            <w:pPr>
              <w:spacing w:line="360" w:lineRule="auto"/>
              <w:jc w:val="left"/>
              <w:rPr>
                <w:rFonts w:ascii="宋体" w:hAnsi="宋体"/>
                <w:bCs/>
                <w:color w:val="auto"/>
                <w:sz w:val="18"/>
                <w:szCs w:val="18"/>
              </w:rPr>
            </w:pPr>
            <w:r>
              <w:rPr>
                <w:rFonts w:hint="eastAsia" w:ascii="宋体" w:hAnsi="宋体"/>
                <w:bCs/>
                <w:color w:val="auto"/>
                <w:sz w:val="18"/>
                <w:szCs w:val="18"/>
              </w:rPr>
              <w:t>【</w:t>
            </w:r>
            <w:r>
              <w:rPr>
                <w:rFonts w:hint="eastAsia" w:ascii="宋体" w:hAnsi="宋体" w:cs="仿宋_GB2312"/>
                <w:color w:val="auto"/>
                <w:kern w:val="0"/>
                <w:sz w:val="18"/>
                <w:szCs w:val="18"/>
              </w:rPr>
              <w:t>兴银理财甄合封闭式</w:t>
            </w:r>
            <w:r>
              <w:rPr>
                <w:rFonts w:hint="eastAsia" w:ascii="宋体" w:hAnsi="宋体" w:cs="仿宋_GB2312"/>
                <w:color w:val="auto"/>
                <w:kern w:val="0"/>
                <w:sz w:val="18"/>
                <w:szCs w:val="18"/>
                <w:lang w:val="en-US" w:eastAsia="zh-CN"/>
              </w:rPr>
              <w:t>54</w:t>
            </w:r>
            <w:r>
              <w:rPr>
                <w:rFonts w:hint="eastAsia" w:ascii="宋体" w:hAnsi="宋体" w:cs="仿宋_GB2312"/>
                <w:color w:val="auto"/>
                <w:kern w:val="0"/>
                <w:sz w:val="18"/>
                <w:szCs w:val="18"/>
              </w:rPr>
              <w:t>号固收类理财产品</w:t>
            </w:r>
            <w:r>
              <w:rPr>
                <w:rFonts w:hint="eastAsia" w:ascii="宋体" w:hAnsi="宋体"/>
                <w:bCs/>
                <w:color w:val="auto"/>
                <w:sz w:val="18"/>
                <w:szCs w:val="18"/>
              </w:rPr>
              <w:t>】</w:t>
            </w:r>
          </w:p>
        </w:tc>
      </w:tr>
      <w:tr w14:paraId="41E3857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14:paraId="235E9FC8">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vAlign w:val="center"/>
          </w:tcPr>
          <w:p w14:paraId="231CABF5">
            <w:pPr>
              <w:spacing w:line="360" w:lineRule="auto"/>
              <w:jc w:val="left"/>
              <w:rPr>
                <w:rFonts w:ascii="宋体" w:hAnsi="宋体"/>
                <w:color w:val="auto"/>
                <w:kern w:val="0"/>
                <w:sz w:val="22"/>
              </w:rPr>
            </w:pPr>
            <w:r>
              <w:rPr>
                <w:rFonts w:hint="eastAsia" w:ascii="宋体" w:hAnsi="宋体"/>
                <w:bCs/>
                <w:color w:val="auto"/>
                <w:sz w:val="18"/>
                <w:szCs w:val="18"/>
              </w:rPr>
              <w:t>【甄合封闭式54号（兴普惠</w:t>
            </w:r>
            <w:r>
              <w:rPr>
                <w:rFonts w:hint="eastAsia" w:ascii="宋体" w:hAnsi="宋体"/>
                <w:bCs/>
                <w:color w:val="auto"/>
                <w:sz w:val="18"/>
                <w:szCs w:val="18"/>
                <w:lang w:eastAsia="zh-CN"/>
              </w:rPr>
              <w:t>）</w:t>
            </w:r>
            <w:r>
              <w:rPr>
                <w:rFonts w:hint="eastAsia" w:ascii="宋体" w:hAnsi="宋体" w:cs="仿宋_GB2312"/>
                <w:color w:val="auto"/>
                <w:kern w:val="0"/>
                <w:sz w:val="18"/>
                <w:szCs w:val="18"/>
              </w:rPr>
              <w:t>】</w:t>
            </w:r>
          </w:p>
        </w:tc>
      </w:tr>
      <w:tr w14:paraId="57F3C13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14:paraId="2E40D0BA">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vAlign w:val="top"/>
          </w:tcPr>
          <w:p w14:paraId="3DB9AF16">
            <w:pPr>
              <w:spacing w:line="360" w:lineRule="auto"/>
              <w:jc w:val="left"/>
              <w:rPr>
                <w:rFonts w:ascii="宋体" w:hAnsi="宋体"/>
                <w:b/>
                <w:color w:val="auto"/>
                <w:sz w:val="18"/>
                <w:szCs w:val="18"/>
              </w:rPr>
            </w:pPr>
            <w:r>
              <w:rPr>
                <w:rFonts w:hint="eastAsia" w:ascii="宋体" w:hAnsi="宋体"/>
                <w:bCs/>
                <w:color w:val="auto"/>
                <w:sz w:val="18"/>
                <w:szCs w:val="18"/>
              </w:rPr>
              <w:t>【Z7002025002448】注：投资者可依据理财产品登记编码在中国理财网查询产品信息</w:t>
            </w:r>
            <w:r>
              <w:rPr>
                <w:rFonts w:hint="eastAsia" w:ascii="宋体" w:hAnsi="宋体"/>
                <w:bCs/>
                <w:color w:val="auto"/>
                <w:sz w:val="18"/>
                <w:szCs w:val="18"/>
              </w:rPr>
              <w:fldChar w:fldCharType="begin"/>
            </w:r>
            <w:r>
              <w:rPr>
                <w:rFonts w:hint="eastAsia" w:ascii="宋体" w:hAnsi="宋体"/>
                <w:bCs/>
                <w:color w:val="auto"/>
                <w:sz w:val="18"/>
                <w:szCs w:val="18"/>
              </w:rPr>
              <w:instrText xml:space="preserve"> HYPERLINK "http://www.chinawealth.com.cn" </w:instrText>
            </w:r>
            <w:r>
              <w:rPr>
                <w:rFonts w:hint="eastAsia" w:ascii="宋体" w:hAnsi="宋体"/>
                <w:bCs/>
                <w:color w:val="auto"/>
                <w:sz w:val="18"/>
                <w:szCs w:val="18"/>
              </w:rPr>
              <w:fldChar w:fldCharType="separate"/>
            </w:r>
            <w:r>
              <w:rPr>
                <w:rFonts w:hint="eastAsia" w:ascii="宋体" w:hAnsi="宋体"/>
                <w:bCs/>
                <w:color w:val="auto"/>
                <w:sz w:val="18"/>
                <w:szCs w:val="18"/>
              </w:rPr>
              <w:t>www.chinawealth.com.cn</w:t>
            </w:r>
            <w:r>
              <w:rPr>
                <w:rFonts w:hint="eastAsia" w:ascii="宋体" w:hAnsi="宋体"/>
                <w:bCs/>
                <w:color w:val="auto"/>
                <w:sz w:val="18"/>
                <w:szCs w:val="18"/>
              </w:rPr>
              <w:fldChar w:fldCharType="end"/>
            </w:r>
          </w:p>
        </w:tc>
      </w:tr>
      <w:tr w14:paraId="2ECD939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14:paraId="2093A712">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14:paraId="2341003E">
            <w:pPr>
              <w:spacing w:line="360" w:lineRule="auto"/>
              <w:jc w:val="left"/>
              <w:rPr>
                <w:rFonts w:ascii="宋体" w:hAnsi="宋体"/>
                <w:bCs/>
                <w:color w:val="auto"/>
                <w:sz w:val="18"/>
                <w:szCs w:val="18"/>
              </w:rPr>
            </w:pPr>
            <w:r>
              <w:rPr>
                <w:rFonts w:hint="eastAsia" w:ascii="宋体" w:hAnsi="宋体"/>
                <w:bCs/>
                <w:color w:val="auto"/>
                <w:sz w:val="18"/>
                <w:szCs w:val="18"/>
              </w:rPr>
              <w:t>【9ZH63540】</w:t>
            </w:r>
          </w:p>
        </w:tc>
      </w:tr>
      <w:tr w14:paraId="1A3DF8E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14:paraId="4B128AF2">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vAlign w:val="center"/>
          </w:tcPr>
          <w:p w14:paraId="09DD9CCC">
            <w:pPr>
              <w:spacing w:line="360" w:lineRule="auto"/>
              <w:jc w:val="left"/>
              <w:rPr>
                <w:rFonts w:hAnsi="宋体"/>
                <w:color w:val="auto"/>
                <w:sz w:val="18"/>
                <w:szCs w:val="18"/>
              </w:rPr>
            </w:pPr>
            <w:r>
              <w:rPr>
                <w:rFonts w:hint="eastAsia" w:ascii="宋体" w:hAnsi="宋体"/>
                <w:bCs/>
                <w:color w:val="auto"/>
                <w:sz w:val="18"/>
                <w:szCs w:val="18"/>
              </w:rPr>
              <w:t>【9ZH63540】</w:t>
            </w:r>
          </w:p>
        </w:tc>
      </w:tr>
      <w:tr w14:paraId="4DE97DA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14:paraId="7FDC8003">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14:paraId="5DE9281F">
            <w:pPr>
              <w:spacing w:line="360" w:lineRule="auto"/>
              <w:rPr>
                <w:rFonts w:ascii="宋体" w:hAnsi="宋体"/>
                <w:b/>
                <w:bCs/>
                <w:sz w:val="18"/>
                <w:szCs w:val="18"/>
              </w:rPr>
            </w:pPr>
            <w:r>
              <w:rPr>
                <w:rFonts w:hint="eastAsia" w:ascii="宋体" w:hAnsi="宋体"/>
                <w:bCs/>
                <w:sz w:val="18"/>
                <w:szCs w:val="18"/>
                <w:lang w:val="en-US" w:eastAsia="zh-CN"/>
              </w:rPr>
              <w:t>本产品不设置差异化子份额类别。</w:t>
            </w:r>
          </w:p>
        </w:tc>
      </w:tr>
      <w:tr w14:paraId="2E467AE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77AC64B5">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14:paraId="2DA6D5DE">
            <w:pPr>
              <w:spacing w:line="360" w:lineRule="auto"/>
              <w:rPr>
                <w:rFonts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14:paraId="5C6490A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E8D8B0C">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14:paraId="38751BDC">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14:paraId="47F29EB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7819191F">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14:paraId="1FD7B1D5">
            <w:pPr>
              <w:spacing w:line="360" w:lineRule="auto"/>
              <w:rPr>
                <w:rFonts w:ascii="宋体" w:hAnsi="宋体"/>
                <w:bCs/>
                <w:sz w:val="18"/>
                <w:szCs w:val="18"/>
              </w:rPr>
            </w:pPr>
            <w:r>
              <w:rPr>
                <w:rFonts w:hint="eastAsia" w:ascii="宋体" w:hAnsi="宋体"/>
                <w:bCs/>
                <w:sz w:val="18"/>
                <w:szCs w:val="18"/>
              </w:rPr>
              <w:t>封闭式</w:t>
            </w:r>
          </w:p>
        </w:tc>
      </w:tr>
      <w:tr w14:paraId="0FEA478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5C3C8633">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14:paraId="3EFBC63B">
            <w:pPr>
              <w:adjustRightInd w:val="0"/>
              <w:snapToGrid w:val="0"/>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14:paraId="39979856">
            <w:pPr>
              <w:adjustRightInd w:val="0"/>
              <w:snapToGrid w:val="0"/>
              <w:spacing w:line="360" w:lineRule="auto"/>
              <w:rPr>
                <w:rFonts w:ascii="黑体" w:hAnsi="黑体" w:eastAsia="黑体"/>
                <w:bCs/>
                <w:sz w:val="18"/>
                <w:szCs w:val="18"/>
              </w:rPr>
            </w:pPr>
            <w:r>
              <w:rPr>
                <w:rFonts w:hint="eastAsia" w:ascii="黑体" w:hAnsi="黑体" w:eastAsia="黑体"/>
                <w:sz w:val="18"/>
                <w:szCs w:val="18"/>
              </w:rPr>
              <w:t>固定</w:t>
            </w:r>
            <w:r>
              <w:rPr>
                <w:rFonts w:ascii="黑体" w:hAnsi="黑体" w:eastAsia="黑体"/>
                <w:sz w:val="18"/>
                <w:szCs w:val="18"/>
              </w:rPr>
              <w:t>收益</w:t>
            </w:r>
            <w:r>
              <w:rPr>
                <w:rFonts w:hint="eastAsia" w:ascii="黑体" w:hAnsi="黑体" w:eastAsia="黑体"/>
                <w:sz w:val="18"/>
                <w:szCs w:val="18"/>
              </w:rPr>
              <w:t>类</w:t>
            </w:r>
            <w:r>
              <w:rPr>
                <w:rFonts w:ascii="黑体" w:hAnsi="黑体" w:eastAsia="黑体"/>
                <w:sz w:val="18"/>
                <w:szCs w:val="18"/>
              </w:rPr>
              <w:t>产品是指根据监管</w:t>
            </w:r>
            <w:r>
              <w:rPr>
                <w:rFonts w:hint="eastAsia" w:ascii="黑体" w:hAnsi="黑体" w:eastAsia="黑体"/>
                <w:sz w:val="18"/>
                <w:szCs w:val="18"/>
              </w:rPr>
              <w:t>相关规定</w:t>
            </w:r>
            <w:r>
              <w:rPr>
                <w:rFonts w:ascii="黑体" w:hAnsi="黑体" w:eastAsia="黑体"/>
                <w:sz w:val="18"/>
                <w:szCs w:val="18"/>
              </w:rPr>
              <w:t>，投资于债权类资产的</w:t>
            </w:r>
            <w:r>
              <w:rPr>
                <w:rFonts w:hint="eastAsia" w:ascii="黑体" w:hAnsi="黑体" w:eastAsia="黑体"/>
                <w:sz w:val="18"/>
                <w:szCs w:val="18"/>
              </w:rPr>
              <w:t>比例</w:t>
            </w:r>
            <w:r>
              <w:rPr>
                <w:rFonts w:ascii="黑体" w:hAnsi="黑体" w:eastAsia="黑体"/>
                <w:sz w:val="18"/>
                <w:szCs w:val="18"/>
              </w:rPr>
              <w:t>不低于80%的产品</w:t>
            </w:r>
            <w:r>
              <w:rPr>
                <w:rFonts w:hint="eastAsia" w:ascii="黑体" w:hAnsi="黑体" w:eastAsia="黑体"/>
                <w:bCs/>
                <w:sz w:val="18"/>
                <w:szCs w:val="18"/>
              </w:rPr>
              <w:t>。</w:t>
            </w:r>
          </w:p>
        </w:tc>
      </w:tr>
      <w:tr w14:paraId="6145719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21ED472">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14:paraId="75679767">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14:paraId="657FA3A4">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14:paraId="64287053">
            <w:pPr>
              <w:adjustRightInd w:val="0"/>
              <w:snapToGrid w:val="0"/>
              <w:spacing w:line="360" w:lineRule="auto"/>
              <w:rPr>
                <w:rFonts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14:paraId="2949AB8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8691C71">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14:paraId="1609823A">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14:paraId="3C3107F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009F5660">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14:paraId="0C3B777E">
            <w:pPr>
              <w:spacing w:line="360" w:lineRule="auto"/>
              <w:rPr>
                <w:rFonts w:hint="eastAsia" w:ascii="黑体" w:hAnsi="黑体" w:eastAsia="黑体" w:cs="黑体"/>
                <w:bCs/>
                <w:sz w:val="18"/>
                <w:szCs w:val="18"/>
              </w:rPr>
            </w:pPr>
            <w:r>
              <w:rPr>
                <w:rFonts w:hint="eastAsia" w:ascii="黑体" w:hAnsi="黑体" w:eastAsia="黑体" w:cs="黑体"/>
                <w:bCs/>
                <w:sz w:val="18"/>
                <w:szCs w:val="18"/>
              </w:rPr>
              <w:t>本产品属于【□ R1、■ R2、</w:t>
            </w:r>
            <w:r>
              <w:rPr>
                <w:rFonts w:hint="eastAsia" w:ascii="黑体" w:hAnsi="黑体" w:eastAsia="黑体" w:cs="黑体"/>
                <w:bCs/>
                <w:sz w:val="18"/>
                <w:szCs w:val="18"/>
                <w:lang w:eastAsia="zh-CN"/>
              </w:rPr>
              <w:t>□</w:t>
            </w:r>
            <w:r>
              <w:rPr>
                <w:rFonts w:hint="eastAsia" w:ascii="黑体" w:hAnsi="黑体" w:eastAsia="黑体" w:cs="黑体"/>
                <w:bCs/>
                <w:sz w:val="18"/>
                <w:szCs w:val="18"/>
              </w:rPr>
              <w:t xml:space="preserve"> R3、</w:t>
            </w:r>
            <w:r>
              <w:rPr>
                <w:rFonts w:hint="eastAsia" w:ascii="黑体" w:hAnsi="黑体" w:eastAsia="黑体" w:cs="黑体"/>
                <w:bCs/>
                <w:sz w:val="18"/>
                <w:szCs w:val="18"/>
                <w:lang w:eastAsia="zh-CN"/>
              </w:rPr>
              <w:t>□</w:t>
            </w:r>
            <w:r>
              <w:rPr>
                <w:rFonts w:hint="eastAsia" w:ascii="黑体" w:hAnsi="黑体" w:eastAsia="黑体" w:cs="黑体"/>
                <w:bCs/>
                <w:sz w:val="18"/>
                <w:szCs w:val="18"/>
              </w:rPr>
              <w:t xml:space="preserve"> R4、</w:t>
            </w:r>
            <w:r>
              <w:rPr>
                <w:rFonts w:hint="eastAsia" w:ascii="黑体" w:hAnsi="黑体" w:eastAsia="黑体" w:cs="黑体"/>
                <w:bCs/>
                <w:sz w:val="18"/>
                <w:szCs w:val="18"/>
                <w:lang w:eastAsia="zh-CN"/>
              </w:rPr>
              <w:t>□</w:t>
            </w:r>
            <w:r>
              <w:rPr>
                <w:rFonts w:hint="eastAsia" w:ascii="黑体" w:hAnsi="黑体" w:eastAsia="黑体" w:cs="黑体"/>
                <w:bCs/>
                <w:sz w:val="18"/>
                <w:szCs w:val="18"/>
              </w:rPr>
              <w:t xml:space="preserve"> R5】理财产品。</w:t>
            </w:r>
          </w:p>
          <w:p w14:paraId="1F2F046B">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14:paraId="5B248D9B">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14:paraId="6F01ED0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A00E848">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14:paraId="76E31F8E">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14:paraId="06674436">
            <w:pPr>
              <w:spacing w:line="360" w:lineRule="auto"/>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14:paraId="5C49D786">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w:t>
            </w:r>
            <w:bookmarkStart w:id="156" w:name="_GoBack"/>
            <w:bookmarkEnd w:id="156"/>
            <w:r>
              <w:rPr>
                <w:rFonts w:hint="eastAsia" w:asciiTheme="majorEastAsia" w:hAnsiTheme="majorEastAsia" w:eastAsiaTheme="majorEastAsia"/>
                <w:bCs/>
                <w:color w:val="000000" w:themeColor="text1"/>
                <w:sz w:val="18"/>
                <w:szCs w:val="18"/>
                <w14:textFill>
                  <w14:solidFill>
                    <w14:schemeClr w14:val="tx1"/>
                  </w14:solidFill>
                </w14:textFill>
              </w:rPr>
              <w:t>机构投资者</w:t>
            </w:r>
          </w:p>
        </w:tc>
      </w:tr>
      <w:tr w14:paraId="2CA6EF1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03842F7">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14:paraId="056F143B">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14:paraId="744EBB56">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14:paraId="67C6017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D341D16">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14:paraId="3307EDAC">
            <w:pPr>
              <w:spacing w:line="360" w:lineRule="auto"/>
              <w:jc w:val="left"/>
              <w:rPr>
                <w:rFonts w:ascii="宋体" w:hAnsi="宋体"/>
                <w:sz w:val="18"/>
                <w:szCs w:val="18"/>
              </w:rPr>
            </w:pPr>
            <w:r>
              <w:rPr>
                <w:rFonts w:hint="eastAsia" w:ascii="宋体" w:hAnsi="宋体"/>
                <w:sz w:val="18"/>
                <w:szCs w:val="18"/>
              </w:rPr>
              <w:t>□ 直销适用</w:t>
            </w:r>
          </w:p>
          <w:p w14:paraId="20983AFB">
            <w:pPr>
              <w:spacing w:line="360" w:lineRule="auto"/>
              <w:jc w:val="left"/>
              <w:rPr>
                <w:rFonts w:ascii="宋体" w:hAnsi="宋体"/>
                <w:sz w:val="18"/>
                <w:szCs w:val="18"/>
              </w:rPr>
            </w:pPr>
            <w:r>
              <w:rPr>
                <w:rFonts w:hint="eastAsia" w:ascii="宋体" w:hAnsi="宋体"/>
                <w:sz w:val="18"/>
                <w:szCs w:val="18"/>
              </w:rPr>
              <w:t>本产品由产品管理人销售。</w:t>
            </w:r>
          </w:p>
          <w:p w14:paraId="203C1B1D">
            <w:pPr>
              <w:spacing w:line="360" w:lineRule="auto"/>
              <w:jc w:val="left"/>
              <w:rPr>
                <w:rFonts w:hint="eastAsia" w:ascii="宋体" w:hAnsi="宋体"/>
                <w:sz w:val="18"/>
                <w:szCs w:val="18"/>
              </w:rPr>
            </w:pPr>
            <w:r>
              <w:rPr>
                <w:rFonts w:hint="eastAsia" w:ascii="宋体" w:hAnsi="宋体"/>
                <w:sz w:val="18"/>
                <w:szCs w:val="18"/>
              </w:rPr>
              <w:t>■ 代销适用</w:t>
            </w:r>
          </w:p>
          <w:p w14:paraId="3EFB8DE2">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14:paraId="254CDE7F">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14:paraId="556C9B0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5D1D59B2">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14:paraId="453C4696">
            <w:pPr>
              <w:spacing w:line="360" w:lineRule="auto"/>
              <w:rPr>
                <w:rFonts w:asciiTheme="majorEastAsia" w:hAnsiTheme="majorEastAsia" w:eastAsiaTheme="majorEastAsia"/>
                <w:bCs/>
                <w:sz w:val="18"/>
                <w:szCs w:val="18"/>
              </w:rPr>
            </w:pPr>
            <w:r>
              <w:rPr>
                <w:rFonts w:hint="eastAsia" w:ascii="黑体" w:hAnsi="黑体" w:eastAsia="黑体" w:cs="黑体"/>
                <w:bCs/>
                <w:sz w:val="18"/>
                <w:szCs w:val="18"/>
              </w:rPr>
              <w:t>兴银理财有限责任公司</w:t>
            </w:r>
          </w:p>
        </w:tc>
      </w:tr>
      <w:tr w14:paraId="4D06539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50C31C0">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14:paraId="05D2365C">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14:paraId="3705B21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4C66D82">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14:paraId="145AA550">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hint="eastAsia" w:asciiTheme="majorEastAsia" w:hAnsiTheme="majorEastAsia" w:eastAsiaTheme="majorEastAsia"/>
                <w:bCs/>
                <w:sz w:val="18"/>
                <w:szCs w:val="18"/>
                <w:lang w:val="en-US" w:eastAsia="zh-CN"/>
              </w:rPr>
              <w:t>2</w:t>
            </w:r>
            <w:r>
              <w:rPr>
                <w:rFonts w:hint="eastAsia" w:asciiTheme="majorEastAsia" w:hAnsiTheme="majorEastAsia" w:eastAsiaTheme="majorEastAsia"/>
                <w:bCs/>
                <w:sz w:val="18"/>
                <w:szCs w:val="18"/>
              </w:rPr>
              <w:t>】亿元，最小成立规模为【</w:t>
            </w:r>
            <w:r>
              <w:rPr>
                <w:rFonts w:hint="eastAsia" w:asciiTheme="majorEastAsia" w:hAnsiTheme="majorEastAsia" w:eastAsiaTheme="majorEastAsia"/>
                <w:bCs/>
                <w:sz w:val="18"/>
                <w:szCs w:val="18"/>
                <w:lang w:val="en-US" w:eastAsia="zh-CN"/>
              </w:rPr>
              <w:t>/</w:t>
            </w:r>
            <w:r>
              <w:rPr>
                <w:rFonts w:hint="eastAsia" w:asciiTheme="majorEastAsia" w:hAnsiTheme="majorEastAsia" w:eastAsiaTheme="majorEastAsia"/>
                <w:bCs/>
                <w:sz w:val="18"/>
                <w:szCs w:val="18"/>
              </w:rPr>
              <w:t>】亿元。</w:t>
            </w:r>
          </w:p>
          <w:p w14:paraId="70D043FA">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14:paraId="2AC5AA7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5F5D605D">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14:paraId="0EE09FC5">
            <w:pPr>
              <w:spacing w:line="360" w:lineRule="auto"/>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r>
              <w:rPr>
                <w:rFonts w:hint="eastAsia" w:asciiTheme="majorEastAsia" w:hAnsiTheme="majorEastAsia" w:eastAsiaTheme="majorEastAsia"/>
                <w:bCs/>
                <w:sz w:val="18"/>
                <w:szCs w:val="18"/>
                <w:lang w:val="en-US" w:eastAsia="zh-CN"/>
              </w:rPr>
              <w:t>365天</w:t>
            </w:r>
            <w:r>
              <w:rPr>
                <w:rFonts w:hint="eastAsia" w:asciiTheme="majorEastAsia" w:hAnsiTheme="majorEastAsia" w:eastAsiaTheme="majorEastAsia"/>
                <w:bCs/>
                <w:sz w:val="18"/>
                <w:szCs w:val="18"/>
              </w:rPr>
              <w:t>】</w:t>
            </w:r>
          </w:p>
          <w:p w14:paraId="7DF84E72">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□无固定期限</w:t>
            </w:r>
          </w:p>
          <w:p w14:paraId="512E3666">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14:paraId="448A0FD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2F75000">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14:paraId="16C81146">
            <w:pPr>
              <w:spacing w:line="360" w:lineRule="auto"/>
              <w:rPr>
                <w:rFonts w:hint="eastAsia" w:asciiTheme="minorEastAsia" w:hAnsiTheme="minorEastAsia"/>
                <w:bCs/>
                <w:color w:val="auto"/>
                <w:sz w:val="18"/>
                <w:szCs w:val="18"/>
                <w:lang w:val="en-US" w:eastAsia="zh-CN"/>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lang w:val="en-US" w:eastAsia="zh-CN"/>
              </w:rPr>
              <w:t>：</w:t>
            </w:r>
            <w:r>
              <w:rPr>
                <w:rFonts w:hint="eastAsia" w:asciiTheme="minorEastAsia" w:hAnsiTheme="minorEastAsia"/>
                <w:bCs/>
                <w:color w:val="auto"/>
                <w:sz w:val="18"/>
                <w:szCs w:val="18"/>
                <w:lang w:val="en-US" w:eastAsia="zh-CN"/>
              </w:rPr>
              <w:t>【2026】年【01】月【20】日【9:00】至【2026】年【01】月【27】日【17:00】。</w:t>
            </w:r>
          </w:p>
          <w:p w14:paraId="6D91B2D5">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14:paraId="28472A94">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认购期/募集期内资金产生的利息（如有）不计入本金份额</w:t>
            </w:r>
            <w:r>
              <w:rPr>
                <w:rFonts w:hint="eastAsia" w:ascii="宋体" w:hAnsi="宋体"/>
                <w:sz w:val="18"/>
              </w:rPr>
              <w:t>。</w:t>
            </w:r>
          </w:p>
          <w:p w14:paraId="53128B5D">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14:paraId="3E89762B">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14:paraId="48AB67A5">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14:paraId="1D04F7F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04E46574">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14:paraId="1F1D3269">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14:paraId="49C90BE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C7DCE2F">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14:paraId="100B0AF1">
            <w:pPr>
              <w:spacing w:line="360" w:lineRule="auto"/>
              <w:rPr>
                <w:rFonts w:asciiTheme="minorEastAsia" w:hAnsiTheme="minorEastAsia"/>
                <w:bCs/>
                <w:color w:val="auto"/>
                <w:sz w:val="18"/>
                <w:szCs w:val="18"/>
              </w:rPr>
            </w:pPr>
            <w:r>
              <w:rPr>
                <w:rFonts w:asciiTheme="minorEastAsia" w:hAnsiTheme="minorEastAsia"/>
                <w:bCs/>
                <w:color w:val="auto"/>
                <w:sz w:val="18"/>
                <w:szCs w:val="18"/>
              </w:rPr>
              <w:t>1</w:t>
            </w:r>
            <w:r>
              <w:rPr>
                <w:rFonts w:hint="eastAsia" w:asciiTheme="minorEastAsia" w:hAnsiTheme="minorEastAsia"/>
                <w:bCs/>
                <w:color w:val="auto"/>
                <w:sz w:val="18"/>
                <w:szCs w:val="18"/>
              </w:rPr>
              <w:t>.本产品的计划成立日为</w:t>
            </w:r>
            <w:r>
              <w:rPr>
                <w:rFonts w:asciiTheme="minorEastAsia" w:hAnsiTheme="minorEastAsia"/>
                <w:bCs/>
                <w:color w:val="auto"/>
                <w:sz w:val="18"/>
                <w:szCs w:val="18"/>
              </w:rPr>
              <w:t>：</w:t>
            </w:r>
            <w:r>
              <w:rPr>
                <w:rFonts w:hint="eastAsia" w:cs="Times New Roman" w:asciiTheme="minorEastAsia" w:hAnsiTheme="minorEastAsia"/>
                <w:color w:val="auto"/>
                <w:sz w:val="18"/>
                <w:szCs w:val="18"/>
                <w:lang w:val="en-US" w:eastAsia="zh-CN"/>
              </w:rPr>
              <w:t>【2026】年【01】月【28】日</w:t>
            </w:r>
            <w:r>
              <w:rPr>
                <w:rFonts w:hint="eastAsia" w:cs="Times New Roman" w:asciiTheme="minorEastAsia" w:hAnsiTheme="minorEastAsia"/>
                <w:color w:val="auto"/>
                <w:sz w:val="18"/>
                <w:szCs w:val="18"/>
              </w:rPr>
              <w:t>（遇节假日顺延）</w:t>
            </w:r>
            <w:r>
              <w:rPr>
                <w:rFonts w:hint="eastAsia" w:asciiTheme="minorEastAsia" w:hAnsiTheme="minorEastAsia"/>
                <w:bCs/>
                <w:color w:val="auto"/>
                <w:sz w:val="18"/>
                <w:szCs w:val="18"/>
              </w:rPr>
              <w:t>。</w:t>
            </w:r>
          </w:p>
          <w:p w14:paraId="3A3D751D">
            <w:pPr>
              <w:spacing w:line="360" w:lineRule="auto"/>
              <w:rPr>
                <w:rFonts w:asciiTheme="majorEastAsia" w:hAnsiTheme="majorEastAsia" w:eastAsiaTheme="majorEastAsia"/>
                <w:bCs/>
                <w:color w:val="auto"/>
                <w:sz w:val="18"/>
                <w:szCs w:val="18"/>
              </w:rPr>
            </w:pPr>
            <w:r>
              <w:rPr>
                <w:rFonts w:asciiTheme="minorEastAsia" w:hAnsiTheme="minorEastAsia"/>
                <w:bCs/>
                <w:color w:val="auto"/>
                <w:sz w:val="18"/>
                <w:szCs w:val="18"/>
              </w:rPr>
              <w:t>2</w:t>
            </w:r>
            <w:r>
              <w:rPr>
                <w:rFonts w:hint="eastAsia" w:asciiTheme="minorEastAsia" w:hAnsiTheme="minorEastAsia"/>
                <w:bCs/>
                <w:color w:val="auto"/>
                <w:sz w:val="18"/>
                <w:szCs w:val="18"/>
              </w:rPr>
              <w:t>.</w:t>
            </w:r>
            <w:r>
              <w:rPr>
                <w:rFonts w:asciiTheme="minorEastAsia" w:hAnsiTheme="minorEastAsia"/>
                <w:bCs/>
                <w:color w:val="auto"/>
                <w:sz w:val="18"/>
                <w:szCs w:val="18"/>
              </w:rPr>
              <w:t>产品管理人有权根据实际募集情况提前或延后产品成立日期，并相应调整其他产品要素</w:t>
            </w:r>
            <w:r>
              <w:rPr>
                <w:rFonts w:hint="eastAsia" w:asciiTheme="minorEastAsia" w:hAnsiTheme="minorEastAsia"/>
                <w:bCs/>
                <w:color w:val="auto"/>
                <w:sz w:val="18"/>
                <w:szCs w:val="18"/>
              </w:rPr>
              <w:t>，</w:t>
            </w:r>
            <w:r>
              <w:rPr>
                <w:rFonts w:asciiTheme="minorEastAsia" w:hAnsiTheme="minorEastAsia"/>
                <w:bCs/>
                <w:color w:val="auto"/>
                <w:sz w:val="18"/>
                <w:szCs w:val="18"/>
              </w:rPr>
              <w:t>将依约</w:t>
            </w:r>
            <w:r>
              <w:rPr>
                <w:rFonts w:hint="eastAsia" w:asciiTheme="minorEastAsia" w:hAnsiTheme="minorEastAsia"/>
                <w:bCs/>
                <w:color w:val="auto"/>
                <w:sz w:val="18"/>
                <w:szCs w:val="18"/>
              </w:rPr>
              <w:t>定进行公告。</w:t>
            </w:r>
          </w:p>
        </w:tc>
      </w:tr>
      <w:tr w14:paraId="090D52E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F93E9D2">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14:paraId="7647747B">
            <w:pPr>
              <w:spacing w:line="360" w:lineRule="auto"/>
              <w:rPr>
                <w:rFonts w:asciiTheme="minorEastAsia" w:hAnsiTheme="minorEastAsia"/>
                <w:bCs/>
                <w:color w:val="auto"/>
                <w:sz w:val="18"/>
                <w:szCs w:val="18"/>
              </w:rPr>
            </w:pPr>
            <w:r>
              <w:rPr>
                <w:rFonts w:asciiTheme="minorEastAsia" w:hAnsiTheme="minorEastAsia"/>
                <w:bCs/>
                <w:color w:val="auto"/>
                <w:sz w:val="18"/>
                <w:szCs w:val="18"/>
              </w:rPr>
              <w:t>1</w:t>
            </w:r>
            <w:r>
              <w:rPr>
                <w:rFonts w:hint="eastAsia" w:asciiTheme="minorEastAsia" w:hAnsiTheme="minorEastAsia"/>
                <w:bCs/>
                <w:color w:val="auto"/>
                <w:sz w:val="18"/>
                <w:szCs w:val="18"/>
              </w:rPr>
              <w:t>.本产品的计划终止日为</w:t>
            </w:r>
            <w:r>
              <w:rPr>
                <w:rFonts w:asciiTheme="minorEastAsia" w:hAnsiTheme="minorEastAsia"/>
                <w:bCs/>
                <w:color w:val="auto"/>
                <w:sz w:val="18"/>
                <w:szCs w:val="18"/>
              </w:rPr>
              <w:t>：</w:t>
            </w:r>
            <w:r>
              <w:rPr>
                <w:rFonts w:hint="eastAsia" w:cs="Times New Roman" w:asciiTheme="minorEastAsia" w:hAnsiTheme="minorEastAsia"/>
                <w:color w:val="auto"/>
                <w:sz w:val="18"/>
                <w:szCs w:val="18"/>
                <w:lang w:val="en-US" w:eastAsia="zh-CN"/>
              </w:rPr>
              <w:t>【2027】年【01】月【28】日</w:t>
            </w:r>
            <w:r>
              <w:rPr>
                <w:rFonts w:hint="eastAsia" w:cs="Times New Roman" w:asciiTheme="minorEastAsia" w:hAnsiTheme="minorEastAsia"/>
                <w:color w:val="auto"/>
                <w:sz w:val="18"/>
                <w:szCs w:val="18"/>
              </w:rPr>
              <w:t>（遇节假日顺延）</w:t>
            </w:r>
            <w:r>
              <w:rPr>
                <w:rFonts w:hint="eastAsia" w:asciiTheme="minorEastAsia" w:hAnsiTheme="minorEastAsia"/>
                <w:bCs/>
                <w:color w:val="auto"/>
                <w:sz w:val="18"/>
                <w:szCs w:val="18"/>
              </w:rPr>
              <w:t>。</w:t>
            </w:r>
          </w:p>
          <w:p w14:paraId="64B45163">
            <w:pPr>
              <w:spacing w:line="360" w:lineRule="auto"/>
              <w:rPr>
                <w:rFonts w:cs="Times New Roman" w:asciiTheme="minorEastAsia" w:hAnsiTheme="minorEastAsia"/>
                <w:color w:val="auto"/>
                <w:sz w:val="18"/>
                <w:szCs w:val="18"/>
              </w:rPr>
            </w:pPr>
            <w:r>
              <w:rPr>
                <w:rFonts w:hint="eastAsia" w:ascii="宋体" w:hAnsi="宋体"/>
                <w:bCs/>
                <w:color w:val="auto"/>
                <w:sz w:val="18"/>
                <w:szCs w:val="18"/>
              </w:rPr>
              <w:t>2.本产品的实际终止日受制于本理财产品销售文件“提前终止”及“延期终止”情形。</w:t>
            </w:r>
          </w:p>
        </w:tc>
      </w:tr>
      <w:tr w14:paraId="46392E2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5EC010AE">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14:paraId="3E474CCE">
            <w:pPr>
              <w:spacing w:line="360" w:lineRule="auto"/>
              <w:rPr>
                <w:rFonts w:hint="eastAsia" w:asciiTheme="majorEastAsia" w:hAnsiTheme="majorEastAsia" w:eastAsiaTheme="majorEastAsia"/>
                <w:bCs/>
                <w:sz w:val="18"/>
                <w:szCs w:val="18"/>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w:t>
            </w:r>
            <w:r>
              <w:rPr>
                <w:rFonts w:hint="eastAsia" w:asciiTheme="majorEastAsia" w:hAnsiTheme="majorEastAsia" w:eastAsiaTheme="majorEastAsia"/>
                <w:bCs/>
                <w:sz w:val="18"/>
                <w:szCs w:val="18"/>
                <w:lang w:val="en-US" w:eastAsia="zh-CN"/>
              </w:rPr>
              <w:t>1</w:t>
            </w:r>
            <w:r>
              <w:rPr>
                <w:rFonts w:hint="eastAsia" w:asciiTheme="majorEastAsia" w:hAnsiTheme="majorEastAsia" w:eastAsiaTheme="majorEastAsia"/>
                <w:bCs/>
                <w:sz w:val="18"/>
                <w:szCs w:val="18"/>
              </w:rPr>
              <w:t>】元；超出起点金额的部分以【</w:t>
            </w:r>
            <w:r>
              <w:rPr>
                <w:rFonts w:hint="eastAsia" w:asciiTheme="majorEastAsia" w:hAnsiTheme="majorEastAsia" w:eastAsiaTheme="majorEastAsia"/>
                <w:bCs/>
                <w:sz w:val="18"/>
                <w:szCs w:val="18"/>
                <w:lang w:val="en-US" w:eastAsia="zh-CN"/>
              </w:rPr>
              <w:t>0.01</w:t>
            </w:r>
            <w:r>
              <w:rPr>
                <w:rFonts w:hint="eastAsia" w:asciiTheme="majorEastAsia" w:hAnsiTheme="majorEastAsia" w:eastAsiaTheme="majorEastAsia"/>
                <w:bCs/>
                <w:sz w:val="18"/>
                <w:szCs w:val="18"/>
              </w:rPr>
              <w:t>】元的整数倍递增。</w:t>
            </w:r>
          </w:p>
          <w:p w14:paraId="0564E877">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14:paraId="7C612606">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14:paraId="541A716D">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14:paraId="4B40E10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14FD801">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14:paraId="098EE424">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14:paraId="1A40F29E">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w:t>
            </w:r>
          </w:p>
          <w:p w14:paraId="2C972EBC">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】，符合产品管理人流动性管理的稳定资金除外。</w:t>
            </w:r>
          </w:p>
          <w:p w14:paraId="17E9F158">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14:paraId="7F98DAFE">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14:paraId="1174D4CE">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14:paraId="444F8765">
            <w:pPr>
              <w:spacing w:line="360" w:lineRule="auto"/>
              <w:rPr>
                <w:rFonts w:asciiTheme="minorEastAsia" w:hAnsiTheme="minorEastAsia" w:eastAsiaTheme="min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14:paraId="5E31201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08ECC15">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14:paraId="243DB09E">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14:paraId="3205DA1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09C3FFE0">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14:paraId="62117800">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14:paraId="7E21EFBC">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14:paraId="56E0094A">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p w14:paraId="385D5B20">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lang w:val="en-US" w:eastAsia="zh-CN"/>
              </w:rPr>
              <w:t>4.理财产品份额净值四舍五入保留5位小数。</w:t>
            </w:r>
          </w:p>
        </w:tc>
      </w:tr>
      <w:tr w14:paraId="0A94117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14:paraId="27AD0F21">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14:paraId="695CC8A0">
            <w:pPr>
              <w:autoSpaceDE w:val="0"/>
              <w:autoSpaceDN w:val="0"/>
              <w:adjustRightInd w:val="0"/>
              <w:spacing w:line="360" w:lineRule="auto"/>
              <w:jc w:val="left"/>
              <w:rPr>
                <w:rFonts w:hAnsi="宋体"/>
                <w:sz w:val="18"/>
                <w:szCs w:val="18"/>
              </w:rPr>
            </w:pPr>
            <w:r>
              <w:rPr>
                <w:rFonts w:hAnsi="宋体"/>
                <w:sz w:val="18"/>
                <w:szCs w:val="18"/>
              </w:rPr>
              <w:t>1.业绩比较基准的设置</w:t>
            </w:r>
          </w:p>
          <w:p w14:paraId="3876C462">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产品管理人设置业绩比较基准。</w:t>
            </w:r>
          </w:p>
          <w:p w14:paraId="66126AA8">
            <w:pPr>
              <w:autoSpaceDE w:val="0"/>
              <w:autoSpaceDN w:val="0"/>
              <w:adjustRightInd w:val="0"/>
              <w:spacing w:line="360" w:lineRule="auto"/>
              <w:jc w:val="left"/>
              <w:rPr>
                <w:rFonts w:asciiTheme="majorEastAsia" w:hAnsiTheme="majorEastAsia" w:eastAsiaTheme="majorEastAsia"/>
                <w:bCs/>
                <w:sz w:val="18"/>
                <w:szCs w:val="18"/>
              </w:rPr>
            </w:pPr>
            <w:r>
              <w:rPr>
                <w:rFonts w:hint="eastAsia" w:ascii="宋体" w:hAnsi="宋体"/>
                <w:bCs/>
                <w:sz w:val="18"/>
                <w:szCs w:val="18"/>
              </w:rPr>
              <w:t>（</w:t>
            </w:r>
            <w:r>
              <w:rPr>
                <w:rFonts w:ascii="宋体" w:hAnsi="宋体"/>
                <w:bCs/>
                <w:sz w:val="18"/>
                <w:szCs w:val="18"/>
              </w:rPr>
              <w:t>1）业绩比较基准的说明：</w:t>
            </w:r>
            <w:r>
              <w:rPr>
                <w:rFonts w:hint="eastAsia" w:ascii="宋体" w:hAnsi="宋体"/>
                <w:bCs/>
                <w:sz w:val="18"/>
                <w:szCs w:val="18"/>
              </w:rPr>
              <w:t>【基于当前对未来市场的</w:t>
            </w:r>
            <w:r>
              <w:rPr>
                <w:rFonts w:hint="eastAsia" w:ascii="宋体" w:hAnsi="宋体"/>
                <w:bCs/>
                <w:sz w:val="18"/>
                <w:szCs w:val="18"/>
                <w:lang w:val="en-US" w:eastAsia="zh-CN"/>
              </w:rPr>
              <w:t>判</w:t>
            </w:r>
            <w:r>
              <w:rPr>
                <w:rFonts w:hint="eastAsia" w:ascii="宋体" w:hAnsi="宋体"/>
                <w:bCs/>
                <w:sz w:val="18"/>
                <w:szCs w:val="18"/>
              </w:rPr>
              <w:t>断，根据拟投资债权类资产的信用利差、久期敞口以及流动性溢价，预判组合的波动幅度</w:t>
            </w:r>
            <w:r>
              <w:rPr>
                <w:rFonts w:ascii="宋体" w:hAnsi="宋体"/>
                <w:bCs/>
                <w:sz w:val="18"/>
                <w:szCs w:val="18"/>
              </w:rPr>
              <w:t>】</w:t>
            </w:r>
            <w:r>
              <w:rPr>
                <w:rFonts w:hint="eastAsia" w:asciiTheme="majorEastAsia" w:hAnsiTheme="majorEastAsia" w:eastAsiaTheme="majorEastAsia"/>
                <w:bCs/>
                <w:sz w:val="18"/>
                <w:szCs w:val="18"/>
              </w:rPr>
              <w:t>。</w:t>
            </w:r>
          </w:p>
          <w:p w14:paraId="14C1CBE3">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r>
              <w:rPr>
                <w:rFonts w:hint="eastAsia" w:ascii="宋体" w:hAnsi="宋体"/>
                <w:bCs/>
                <w:sz w:val="18"/>
                <w:szCs w:val="18"/>
                <w:lang w:val="en-US" w:eastAsia="zh-CN"/>
              </w:rPr>
              <w:t>年化</w:t>
            </w:r>
            <w:r>
              <w:rPr>
                <w:rFonts w:hint="eastAsia" w:ascii="宋体" w:hAnsi="宋体"/>
                <w:bCs/>
                <w:sz w:val="18"/>
                <w:szCs w:val="18"/>
              </w:rPr>
              <w:t>【</w:t>
            </w:r>
            <w:r>
              <w:rPr>
                <w:rFonts w:hint="eastAsia" w:ascii="宋体" w:hAnsi="宋体"/>
                <w:bCs/>
                <w:color w:val="auto"/>
                <w:sz w:val="18"/>
                <w:szCs w:val="18"/>
                <w:lang w:val="en-US" w:eastAsia="zh-CN"/>
              </w:rPr>
              <w:t>2.7%-3.0%</w:t>
            </w:r>
            <w:r>
              <w:rPr>
                <w:rFonts w:hint="eastAsia" w:ascii="宋体" w:hAnsi="宋体"/>
                <w:bCs/>
                <w:sz w:val="18"/>
                <w:szCs w:val="18"/>
              </w:rPr>
              <w:t>】。</w:t>
            </w:r>
          </w:p>
          <w:p w14:paraId="30D23AF1">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产品管理人不设置业绩比较基准。</w:t>
            </w:r>
          </w:p>
          <w:p w14:paraId="25478948">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14:paraId="6F3EB200">
            <w:pPr>
              <w:spacing w:line="360" w:lineRule="auto"/>
              <w:jc w:val="left"/>
              <w:rPr>
                <w:rFonts w:asciiTheme="majorEastAsia" w:hAnsiTheme="majorEastAsia" w:eastAsiaTheme="majorEastAsia"/>
                <w:b/>
                <w:bCs/>
                <w:sz w:val="18"/>
                <w:szCs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tc>
      </w:tr>
      <w:tr w14:paraId="02F8673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14:paraId="1CED1EF9">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14:paraId="011A3103">
            <w:pPr>
              <w:spacing w:line="360" w:lineRule="auto"/>
              <w:jc w:val="left"/>
              <w:rPr>
                <w:rFonts w:hAnsi="宋体"/>
                <w:bCs/>
                <w:sz w:val="18"/>
                <w:szCs w:val="18"/>
              </w:rPr>
            </w:pPr>
            <w:r>
              <w:rPr>
                <w:rFonts w:hAnsi="宋体"/>
                <w:bCs/>
                <w:sz w:val="18"/>
                <w:szCs w:val="18"/>
              </w:rPr>
              <w:t>1.业绩报酬计提基准的设置</w:t>
            </w:r>
          </w:p>
          <w:p w14:paraId="6D4ABCA7">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产品管理人设置业绩报酬计提基准。</w:t>
            </w:r>
          </w:p>
          <w:p w14:paraId="0C5A1901">
            <w:pPr>
              <w:spacing w:line="360" w:lineRule="auto"/>
              <w:jc w:val="left"/>
              <w:rPr>
                <w:rFonts w:ascii="宋体" w:hAnsi="宋体"/>
                <w:bCs/>
                <w:sz w:val="18"/>
                <w:szCs w:val="18"/>
              </w:rPr>
            </w:pPr>
            <w:r>
              <w:rPr>
                <w:rFonts w:ascii="宋体" w:hAnsi="宋体"/>
                <w:bCs/>
                <w:sz w:val="18"/>
                <w:szCs w:val="18"/>
              </w:rPr>
              <w:t>业绩报酬计提基准的设定</w:t>
            </w:r>
            <w:r>
              <w:rPr>
                <w:rFonts w:hint="eastAsia" w:ascii="宋体" w:hAnsi="宋体"/>
                <w:bCs/>
                <w:sz w:val="18"/>
                <w:szCs w:val="18"/>
              </w:rPr>
              <w:t>：管理人</w:t>
            </w:r>
            <w:r>
              <w:rPr>
                <w:rFonts w:ascii="宋体" w:hAnsi="宋体"/>
                <w:bCs/>
                <w:sz w:val="18"/>
                <w:szCs w:val="18"/>
              </w:rPr>
              <w:t>对本产品设定</w:t>
            </w:r>
            <w:r>
              <w:rPr>
                <w:rFonts w:hint="eastAsia" w:ascii="宋体" w:hAnsi="宋体"/>
                <w:bCs/>
                <w:sz w:val="18"/>
                <w:szCs w:val="18"/>
              </w:rPr>
              <w:t>业绩报酬计提基准：</w:t>
            </w:r>
            <w:r>
              <w:rPr>
                <w:rFonts w:hint="eastAsia" w:ascii="宋体" w:hAnsi="宋体"/>
                <w:bCs/>
                <w:sz w:val="18"/>
                <w:szCs w:val="18"/>
                <w:lang w:val="en-US" w:eastAsia="zh-CN"/>
              </w:rPr>
              <w:t>年化</w:t>
            </w:r>
            <w:r>
              <w:rPr>
                <w:rFonts w:hint="eastAsia" w:ascii="宋体" w:hAnsi="宋体"/>
                <w:bCs/>
                <w:sz w:val="18"/>
                <w:szCs w:val="18"/>
              </w:rPr>
              <w:t>【</w:t>
            </w:r>
            <w:r>
              <w:rPr>
                <w:rFonts w:hint="eastAsia" w:ascii="宋体" w:hAnsi="宋体"/>
                <w:bCs/>
                <w:sz w:val="18"/>
                <w:szCs w:val="18"/>
                <w:lang w:val="en-US" w:eastAsia="zh-CN"/>
              </w:rPr>
              <w:t>/</w:t>
            </w:r>
            <w:r>
              <w:rPr>
                <w:rFonts w:hint="eastAsia" w:ascii="宋体" w:hAnsi="宋体"/>
                <w:bCs/>
                <w:sz w:val="18"/>
                <w:szCs w:val="18"/>
              </w:rPr>
              <w:t>】。</w:t>
            </w:r>
          </w:p>
          <w:p w14:paraId="34EA91A7">
            <w:pPr>
              <w:spacing w:line="360" w:lineRule="auto"/>
              <w:jc w:val="left"/>
              <w:rPr>
                <w:rFonts w:ascii="宋体" w:hAnsi="宋体"/>
                <w:bCs/>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产品管理人不设置业绩报酬计提基准。</w:t>
            </w:r>
          </w:p>
          <w:p w14:paraId="1F5FD8F7">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14:paraId="689B5E2E">
            <w:pPr>
              <w:autoSpaceDE w:val="0"/>
              <w:autoSpaceDN w:val="0"/>
              <w:adjustRightInd w:val="0"/>
              <w:spacing w:line="360" w:lineRule="auto"/>
              <w:jc w:val="left"/>
              <w:rPr>
                <w:rFonts w:ascii="黑体" w:hAnsi="黑体" w:eastAsia="黑体"/>
                <w:sz w:val="18"/>
              </w:rPr>
            </w:pPr>
            <w:r>
              <w:rPr>
                <w:rFonts w:hint="eastAsia" w:ascii="黑体" w:hAnsi="黑体" w:eastAsia="黑体"/>
                <w:sz w:val="18"/>
              </w:rPr>
              <w:t>（</w:t>
            </w:r>
            <w:r>
              <w:rPr>
                <w:rFonts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14:paraId="5CD27034">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14:paraId="06C8C2B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14:paraId="3F6F148E">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14:paraId="6CDE9F4D">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14:paraId="52361A1E">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14:paraId="1A3EB92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3CD9555">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14:paraId="7F01191A">
            <w:pPr>
              <w:spacing w:line="360" w:lineRule="auto"/>
              <w:rPr>
                <w:rFonts w:ascii="黑体" w:hAnsi="黑体" w:eastAsia="黑体"/>
                <w:bCs/>
                <w:color w:val="000000" w:themeColor="text1"/>
                <w:sz w:val="18"/>
                <w:szCs w:val="18"/>
                <w14:textFill>
                  <w14:solidFill>
                    <w14:schemeClr w14:val="tx1"/>
                  </w14:solidFill>
                </w14:textFill>
              </w:rPr>
            </w:pPr>
            <w:r>
              <w:rPr>
                <w:rFonts w:ascii="黑体" w:hAnsi="黑体" w:eastAsia="黑体"/>
                <w:bCs/>
                <w:color w:val="000000" w:themeColor="text1"/>
                <w:sz w:val="18"/>
                <w:szCs w:val="18"/>
                <w14:textFill>
                  <w14:solidFill>
                    <w14:schemeClr w14:val="tx1"/>
                  </w14:solidFill>
                </w14:textFill>
              </w:rPr>
              <w:t>1.理财产品的费率标准</w:t>
            </w:r>
          </w:p>
          <w:p w14:paraId="53B21927">
            <w:pPr>
              <w:widowControl/>
              <w:spacing w:line="360" w:lineRule="auto"/>
              <w:jc w:val="left"/>
              <w:rPr>
                <w:rFonts w:hint="eastAsia"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（1）认购费：【</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p>
          <w:p w14:paraId="5BDD468E">
            <w:pPr>
              <w:widowControl/>
              <w:spacing w:line="360" w:lineRule="auto"/>
              <w:jc w:val="left"/>
              <w:rPr>
                <w:rFonts w:hint="eastAsia" w:ascii="黑体" w:hAnsi="黑体" w:eastAsia="黑体"/>
                <w:bCs/>
                <w:color w:val="auto"/>
                <w:sz w:val="18"/>
                <w:szCs w:val="18"/>
              </w:rPr>
            </w:pPr>
            <w:r>
              <w:rPr>
                <w:rFonts w:hint="eastAsia" w:ascii="黑体" w:hAnsi="黑体" w:eastAsia="黑体"/>
                <w:bCs/>
                <w:color w:val="000000" w:themeColor="text1"/>
                <w:sz w:val="18"/>
                <w:szCs w:val="18"/>
                <w14:textFill>
                  <w14:solidFill>
                    <w14:schemeClr w14:val="tx1"/>
                  </w14:solidFill>
                </w14:textFill>
              </w:rPr>
              <w:t>（2）销售服务费：年化</w:t>
            </w:r>
            <w:r>
              <w:rPr>
                <w:rFonts w:hint="eastAsia" w:ascii="黑体" w:hAnsi="黑体" w:eastAsia="黑体"/>
                <w:bCs/>
                <w:color w:val="auto"/>
                <w:sz w:val="18"/>
                <w:szCs w:val="18"/>
              </w:rPr>
              <w:t>费率【</w:t>
            </w:r>
            <w:r>
              <w:rPr>
                <w:rFonts w:hint="eastAsia" w:ascii="黑体" w:hAnsi="黑体" w:eastAsia="黑体"/>
                <w:bCs/>
                <w:color w:val="auto"/>
                <w:sz w:val="18"/>
                <w:szCs w:val="18"/>
                <w:lang w:val="en-US" w:eastAsia="zh-CN"/>
              </w:rPr>
              <w:t>0.25%</w:t>
            </w:r>
            <w:r>
              <w:rPr>
                <w:rFonts w:hint="eastAsia" w:ascii="黑体" w:hAnsi="黑体" w:eastAsia="黑体"/>
                <w:bCs/>
                <w:color w:val="auto"/>
                <w:sz w:val="18"/>
                <w:szCs w:val="18"/>
              </w:rPr>
              <w:t>】。</w:t>
            </w:r>
          </w:p>
          <w:p w14:paraId="481CCF6E">
            <w:pPr>
              <w:widowControl/>
              <w:spacing w:line="360" w:lineRule="auto"/>
              <w:jc w:val="left"/>
              <w:rPr>
                <w:rFonts w:hint="eastAsia" w:ascii="黑体" w:hAnsi="黑体" w:eastAsia="黑体"/>
                <w:bCs/>
                <w:color w:val="auto"/>
                <w:sz w:val="18"/>
                <w:szCs w:val="18"/>
              </w:rPr>
            </w:pPr>
            <w:r>
              <w:rPr>
                <w:rFonts w:hint="eastAsia" w:ascii="黑体" w:hAnsi="黑体" w:eastAsia="黑体"/>
                <w:bCs/>
                <w:color w:val="auto"/>
                <w:sz w:val="18"/>
                <w:szCs w:val="18"/>
              </w:rPr>
              <w:t>（3）投资管理费：年化费率【</w:t>
            </w:r>
            <w:r>
              <w:rPr>
                <w:rFonts w:hint="eastAsia" w:ascii="黑体" w:hAnsi="黑体" w:eastAsia="黑体"/>
                <w:bCs/>
                <w:color w:val="auto"/>
                <w:sz w:val="18"/>
                <w:szCs w:val="18"/>
                <w:lang w:val="en-US" w:eastAsia="zh-CN"/>
              </w:rPr>
              <w:t>0.05%</w:t>
            </w:r>
            <w:r>
              <w:rPr>
                <w:rFonts w:hint="eastAsia" w:ascii="黑体" w:hAnsi="黑体" w:eastAsia="黑体"/>
                <w:bCs/>
                <w:color w:val="auto"/>
                <w:sz w:val="18"/>
                <w:szCs w:val="18"/>
              </w:rPr>
              <w:t>】。</w:t>
            </w:r>
          </w:p>
          <w:p w14:paraId="524C1E2E">
            <w:pPr>
              <w:widowControl/>
              <w:spacing w:line="360" w:lineRule="auto"/>
              <w:jc w:val="left"/>
              <w:rPr>
                <w:rFonts w:hint="eastAsia" w:ascii="黑体" w:hAnsi="黑体" w:eastAsia="黑体"/>
                <w:bCs/>
                <w:color w:val="auto"/>
                <w:sz w:val="18"/>
                <w:szCs w:val="18"/>
              </w:rPr>
            </w:pPr>
            <w:r>
              <w:rPr>
                <w:rFonts w:hint="eastAsia" w:ascii="黑体" w:hAnsi="黑体" w:eastAsia="黑体"/>
                <w:bCs/>
                <w:color w:val="auto"/>
                <w:sz w:val="18"/>
                <w:szCs w:val="18"/>
              </w:rPr>
              <w:t>（4）产品托管费：年化费率【</w:t>
            </w:r>
            <w:r>
              <w:rPr>
                <w:rFonts w:hint="eastAsia" w:ascii="黑体" w:hAnsi="黑体" w:eastAsia="黑体"/>
                <w:bCs/>
                <w:color w:val="auto"/>
                <w:sz w:val="18"/>
                <w:szCs w:val="18"/>
                <w:lang w:val="en-US" w:eastAsia="zh-CN"/>
              </w:rPr>
              <w:t>0.01%</w:t>
            </w:r>
            <w:r>
              <w:rPr>
                <w:rFonts w:hint="eastAsia" w:ascii="黑体" w:hAnsi="黑体" w:eastAsia="黑体"/>
                <w:bCs/>
                <w:color w:val="auto"/>
                <w:sz w:val="18"/>
                <w:szCs w:val="18"/>
              </w:rPr>
              <w:t>】。</w:t>
            </w:r>
          </w:p>
          <w:p w14:paraId="3EDD1CF1">
            <w:pPr>
              <w:widowControl/>
              <w:spacing w:line="360" w:lineRule="auto"/>
              <w:jc w:val="left"/>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5）超额业绩报酬：</w:t>
            </w:r>
          </w:p>
          <w:p w14:paraId="37E593A0">
            <w:pPr>
              <w:widowControl/>
              <w:spacing w:line="360" w:lineRule="auto"/>
              <w:jc w:val="left"/>
              <w:rPr>
                <w:rFonts w:hint="eastAsia" w:ascii="黑体" w:hAnsi="黑体" w:eastAsia="黑体" w:cs="黑体"/>
                <w:sz w:val="18"/>
                <w:szCs w:val="18"/>
              </w:rPr>
            </w:pPr>
            <w:r>
              <w:rPr>
                <w:rFonts w:hint="eastAsia" w:ascii="黑体" w:hAnsi="黑体" w:eastAsia="黑体" w:cs="黑体"/>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w:t>
            </w:r>
            <w:r>
              <w:rPr>
                <w:rFonts w:hint="eastAsia" w:ascii="黑体" w:hAnsi="黑体" w:eastAsia="黑体" w:cs="黑体"/>
                <w:sz w:val="18"/>
                <w:szCs w:val="18"/>
                <w:lang w:val="en-US" w:eastAsia="zh-CN"/>
              </w:rPr>
              <w:t>/</w:t>
            </w:r>
            <w:r>
              <w:rPr>
                <w:rFonts w:hint="eastAsia" w:ascii="黑体" w:hAnsi="黑体" w:eastAsia="黑体" w:cs="黑体"/>
                <w:sz w:val="18"/>
                <w:szCs w:val="18"/>
              </w:rPr>
              <w:t>】作为超额业绩报酬。</w:t>
            </w:r>
          </w:p>
          <w:p w14:paraId="571565C0">
            <w:pPr>
              <w:spacing w:line="360" w:lineRule="auto"/>
              <w:rPr>
                <w:rFonts w:hint="eastAsia" w:ascii="黑体" w:hAnsi="黑体" w:eastAsia="黑体"/>
                <w:bCs/>
                <w:sz w:val="18"/>
                <w:szCs w:val="18"/>
              </w:rPr>
            </w:pPr>
            <w:r>
              <w:rPr>
                <w:rFonts w:hint="eastAsia" w:ascii="黑体" w:hAnsi="黑体" w:eastAsia="黑体"/>
                <w:bCs/>
                <w:sz w:val="18"/>
                <w:szCs w:val="18"/>
              </w:rPr>
              <w:t>2.以上费用金额均按照四舍五入方法，保留到小数点后2位。</w:t>
            </w:r>
          </w:p>
          <w:p w14:paraId="3A141F36">
            <w:pPr>
              <w:spacing w:line="360" w:lineRule="auto"/>
              <w:rPr>
                <w:rFonts w:ascii="黑体" w:hAnsi="黑体" w:eastAsia="黑体"/>
                <w:bCs/>
                <w:sz w:val="18"/>
                <w:szCs w:val="18"/>
              </w:rPr>
            </w:pPr>
            <w:r>
              <w:rPr>
                <w:rFonts w:hint="eastAsia" w:ascii="黑体" w:hAnsi="黑体" w:eastAsia="黑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14:paraId="65F9467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B6AB448">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14:paraId="6B5B94EC">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14:paraId="7BD33BE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AD056D3">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14:paraId="1874C5D6">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14:paraId="230C1F6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818CE16">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14:paraId="2DB17C87">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14:paraId="6837624E">
      <w:pPr>
        <w:pStyle w:val="34"/>
        <w:spacing w:line="360" w:lineRule="auto"/>
        <w:rPr>
          <w:rFonts w:hAnsi="宋体"/>
          <w:sz w:val="18"/>
          <w:szCs w:val="18"/>
        </w:rPr>
      </w:pPr>
    </w:p>
    <w:p w14:paraId="4BE802F7">
      <w:pPr>
        <w:widowControl/>
        <w:spacing w:line="360" w:lineRule="auto"/>
        <w:jc w:val="left"/>
        <w:rPr>
          <w:rFonts w:ascii="宋体" w:hAnsi="宋体"/>
          <w:color w:val="000000"/>
          <w:kern w:val="0"/>
          <w:sz w:val="18"/>
          <w:szCs w:val="18"/>
        </w:rPr>
      </w:pPr>
      <w:r>
        <w:rPr>
          <w:rFonts w:hAnsi="宋体"/>
          <w:sz w:val="18"/>
          <w:szCs w:val="18"/>
        </w:rPr>
        <w:br w:type="page"/>
      </w:r>
    </w:p>
    <w:p w14:paraId="478D52D1">
      <w:pPr>
        <w:pStyle w:val="2"/>
        <w:spacing w:before="0" w:after="0" w:line="360" w:lineRule="auto"/>
        <w:jc w:val="center"/>
        <w:rPr>
          <w:rFonts w:ascii="Times New Roman"/>
          <w:sz w:val="30"/>
        </w:rPr>
      </w:pPr>
      <w:bookmarkStart w:id="4" w:name="_Toc79154666"/>
      <w:bookmarkStart w:id="5" w:name="_Toc176189755"/>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14:paraId="323E4F87">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14:paraId="21A197C0">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14:paraId="5D4D3256">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14:paraId="01C79E3C">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14:paraId="27488A25">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14:paraId="00324D2C">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14:paraId="50639009">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14:paraId="1165D222">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14:paraId="5F444A2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14:paraId="39EDCCEF">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14:paraId="670A9449">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14:paraId="779C6C6D">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14:paraId="452E745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14:paraId="7F1254D9">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14:paraId="547F58DF">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14:paraId="68C41CE1">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14:paraId="74DEA4AA">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14:paraId="225CA36C">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14:paraId="61F6F091">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14:paraId="0E80CB05">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14:paraId="4088D07A">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14:paraId="4A134E74">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14:paraId="27CBE9C9">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14:paraId="23F26C67">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14:paraId="30FB8E69">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14:paraId="14FC733E">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14:paraId="5986784B">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14:paraId="48EBFA6C">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14:paraId="32C06586">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14:paraId="4D77739F">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14:paraId="16F75FA3">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14:paraId="17A8B27C">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14:paraId="58504941">
      <w:pPr>
        <w:pStyle w:val="34"/>
        <w:spacing w:line="360" w:lineRule="auto"/>
        <w:ind w:firstLine="360" w:firstLineChars="200"/>
        <w:rPr>
          <w:rFonts w:hint="eastAsia" w:asciiTheme="minorEastAsia" w:hAnsiTheme="minorEastAsia" w:eastAsiaTheme="minorEastAsia"/>
          <w:b w:val="0"/>
          <w:bCs/>
          <w:color w:val="auto"/>
          <w:sz w:val="18"/>
          <w:szCs w:val="18"/>
        </w:rPr>
      </w:pPr>
      <w:r>
        <w:rPr>
          <w:rFonts w:hint="eastAsia" w:asciiTheme="minorEastAsia" w:hAnsiTheme="minorEastAsia" w:eastAsiaTheme="minorEastAsia"/>
          <w:b w:val="0"/>
          <w:bCs/>
          <w:color w:val="auto"/>
          <w:sz w:val="18"/>
          <w:szCs w:val="18"/>
        </w:rPr>
        <w:t>认购期/募集期内资金产生的利息（如有），不计入本金份额。</w:t>
      </w:r>
    </w:p>
    <w:p w14:paraId="6F151BBB">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14:paraId="5A962306">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14:paraId="1EA35DC8">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14:paraId="34351143">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14:paraId="68795578">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14:paraId="2305111A">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14:paraId="5CC5A6B4">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14:paraId="6A36E70D">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14:paraId="3D4EFEA9">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14:paraId="31404F6D">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14:paraId="003EB3C8">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14:paraId="2DB8F547">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14:paraId="3E71CF25">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14:paraId="4CD3671B">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14:paraId="23916FB5">
      <w:pPr>
        <w:pStyle w:val="2"/>
        <w:spacing w:before="0" w:after="0" w:line="360" w:lineRule="auto"/>
        <w:jc w:val="center"/>
        <w:rPr>
          <w:rFonts w:ascii="Times New Roman"/>
          <w:sz w:val="30"/>
        </w:rPr>
      </w:pPr>
      <w:bookmarkStart w:id="9" w:name="_Toc4771"/>
      <w:bookmarkStart w:id="10" w:name="_Toc176189756"/>
      <w:bookmarkStart w:id="11" w:name="_Toc7151"/>
      <w:bookmarkStart w:id="12" w:name="_Toc90742390"/>
      <w:bookmarkStart w:id="13" w:name="_Toc6714"/>
      <w:bookmarkStart w:id="14" w:name="_Toc29784"/>
      <w:bookmarkStart w:id="15" w:name="_Toc27226"/>
      <w:bookmarkStart w:id="16" w:name="_Toc27189"/>
      <w:bookmarkStart w:id="17" w:name="_Toc3266"/>
      <w:bookmarkStart w:id="18" w:name="_Toc74065741"/>
      <w:bookmarkStart w:id="19" w:name="_Toc22074"/>
      <w:bookmarkStart w:id="20" w:name="_Toc16265"/>
      <w:bookmarkStart w:id="21" w:name="_Toc79154668"/>
      <w:bookmarkStart w:id="22" w:name="_Toc90742688"/>
      <w:bookmarkStart w:id="23" w:name="_Toc29948"/>
      <w:bookmarkStart w:id="24" w:name="_Toc15203"/>
      <w:bookmarkStart w:id="25" w:name="_Toc90742321"/>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14:paraId="0EF0EEA6">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14:paraId="5752E56D">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14:paraId="21CD6A63">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DB82EAD">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14:paraId="75F31B61">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4"/>
    <w:p w14:paraId="119832DF">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14:paraId="1543065C">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14:paraId="7F39F5E5">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14:paraId="3CA39CD6">
      <w:pPr>
        <w:pStyle w:val="34"/>
        <w:spacing w:line="360" w:lineRule="auto"/>
        <w:ind w:firstLine="360" w:firstLineChars="200"/>
        <w:rPr>
          <w:rFonts w:hint="eastAsia" w:asciiTheme="majorEastAsia" w:hAnsiTheme="majorEastAsia" w:eastAsiaTheme="majorEastAsia"/>
          <w:bCs/>
          <w:color w:val="auto"/>
          <w:sz w:val="18"/>
          <w:szCs w:val="18"/>
        </w:rPr>
      </w:pPr>
      <w:permStart w:id="15" w:edGrp="everyone"/>
      <w:r>
        <w:rPr>
          <w:rFonts w:hint="eastAsia" w:asciiTheme="majorEastAsia" w:hAnsiTheme="majorEastAsia" w:eastAsiaTheme="majorEastAsia"/>
          <w:bCs/>
          <w:color w:val="auto"/>
          <w:sz w:val="18"/>
          <w:szCs w:val="18"/>
        </w:rPr>
        <w:t>（1）银行存款、债券逆回购、货币基金等货币市场工具及其它银行间和交易所资金融通工具。</w:t>
      </w:r>
    </w:p>
    <w:p w14:paraId="4182AD94">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国债、金融债、地方政府债、央行票据、同业存单、短期融资券、超短期融资券、中期票据、企业债、公司债、非公开定向债务融资工具、项目收益债、项目收益票据、资产支持证券、资产支持票据、次级债、可转债、可交换债等银行间和交易所市场债券及债务融资工具，外币债以及其他固定收益类投资工具等。</w:t>
      </w:r>
    </w:p>
    <w:p w14:paraId="2A859512">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（3）国债期货、利率互换、债券借贷、信用风险缓释工具、交易所信用保护工具、股指期货、权证、期权、收益互换、商品期货、外汇衍生工具等。</w:t>
      </w:r>
    </w:p>
    <w:p w14:paraId="3C1E507E">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（4）公开募集证券投资基金。</w:t>
      </w:r>
    </w:p>
    <w:p w14:paraId="017376DE">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（5）信用结构化产品，包括信用挂钩结构性存款、结构化票据。</w:t>
      </w:r>
    </w:p>
    <w:p w14:paraId="473F14E1">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14:paraId="5B1F9CFF">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（7）其他风险不高于前述资产的资产。</w:t>
      </w:r>
    </w:p>
    <w:permEnd w:id="15"/>
    <w:p w14:paraId="1935035D">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14:paraId="3B34C7BD">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14:paraId="1B182748">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permStart w:id="16" w:edGrp="everyone"/>
      <w:r>
        <w:rPr>
          <w:rFonts w:hint="eastAsia" w:asciiTheme="majorEastAsia" w:hAnsiTheme="majorEastAsia" w:eastAsiaTheme="majorEastAsia"/>
          <w:bCs/>
          <w:kern w:val="0"/>
          <w:sz w:val="18"/>
          <w:szCs w:val="18"/>
        </w:rPr>
        <w:t>本产品投资于债权类资产的比例不低于产品总资产的90%，投资于商品及金融衍生品类资产的投资比例不超过产品总资产的10%。</w:t>
      </w:r>
    </w:p>
    <w:p w14:paraId="2D27D1CD">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非因管理人主观因素导致突破前款规定比例限制的，产品管理人在流动性受限资产可出售、可转让或者恢复交易的15个交易日内调整至符合要求，监管机构规定的特殊情形除外。</w:t>
      </w:r>
    </w:p>
    <w:p w14:paraId="61AB5AED">
      <w:pPr>
        <w:autoSpaceDE w:val="0"/>
        <w:autoSpaceDN w:val="0"/>
        <w:adjustRightInd w:val="0"/>
        <w:spacing w:line="360" w:lineRule="auto"/>
        <w:ind w:firstLine="361" w:firstLineChars="200"/>
        <w:jc w:val="left"/>
        <w:rPr>
          <w:rFonts w:asciiTheme="majorEastAsia" w:hAnsiTheme="majorEastAsia" w:eastAsiaTheme="majorEastAsia"/>
          <w:b/>
          <w:bCs w:val="0"/>
          <w:kern w:val="0"/>
          <w:sz w:val="18"/>
          <w:szCs w:val="18"/>
        </w:rPr>
      </w:pPr>
      <w:r>
        <w:rPr>
          <w:rFonts w:hint="eastAsia" w:asciiTheme="majorEastAsia" w:hAnsiTheme="majorEastAsia" w:eastAsiaTheme="majorEastAsia"/>
          <w:b/>
          <w:bCs w:val="0"/>
          <w:kern w:val="0"/>
          <w:sz w:val="18"/>
          <w:szCs w:val="18"/>
        </w:rPr>
        <w:t>注：本产品可能投资不存在活跃交易市场，并且需要采用估值技术确定公允价值的资产，且投资上述资产的比例达到理财产品净资产50%以上。</w:t>
      </w:r>
    </w:p>
    <w:permEnd w:id="16"/>
    <w:p w14:paraId="0240B96E">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14:paraId="15E0B177">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14:paraId="2612D563">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14:paraId="7C2E1A38">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14:paraId="68556F2B">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14:paraId="30F609A2">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14:paraId="541E074E">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14:paraId="34771F92">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14:paraId="2229937C">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14:paraId="5F54CA8B">
      <w:pPr>
        <w:spacing w:line="360" w:lineRule="auto"/>
        <w:ind w:firstLine="360" w:firstLineChars="200"/>
        <w:rPr>
          <w:rFonts w:hint="eastAsia" w:asciiTheme="majorEastAsia" w:hAnsiTheme="majorEastAsia" w:eastAsiaTheme="majorEastAsia"/>
          <w:bCs/>
          <w:sz w:val="18"/>
          <w:szCs w:val="18"/>
        </w:rPr>
      </w:pPr>
      <w:permStart w:id="18" w:edGrp="everyone"/>
      <w:r>
        <w:rPr>
          <w:rFonts w:hint="eastAsia" w:asciiTheme="majorEastAsia" w:hAnsiTheme="majorEastAsia" w:eastAsiaTheme="majorEastAsia"/>
          <w:bCs/>
          <w:sz w:val="18"/>
          <w:szCs w:val="18"/>
        </w:rPr>
        <w:t>（1）每只公募理财产品投资单只证券或者单只公募证券投资基金的市值不得超过该理财产品净资产的10%。</w:t>
      </w:r>
    </w:p>
    <w:p w14:paraId="432D9773">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（2）全部公募理财产品持有单只证券或单只公募证券投资基金的市值，不得超过该证券市值或该公募证券投资基金市值的30%。</w:t>
      </w:r>
    </w:p>
    <w:p w14:paraId="74E5BD8E">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（3）全部理财产品持有单一上市公司发行的股票，不得超过该上市公司可流通股票的30%。</w:t>
      </w:r>
    </w:p>
    <w:p w14:paraId="494FC04C">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 xml:space="preserve">（4）全部开放式公募理财产品投资单一上市公司发行的股票不得超过该上市公司可流通股票的15%。 </w:t>
      </w:r>
    </w:p>
    <w:p w14:paraId="2BE036F7">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（5）本产品因为流动性需要可开展存单质押、债券正回购等融资业务，本产品总资产不超过净资产的200%。</w:t>
      </w:r>
    </w:p>
    <w:p w14:paraId="09D856DE">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14:paraId="430DF7F7">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14:paraId="479E37CC">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14:paraId="2DFE3036">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14:paraId="696B2ADA">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14:paraId="4AFF1F97">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14:paraId="0AC40506">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14:paraId="020A4973">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14:paraId="74549BF2">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14:paraId="603A199C">
      <w:pPr>
        <w:pStyle w:val="34"/>
        <w:spacing w:line="360" w:lineRule="auto"/>
        <w:ind w:firstLine="360" w:firstLineChars="200"/>
        <w:rPr>
          <w:rFonts w:hint="eastAsia"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【1、资产配置策略</w:t>
      </w:r>
    </w:p>
    <w:p w14:paraId="1E80D486">
      <w:pPr>
        <w:pStyle w:val="34"/>
        <w:spacing w:line="360" w:lineRule="auto"/>
        <w:ind w:firstLine="360" w:firstLineChars="200"/>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本系列产品将充分发挥专户管理人的资产配置能力，在各类资产之间进行灵活配置。以债权类资产为主要配置，同时依托丰富的投资经验和优秀的风险控制能力在控制组合回撤风险的基础上增厚组合收益，力争获取持续稳定的稳定收益。</w:t>
      </w:r>
    </w:p>
    <w:p w14:paraId="4DF84AD8">
      <w:pPr>
        <w:pStyle w:val="34"/>
        <w:spacing w:line="360" w:lineRule="auto"/>
        <w:ind w:firstLine="360" w:firstLineChars="200"/>
        <w:rPr>
          <w:rFonts w:hint="eastAsia" w:asciiTheme="majorEastAsia" w:hAnsiTheme="majorEastAsia" w:eastAsiaTheme="majorEastAsia"/>
          <w:sz w:val="18"/>
          <w:szCs w:val="18"/>
        </w:rPr>
      </w:pPr>
      <w:r>
        <w:rPr>
          <w:rFonts w:hint="eastAsia" w:asciiTheme="majorEastAsia" w:hAnsiTheme="majorEastAsia" w:eastAsiaTheme="majorEastAsia"/>
          <w:sz w:val="18"/>
          <w:szCs w:val="18"/>
        </w:rPr>
        <w:t>2、固定收益投资策略</w:t>
      </w:r>
    </w:p>
    <w:p w14:paraId="5A925298">
      <w:pPr>
        <w:pStyle w:val="34"/>
        <w:spacing w:line="360" w:lineRule="auto"/>
        <w:ind w:firstLine="360" w:firstLineChars="200"/>
        <w:rPr>
          <w:rFonts w:asciiTheme="majorEastAsia" w:hAnsiTheme="majorEastAsia" w:eastAsiaTheme="majorEastAsia"/>
          <w:sz w:val="18"/>
          <w:szCs w:val="18"/>
        </w:rPr>
      </w:pPr>
      <w:r>
        <w:rPr>
          <w:rFonts w:hint="eastAsia" w:asciiTheme="majorEastAsia" w:hAnsiTheme="majorEastAsia" w:eastAsiaTheme="majorEastAsia"/>
          <w:sz w:val="18"/>
          <w:szCs w:val="18"/>
        </w:rPr>
        <w:t>包括久期偏离策略、收益率曲线配置策略、类别选择策略、相对价值策略、个券选择策略、信用债投资策略等。】</w:t>
      </w:r>
    </w:p>
    <w:permEnd w:id="19"/>
    <w:p w14:paraId="45DB0928">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14:paraId="7A0DC284">
      <w:pPr>
        <w:pStyle w:val="2"/>
        <w:spacing w:before="0" w:after="0" w:line="360" w:lineRule="auto"/>
        <w:jc w:val="center"/>
        <w:rPr>
          <w:rFonts w:ascii="Times New Roman"/>
          <w:sz w:val="30"/>
        </w:rPr>
      </w:pPr>
      <w:bookmarkStart w:id="27" w:name="_Toc141703885"/>
      <w:bookmarkStart w:id="28" w:name="_Toc4741"/>
      <w:bookmarkStart w:id="29" w:name="_Toc14893"/>
      <w:bookmarkStart w:id="30" w:name="_Toc18329"/>
      <w:bookmarkStart w:id="31" w:name="_Toc17912"/>
      <w:bookmarkStart w:id="32" w:name="_Toc26986"/>
      <w:bookmarkStart w:id="33" w:name="_Toc176189758"/>
      <w:bookmarkStart w:id="34" w:name="_Toc79154669"/>
      <w:bookmarkStart w:id="35" w:name="_Toc18526"/>
      <w:bookmarkStart w:id="36" w:name="_Toc74065742"/>
      <w:bookmarkStart w:id="37" w:name="_Toc18797"/>
      <w:bookmarkStart w:id="38" w:name="_Toc139991735"/>
      <w:bookmarkStart w:id="39" w:name="_Toc7848"/>
      <w:bookmarkStart w:id="40" w:name="_Toc21988"/>
      <w:bookmarkStart w:id="41" w:name="_Toc1823"/>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D263BBF">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14:paraId="38EA6579">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14:paraId="45E6F377">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14:paraId="034688A9">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14:paraId="1DC5DA95">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14:paraId="6E9BA717">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14:paraId="3F4280BD">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14:paraId="1FE9D4D5">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14:paraId="6DC05D66">
      <w:pPr>
        <w:pStyle w:val="2"/>
        <w:spacing w:before="0" w:after="0" w:line="360" w:lineRule="auto"/>
        <w:jc w:val="center"/>
        <w:rPr>
          <w:rFonts w:ascii="Times New Roman"/>
          <w:sz w:val="30"/>
        </w:rPr>
      </w:pPr>
      <w:bookmarkStart w:id="43" w:name="_Toc141703886"/>
      <w:bookmarkStart w:id="44" w:name="_Toc123102453"/>
      <w:bookmarkStart w:id="45" w:name="_Toc23261"/>
      <w:bookmarkStart w:id="46" w:name="_Toc48649707"/>
      <w:bookmarkStart w:id="47" w:name="_Toc98560352"/>
      <w:bookmarkStart w:id="48" w:name="_Toc1270"/>
      <w:bookmarkStart w:id="49" w:name="_Toc74065743"/>
      <w:bookmarkStart w:id="50" w:name="_Toc7920"/>
      <w:bookmarkStart w:id="51" w:name="_Toc17244"/>
      <w:bookmarkStart w:id="52" w:name="_Toc139991736"/>
      <w:bookmarkStart w:id="53" w:name="_Toc23822"/>
      <w:bookmarkStart w:id="54" w:name="_Toc123051452"/>
      <w:bookmarkStart w:id="55" w:name="_Toc610"/>
      <w:bookmarkStart w:id="56" w:name="_Toc10463"/>
      <w:bookmarkStart w:id="57" w:name="_Toc176189759"/>
      <w:bookmarkStart w:id="58" w:name="_Toc20733"/>
      <w:bookmarkStart w:id="59" w:name="_Toc79392606"/>
      <w:bookmarkStart w:id="60" w:name="_Toc1427"/>
      <w:bookmarkStart w:id="61" w:name="_Toc4003"/>
      <w:bookmarkStart w:id="62" w:name="_Toc123112234"/>
      <w:bookmarkStart w:id="63" w:name="_Toc79154670"/>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A853EF8">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14:paraId="260E3EFF">
      <w:pPr>
        <w:pStyle w:val="34"/>
        <w:spacing w:line="360" w:lineRule="auto"/>
        <w:ind w:firstLine="361" w:firstLineChars="200"/>
        <w:rPr>
          <w:rFonts w:hAnsi="宋体"/>
          <w:b/>
          <w:bCs/>
          <w:sz w:val="18"/>
          <w:szCs w:val="18"/>
        </w:rPr>
      </w:pPr>
      <w:r>
        <w:rPr>
          <w:rFonts w:hint="eastAsia" w:hAnsi="宋体"/>
          <w:b/>
          <w:bCs/>
          <w:sz w:val="18"/>
          <w:szCs w:val="18"/>
        </w:rPr>
        <w:t>（一）估值目的</w:t>
      </w:r>
    </w:p>
    <w:p w14:paraId="66B1BD69">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14:paraId="09AC36AB">
      <w:pPr>
        <w:pStyle w:val="34"/>
        <w:spacing w:line="360" w:lineRule="auto"/>
        <w:ind w:firstLine="361" w:firstLineChars="200"/>
        <w:rPr>
          <w:rFonts w:hAnsi="宋体"/>
          <w:b/>
          <w:bCs/>
          <w:sz w:val="18"/>
          <w:szCs w:val="18"/>
        </w:rPr>
      </w:pPr>
      <w:r>
        <w:rPr>
          <w:rFonts w:hint="eastAsia" w:hAnsi="宋体"/>
          <w:b/>
          <w:bCs/>
          <w:sz w:val="18"/>
          <w:szCs w:val="18"/>
        </w:rPr>
        <w:t>（二）估值频率</w:t>
      </w:r>
    </w:p>
    <w:p w14:paraId="177EBAC6">
      <w:pPr>
        <w:pStyle w:val="34"/>
        <w:spacing w:line="360" w:lineRule="auto"/>
        <w:ind w:firstLine="450" w:firstLineChars="250"/>
        <w:rPr>
          <w:sz w:val="18"/>
          <w:szCs w:val="18"/>
        </w:rPr>
      </w:pPr>
      <w:permStart w:id="20" w:edGrp="everyone"/>
      <w:r>
        <w:rPr>
          <w:rFonts w:hint="eastAsia" w:hAnsi="宋体"/>
          <w:sz w:val="18"/>
          <w:szCs w:val="18"/>
        </w:rPr>
        <w:t>本产品存续期间，每【</w:t>
      </w:r>
      <w:r>
        <w:rPr>
          <w:rFonts w:hint="eastAsia" w:hAnsi="宋体"/>
          <w:sz w:val="18"/>
          <w:szCs w:val="18"/>
          <w:lang w:val="en-US" w:eastAsia="zh-CN"/>
        </w:rPr>
        <w:t>周</w:t>
      </w:r>
      <w:r>
        <w:rPr>
          <w:rFonts w:hint="eastAsia" w:hAnsi="宋体"/>
          <w:sz w:val="18"/>
          <w:szCs w:val="18"/>
        </w:rPr>
        <w:t>】进行一次估值。如遇产品到期日、季度末、半年度末、年度末等时间节点管理人将增加估值日。</w:t>
      </w:r>
    </w:p>
    <w:permEnd w:id="20"/>
    <w:p w14:paraId="6281BDD7">
      <w:pPr>
        <w:pStyle w:val="34"/>
        <w:spacing w:line="360" w:lineRule="auto"/>
        <w:ind w:firstLine="452" w:firstLineChars="250"/>
        <w:rPr>
          <w:rFonts w:hAnsi="宋体"/>
          <w:b/>
          <w:bCs/>
          <w:sz w:val="18"/>
          <w:szCs w:val="18"/>
        </w:rPr>
      </w:pPr>
      <w:r>
        <w:rPr>
          <w:rFonts w:hint="eastAsia" w:hAnsi="宋体"/>
          <w:b/>
          <w:bCs/>
          <w:sz w:val="18"/>
          <w:szCs w:val="18"/>
        </w:rPr>
        <w:t>（三）估值对象</w:t>
      </w:r>
    </w:p>
    <w:p w14:paraId="5C5BB687">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14:paraId="79B01234">
      <w:pPr>
        <w:pStyle w:val="34"/>
        <w:spacing w:line="360" w:lineRule="auto"/>
        <w:ind w:firstLine="452" w:firstLineChars="250"/>
        <w:rPr>
          <w:rFonts w:hAnsi="宋体"/>
          <w:b/>
          <w:bCs/>
          <w:sz w:val="18"/>
          <w:szCs w:val="18"/>
        </w:rPr>
      </w:pPr>
      <w:r>
        <w:rPr>
          <w:rFonts w:hint="eastAsia" w:hAnsi="宋体"/>
          <w:b/>
          <w:bCs/>
          <w:sz w:val="18"/>
          <w:szCs w:val="18"/>
        </w:rPr>
        <w:t>（四）估值方法</w:t>
      </w:r>
    </w:p>
    <w:p w14:paraId="232CBD8D">
      <w:pPr>
        <w:pStyle w:val="34"/>
        <w:spacing w:line="360" w:lineRule="auto"/>
        <w:ind w:firstLine="360" w:firstLineChars="200"/>
        <w:rPr>
          <w:rFonts w:hAnsi="宋体"/>
          <w:bCs/>
          <w:sz w:val="18"/>
          <w:szCs w:val="18"/>
        </w:rPr>
      </w:pPr>
      <w:r>
        <w:rPr>
          <w:rFonts w:hAnsi="宋体"/>
          <w:bCs/>
          <w:sz w:val="18"/>
          <w:szCs w:val="18"/>
        </w:rPr>
        <w:t>1.标准化债权类资产估值</w:t>
      </w:r>
    </w:p>
    <w:p w14:paraId="42F4EA8C">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14:paraId="616B704C">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（1）投资以收取合同现金流量为目的并持有到期的标准化债权类资产，可使用摊余成本计量。</w:t>
      </w:r>
    </w:p>
    <w:p w14:paraId="275DA7B9">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14:paraId="163900A8">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14:paraId="3F84F80B">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hint="eastAsia" w:hAnsi="宋体"/>
          <w:sz w:val="18"/>
          <w:szCs w:val="18"/>
        </w:rPr>
        <w:t>所处的市场及相应的估值标准，分别进行估值。</w:t>
      </w:r>
    </w:p>
    <w:p w14:paraId="766B0EF8">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14:paraId="736F7178">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14:paraId="2D2D9D43">
      <w:pPr>
        <w:pStyle w:val="34"/>
        <w:spacing w:line="360" w:lineRule="auto"/>
        <w:ind w:firstLine="360" w:firstLineChars="200"/>
        <w:rPr>
          <w:rFonts w:hAnsi="宋体"/>
          <w:sz w:val="18"/>
          <w:szCs w:val="18"/>
        </w:rPr>
      </w:pPr>
      <w:r>
        <w:rPr>
          <w:rFonts w:hAnsi="宋体"/>
          <w:bCs/>
          <w:sz w:val="18"/>
          <w:szCs w:val="18"/>
        </w:rPr>
        <w:t>3.非标准化债权类资产</w:t>
      </w:r>
    </w:p>
    <w:p w14:paraId="0748B8E5">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14:paraId="32E19E83">
      <w:pPr>
        <w:pStyle w:val="34"/>
        <w:spacing w:line="360" w:lineRule="auto"/>
        <w:ind w:firstLine="360" w:firstLineChars="200"/>
        <w:rPr>
          <w:rFonts w:hAnsi="宋体"/>
          <w:bCs/>
          <w:sz w:val="18"/>
          <w:szCs w:val="18"/>
        </w:rPr>
      </w:pPr>
      <w:r>
        <w:rPr>
          <w:rFonts w:hAnsi="宋体"/>
          <w:bCs/>
          <w:sz w:val="18"/>
          <w:szCs w:val="18"/>
        </w:rPr>
        <w:t>4.上市公司股票估值</w:t>
      </w:r>
    </w:p>
    <w:p w14:paraId="589E39CE">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14:paraId="6F1EBA4E">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14:paraId="2635F6FB">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14:paraId="18C83752">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14:paraId="58910956">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14:paraId="22E9F5C1">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14:paraId="43FB195A">
      <w:pPr>
        <w:pStyle w:val="34"/>
        <w:spacing w:line="360" w:lineRule="auto"/>
        <w:ind w:firstLine="360" w:firstLineChars="200"/>
        <w:rPr>
          <w:rFonts w:hAnsi="宋体"/>
          <w:bCs/>
          <w:sz w:val="18"/>
          <w:szCs w:val="18"/>
        </w:rPr>
      </w:pPr>
      <w:r>
        <w:rPr>
          <w:rFonts w:hAnsi="宋体"/>
          <w:bCs/>
          <w:sz w:val="18"/>
          <w:szCs w:val="18"/>
        </w:rPr>
        <w:t>5.未上市公司股权</w:t>
      </w:r>
    </w:p>
    <w:p w14:paraId="354D2D58">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hAnsi="宋体"/>
          <w:sz w:val="18"/>
          <w:szCs w:val="18"/>
        </w:rPr>
        <w:t>。</w:t>
      </w:r>
    </w:p>
    <w:p w14:paraId="7DF923A1">
      <w:pPr>
        <w:pStyle w:val="34"/>
        <w:spacing w:line="360" w:lineRule="auto"/>
        <w:ind w:firstLine="360" w:firstLineChars="200"/>
        <w:rPr>
          <w:rFonts w:hAnsi="宋体"/>
          <w:bCs/>
          <w:sz w:val="18"/>
          <w:szCs w:val="18"/>
        </w:rPr>
      </w:pPr>
      <w:r>
        <w:rPr>
          <w:rFonts w:hAnsi="宋体"/>
          <w:bCs/>
          <w:sz w:val="18"/>
          <w:szCs w:val="18"/>
        </w:rPr>
        <w:t>6.优先股</w:t>
      </w:r>
    </w:p>
    <w:p w14:paraId="2810430F">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14:paraId="766B1BA9">
      <w:pPr>
        <w:pStyle w:val="34"/>
        <w:spacing w:line="360" w:lineRule="auto"/>
        <w:ind w:firstLine="360" w:firstLineChars="200"/>
        <w:rPr>
          <w:rFonts w:hAnsi="宋体"/>
          <w:bCs/>
          <w:sz w:val="18"/>
          <w:szCs w:val="18"/>
        </w:rPr>
      </w:pPr>
      <w:r>
        <w:rPr>
          <w:rFonts w:hAnsi="宋体"/>
          <w:bCs/>
          <w:sz w:val="18"/>
          <w:szCs w:val="18"/>
        </w:rPr>
        <w:t>7.证券投资基金估值</w:t>
      </w:r>
    </w:p>
    <w:p w14:paraId="1591FF38">
      <w:pPr>
        <w:pStyle w:val="34"/>
        <w:spacing w:line="360" w:lineRule="auto"/>
        <w:ind w:firstLine="360" w:firstLineChars="200"/>
        <w:rPr>
          <w:rFonts w:hAnsi="宋体"/>
          <w:sz w:val="18"/>
          <w:szCs w:val="18"/>
        </w:rPr>
      </w:pPr>
      <w:r>
        <w:rPr>
          <w:rFonts w:hint="eastAsia" w:hAnsi="宋体"/>
          <w:sz w:val="18"/>
          <w:szCs w:val="18"/>
        </w:rPr>
        <w:t>（1）非上市基金估值</w:t>
      </w:r>
    </w:p>
    <w:p w14:paraId="50FE940A">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1)本产品投资的境内非货币市场基金，按所投资基金估值日的基金份额净值估值；估值日基金净值未公布的，以基金管理人最近公布的基金份额净值计算。</w:t>
      </w:r>
    </w:p>
    <w:p w14:paraId="05D0C385">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14:paraId="498AF6E5">
      <w:pPr>
        <w:pStyle w:val="34"/>
        <w:spacing w:line="360" w:lineRule="auto"/>
        <w:ind w:firstLine="360" w:firstLineChars="200"/>
        <w:rPr>
          <w:rFonts w:hAnsi="宋体"/>
          <w:sz w:val="18"/>
          <w:szCs w:val="18"/>
        </w:rPr>
      </w:pPr>
      <w:r>
        <w:rPr>
          <w:rFonts w:hint="eastAsia" w:hAnsi="宋体"/>
          <w:sz w:val="18"/>
          <w:szCs w:val="18"/>
        </w:rPr>
        <w:t>（2）上市基金估值</w:t>
      </w:r>
    </w:p>
    <w:p w14:paraId="51ABD774">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14:paraId="27771C1A">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2)本产品投资的境内上市开放式基金（LOF），按所投资基金估值日的基金份额净值估值；估值日基金净值未公布的，以基金管理人最近公布的基金份额净值计算。</w:t>
      </w:r>
    </w:p>
    <w:p w14:paraId="7D5CAD22">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hint="eastAsia" w:hAnsi="宋体"/>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14:paraId="0CE992F1">
      <w:pPr>
        <w:pStyle w:val="34"/>
        <w:spacing w:line="360" w:lineRule="auto"/>
        <w:ind w:firstLine="360" w:firstLineChars="200"/>
        <w:rPr>
          <w:rFonts w:hAnsi="宋体"/>
          <w:bCs/>
          <w:sz w:val="18"/>
          <w:szCs w:val="18"/>
        </w:rPr>
      </w:pPr>
      <w:r>
        <w:rPr>
          <w:rFonts w:hAnsi="宋体"/>
          <w:bCs/>
          <w:sz w:val="18"/>
          <w:szCs w:val="18"/>
        </w:rPr>
        <w:t>8.其他资产管理产品的估值</w:t>
      </w:r>
    </w:p>
    <w:p w14:paraId="1C5F95B0">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14:paraId="5C99118F">
      <w:pPr>
        <w:pStyle w:val="34"/>
        <w:spacing w:line="360" w:lineRule="auto"/>
        <w:ind w:firstLine="360" w:firstLineChars="200"/>
        <w:rPr>
          <w:rFonts w:hAnsi="宋体"/>
          <w:bCs/>
          <w:sz w:val="18"/>
          <w:szCs w:val="18"/>
        </w:rPr>
      </w:pPr>
      <w:r>
        <w:rPr>
          <w:rFonts w:hAnsi="宋体"/>
          <w:bCs/>
          <w:sz w:val="18"/>
          <w:szCs w:val="18"/>
        </w:rPr>
        <w:t>9.衍生金融工具估值</w:t>
      </w:r>
    </w:p>
    <w:p w14:paraId="3FBC1320">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14:paraId="21DCA509">
      <w:pPr>
        <w:pStyle w:val="34"/>
        <w:spacing w:line="360" w:lineRule="auto"/>
        <w:ind w:firstLine="360" w:firstLineChars="200"/>
        <w:rPr>
          <w:rFonts w:hAnsi="宋体"/>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p>
    <w:p w14:paraId="1A6F1143">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14:paraId="65A3F898">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14:paraId="19A576F9">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14:paraId="19AFE2B4">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14:paraId="45754003">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14:paraId="3328FBC0">
      <w:pPr>
        <w:pStyle w:val="34"/>
        <w:spacing w:line="360" w:lineRule="auto"/>
        <w:ind w:firstLine="361" w:firstLineChars="200"/>
        <w:rPr>
          <w:rFonts w:hAnsi="宋体"/>
          <w:b/>
          <w:bCs/>
          <w:sz w:val="18"/>
          <w:szCs w:val="18"/>
        </w:rPr>
      </w:pPr>
      <w:r>
        <w:rPr>
          <w:rFonts w:hint="eastAsia" w:hAnsi="宋体"/>
          <w:b/>
          <w:bCs/>
          <w:sz w:val="18"/>
          <w:szCs w:val="18"/>
        </w:rPr>
        <w:t>（五）估值程序</w:t>
      </w:r>
    </w:p>
    <w:p w14:paraId="45D6538B">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1.产品份额净值是按照估值日产品资产净值除以当日产品总份额计算。国家另有规定的，从其规定。</w:t>
      </w:r>
    </w:p>
    <w:p w14:paraId="46AA2194">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14:paraId="3F060B49">
      <w:pPr>
        <w:pStyle w:val="34"/>
        <w:spacing w:line="360" w:lineRule="auto"/>
        <w:ind w:firstLine="360" w:firstLineChars="200"/>
        <w:rPr>
          <w:rFonts w:hAnsi="宋体"/>
          <w:sz w:val="18"/>
          <w:szCs w:val="18"/>
        </w:rPr>
      </w:pPr>
      <w:r>
        <w:rPr>
          <w:rFonts w:hint="eastAsia" w:hAnsi="宋体"/>
          <w:sz w:val="18"/>
          <w:szCs w:val="18"/>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14:paraId="4D60864D">
      <w:pPr>
        <w:pStyle w:val="34"/>
        <w:spacing w:line="360" w:lineRule="auto"/>
        <w:ind w:firstLine="361" w:firstLineChars="200"/>
        <w:rPr>
          <w:rFonts w:hAnsi="宋体"/>
          <w:b/>
          <w:bCs/>
          <w:sz w:val="18"/>
          <w:szCs w:val="18"/>
        </w:rPr>
      </w:pPr>
      <w:r>
        <w:rPr>
          <w:rFonts w:hint="eastAsia" w:hAnsi="宋体"/>
          <w:b/>
          <w:bCs/>
          <w:sz w:val="18"/>
          <w:szCs w:val="18"/>
        </w:rPr>
        <w:t>（六）估值主体</w:t>
      </w:r>
    </w:p>
    <w:p w14:paraId="08D1E0FA">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14:paraId="4A2E8AA8">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14:paraId="02B92497">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14:paraId="767387D7">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14:paraId="08D0B67A">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14:paraId="50A17E64">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14:paraId="62713102">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14:paraId="68386A8C">
      <w:pPr>
        <w:widowControl/>
        <w:spacing w:line="360" w:lineRule="auto"/>
        <w:jc w:val="left"/>
        <w:rPr>
          <w:rFonts w:ascii="宋体" w:hAnsi="宋体"/>
          <w:kern w:val="0"/>
          <w:sz w:val="18"/>
          <w:szCs w:val="18"/>
        </w:rPr>
      </w:pPr>
      <w:r>
        <w:rPr>
          <w:rFonts w:hAnsi="宋体"/>
          <w:sz w:val="18"/>
          <w:szCs w:val="18"/>
        </w:rPr>
        <w:br w:type="page"/>
      </w:r>
    </w:p>
    <w:p w14:paraId="7C7F3D19">
      <w:pPr>
        <w:pStyle w:val="2"/>
        <w:spacing w:before="0" w:after="0" w:line="360" w:lineRule="auto"/>
        <w:ind w:left="60" w:firstLine="10"/>
        <w:jc w:val="center"/>
        <w:rPr>
          <w:rFonts w:ascii="Times New Roman"/>
          <w:sz w:val="30"/>
        </w:rPr>
      </w:pPr>
      <w:bookmarkStart w:id="64" w:name="_Hlt70481650"/>
      <w:bookmarkEnd w:id="64"/>
      <w:bookmarkStart w:id="65" w:name="_Toc98560353"/>
      <w:bookmarkStart w:id="66" w:name="_Toc74065744"/>
      <w:bookmarkStart w:id="67" w:name="_Toc6405"/>
      <w:bookmarkStart w:id="68" w:name="_Toc31235"/>
      <w:bookmarkStart w:id="69" w:name="_Toc31644"/>
      <w:bookmarkStart w:id="70" w:name="_Toc123112235"/>
      <w:bookmarkStart w:id="71" w:name="_Toc123051453"/>
      <w:bookmarkStart w:id="72" w:name="_Toc141703887"/>
      <w:bookmarkStart w:id="73" w:name="_Toc139991737"/>
      <w:bookmarkStart w:id="74" w:name="_Toc26207"/>
      <w:bookmarkStart w:id="75" w:name="_Toc29251"/>
      <w:bookmarkStart w:id="76" w:name="_Toc15143"/>
      <w:bookmarkStart w:id="77" w:name="_Toc12245"/>
      <w:bookmarkStart w:id="78" w:name="_Toc123102454"/>
      <w:bookmarkStart w:id="79" w:name="_Toc14835"/>
      <w:bookmarkStart w:id="80" w:name="_Toc31653"/>
      <w:bookmarkStart w:id="81" w:name="_Toc176189760"/>
      <w:bookmarkStart w:id="82" w:name="_Toc79154671"/>
      <w:bookmarkStart w:id="83" w:name="_Toc3601"/>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15118234"/>
      <w:bookmarkStart w:id="86" w:name="_Toc79392580"/>
      <w:bookmarkStart w:id="87" w:name="_Toc57530239"/>
      <w:bookmarkStart w:id="88" w:name="_Toc523711668"/>
    </w:p>
    <w:p w14:paraId="07DDF8BD">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14:paraId="1285E673">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14:paraId="7073B227">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14:paraId="3BA54ED8">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14:paraId="24764AF1">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14:paraId="7FF1BFA3">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14:paraId="769ABBC3">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14:paraId="28D97608">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14:paraId="5D19C0AF">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14:paraId="6A8FAA1D">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14:paraId="48902BD6">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14:paraId="28865C89">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14:paraId="3D1D1980">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14:paraId="113E9278">
      <w:pPr>
        <w:spacing w:line="360" w:lineRule="auto"/>
        <w:ind w:firstLine="360"/>
        <w:rPr>
          <w:rFonts w:ascii="宋体" w:hAnsi="宋体"/>
          <w:b/>
          <w:sz w:val="18"/>
          <w:szCs w:val="18"/>
        </w:rPr>
      </w:pPr>
      <w:r>
        <w:rPr>
          <w:rFonts w:hint="eastAsia" w:ascii="宋体" w:hAnsi="宋体"/>
          <w:b/>
          <w:kern w:val="0"/>
          <w:sz w:val="18"/>
          <w:szCs w:val="18"/>
        </w:rPr>
        <w:t>（四）理财利益的分配</w:t>
      </w:r>
    </w:p>
    <w:p w14:paraId="01E67521">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14:paraId="7B3ED2AD">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14:paraId="01D9039F">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14:paraId="4736AD39">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14:paraId="6040CAF8">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14:paraId="5559BA9E">
      <w:pPr>
        <w:pStyle w:val="2"/>
        <w:spacing w:before="0" w:after="0" w:line="360" w:lineRule="auto"/>
        <w:jc w:val="center"/>
        <w:rPr>
          <w:rFonts w:ascii="Times New Roman"/>
          <w:sz w:val="30"/>
        </w:rPr>
      </w:pPr>
      <w:bookmarkStart w:id="89" w:name="_Hlt88897298"/>
      <w:bookmarkEnd w:id="89"/>
      <w:bookmarkStart w:id="90" w:name="_Hlt88825574"/>
      <w:bookmarkEnd w:id="90"/>
      <w:bookmarkStart w:id="91" w:name="_Toc3771"/>
      <w:bookmarkStart w:id="92" w:name="_Toc10650"/>
      <w:bookmarkStart w:id="93" w:name="_Toc7058"/>
      <w:bookmarkStart w:id="94" w:name="_Toc9706"/>
      <w:bookmarkStart w:id="95" w:name="_Toc79154672"/>
      <w:bookmarkStart w:id="96" w:name="_Toc6447"/>
      <w:bookmarkStart w:id="97" w:name="_Toc98560354"/>
      <w:bookmarkStart w:id="98" w:name="_Toc123102455"/>
      <w:bookmarkStart w:id="99" w:name="_Toc18567"/>
      <w:bookmarkStart w:id="100" w:name="_Toc123112236"/>
      <w:bookmarkStart w:id="101" w:name="_Toc11030"/>
      <w:bookmarkStart w:id="102" w:name="_Toc25783"/>
      <w:bookmarkStart w:id="103" w:name="_Toc176189761"/>
      <w:bookmarkStart w:id="104" w:name="_Toc139991738"/>
      <w:bookmarkStart w:id="105" w:name="_Toc141703888"/>
      <w:bookmarkStart w:id="106" w:name="_Toc3321"/>
      <w:bookmarkStart w:id="107" w:name="_Toc123051454"/>
      <w:bookmarkStart w:id="108" w:name="_Toc74065745"/>
      <w:bookmarkStart w:id="109" w:name="_Toc79392583"/>
      <w:bookmarkStart w:id="110" w:name="_Toc4559"/>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0658FE0">
      <w:pPr>
        <w:pStyle w:val="34"/>
        <w:spacing w:line="360" w:lineRule="auto"/>
        <w:ind w:firstLine="361" w:firstLineChars="200"/>
        <w:rPr>
          <w:rFonts w:hint="eastAsia" w:ascii="黑体" w:hAnsi="黑体" w:eastAsia="黑体" w:cs="黑体"/>
          <w:b/>
          <w:color w:val="auto"/>
          <w:sz w:val="18"/>
          <w:szCs w:val="18"/>
        </w:rPr>
      </w:pPr>
      <w:r>
        <w:rPr>
          <w:rFonts w:hint="eastAsia" w:ascii="黑体" w:hAnsi="黑体" w:eastAsia="黑体" w:cs="黑体"/>
          <w:b/>
          <w:color w:val="auto"/>
          <w:sz w:val="18"/>
          <w:szCs w:val="18"/>
        </w:rPr>
        <w:t>（一）理财产品的费用</w:t>
      </w:r>
    </w:p>
    <w:p w14:paraId="1C623AD4">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14:paraId="173B4894">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14:paraId="691FEE85">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14:paraId="489FFED6">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14:paraId="7CCD47C5">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14:paraId="73F4EFFD">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14:paraId="547099DA">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14:paraId="767133D1">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14:paraId="0A6922EC">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14:paraId="0608B0E4">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14:paraId="5CF41BB5">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14:paraId="5895050F">
      <w:pPr>
        <w:widowControl/>
        <w:spacing w:line="360" w:lineRule="auto"/>
        <w:ind w:firstLine="360" w:firstLineChars="200"/>
        <w:jc w:val="left"/>
        <w:rPr>
          <w:rFonts w:hint="eastAsia" w:ascii="黑体" w:hAnsi="黑体" w:eastAsia="黑体" w:cs="黑体"/>
          <w:sz w:val="18"/>
          <w:szCs w:val="18"/>
        </w:rPr>
      </w:pPr>
      <w:permStart w:id="23" w:edGrp="everyone"/>
      <w:r>
        <w:rPr>
          <w:rFonts w:hint="eastAsia" w:ascii="黑体" w:hAnsi="黑体" w:eastAsia="黑体" w:cs="黑体"/>
          <w:kern w:val="0"/>
          <w:sz w:val="18"/>
          <w:szCs w:val="18"/>
        </w:rPr>
        <w:t>（2）理财产品的销售服务费</w:t>
      </w:r>
    </w:p>
    <w:p w14:paraId="5F8C6D8A">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本产品的销售服务费按前一日理财资产净值与销售服务费每日费率每日计提。销售服务费的计算方法如下：</w:t>
      </w:r>
    </w:p>
    <w:p w14:paraId="579B2F23">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H＝E×销售服务费年费率÷365</w:t>
      </w:r>
    </w:p>
    <w:p w14:paraId="7DFBF167">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H为每日应计提的销售服务费</w:t>
      </w:r>
    </w:p>
    <w:p w14:paraId="11C3A4A0">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14:paraId="005304EE">
      <w:pPr>
        <w:pStyle w:val="34"/>
        <w:spacing w:line="360" w:lineRule="auto"/>
        <w:ind w:firstLine="360" w:firstLineChars="200"/>
        <w:rPr>
          <w:rFonts w:hint="eastAsia" w:ascii="黑体" w:hAnsi="黑体" w:eastAsia="黑体" w:cs="黑体"/>
          <w:color w:val="auto"/>
          <w:kern w:val="2"/>
          <w:sz w:val="18"/>
          <w:szCs w:val="18"/>
        </w:rPr>
      </w:pPr>
      <w:r>
        <w:rPr>
          <w:rFonts w:hint="eastAsia" w:ascii="黑体" w:hAnsi="黑体" w:eastAsia="黑体" w:cs="黑体"/>
          <w:color w:val="auto"/>
          <w:sz w:val="18"/>
          <w:szCs w:val="18"/>
        </w:rPr>
        <w:t>销售服务费依照上述约定，从理财财产中支付。</w:t>
      </w:r>
      <w:r>
        <w:rPr>
          <w:rFonts w:hint="eastAsia" w:ascii="黑体" w:hAnsi="黑体" w:eastAsia="黑体" w:cs="黑体"/>
          <w:color w:val="auto"/>
          <w:kern w:val="2"/>
          <w:sz w:val="18"/>
          <w:szCs w:val="18"/>
        </w:rPr>
        <w:t>费率具体数值以</w:t>
      </w:r>
      <w:r>
        <w:rPr>
          <w:rFonts w:hint="eastAsia" w:ascii="黑体" w:hAnsi="黑体" w:eastAsia="黑体" w:cs="黑体"/>
          <w:color w:val="auto"/>
          <w:sz w:val="18"/>
          <w:szCs w:val="18"/>
        </w:rPr>
        <w:t>《产品说明书》“第二条 理财产品基本情况”</w:t>
      </w:r>
      <w:r>
        <w:rPr>
          <w:rFonts w:hint="eastAsia" w:ascii="黑体" w:hAnsi="黑体" w:eastAsia="黑体" w:cs="黑体"/>
          <w:color w:val="auto"/>
          <w:kern w:val="2"/>
          <w:sz w:val="18"/>
          <w:szCs w:val="18"/>
        </w:rPr>
        <w:t>为准。</w:t>
      </w:r>
    </w:p>
    <w:permEnd w:id="23"/>
    <w:p w14:paraId="0722BB90">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14:paraId="1AAFA110">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14:paraId="7EEFF912">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14:paraId="61C2297D">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14:paraId="5898E51E">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14:paraId="7B89DEC9">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14:paraId="3AE8099C">
      <w:pPr>
        <w:widowControl/>
        <w:spacing w:line="360" w:lineRule="auto"/>
        <w:ind w:firstLine="360" w:firstLineChars="200"/>
        <w:jc w:val="left"/>
        <w:rPr>
          <w:rFonts w:hint="eastAsia" w:ascii="黑体" w:hAnsi="黑体" w:eastAsia="黑体" w:cs="黑体"/>
          <w:kern w:val="0"/>
          <w:sz w:val="18"/>
          <w:szCs w:val="18"/>
        </w:rPr>
      </w:pPr>
      <w:permStart w:id="24" w:edGrp="everyone"/>
      <w:r>
        <w:rPr>
          <w:rFonts w:hint="eastAsia" w:ascii="黑体" w:hAnsi="黑体" w:eastAsia="黑体" w:cs="黑体"/>
          <w:kern w:val="0"/>
          <w:sz w:val="18"/>
          <w:szCs w:val="18"/>
        </w:rPr>
        <w:t>（4）超额业绩报酬</w:t>
      </w:r>
    </w:p>
    <w:p w14:paraId="7D543D2D">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由此造成超额业绩报酬计提日产品份额净值调整的，以调整后的数值为准进行利益分配。</w:t>
      </w:r>
    </w:p>
    <w:p w14:paraId="13D14B94">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业绩报酬计提基准的设置、超额业绩报酬的具体比例数值以《</w:t>
      </w:r>
      <w:r>
        <w:rPr>
          <w:rFonts w:hint="eastAsia" w:ascii="黑体" w:hAnsi="黑体" w:eastAsia="黑体" w:cs="黑体"/>
          <w:bCs/>
          <w:sz w:val="18"/>
          <w:szCs w:val="18"/>
        </w:rPr>
        <w:t>产品说明</w:t>
      </w:r>
      <w:r>
        <w:rPr>
          <w:rFonts w:hint="eastAsia" w:ascii="黑体" w:hAnsi="黑体" w:eastAsia="黑体" w:cs="黑体"/>
          <w:sz w:val="18"/>
          <w:szCs w:val="18"/>
        </w:rPr>
        <w:t>书》“第二条 理财产品基本情况”为准。</w:t>
      </w:r>
    </w:p>
    <w:p w14:paraId="4EB819E6">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1）收取超额业绩报酬的原则：</w:t>
      </w:r>
    </w:p>
    <w:p w14:paraId="3B9BBC6A">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①按投资者每份产品份额分别计算年化收益率并计提超额业绩报酬；</w:t>
      </w:r>
    </w:p>
    <w:p w14:paraId="32C1D673">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②在超额业绩报酬计提日，本产品对符合超额业绩报酬提取条件的产品份额计提超额业绩报酬；</w:t>
      </w:r>
    </w:p>
    <w:p w14:paraId="7765EB88">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③在产品终止日提取超额业绩报酬的，超额业绩报酬从清算资金中扣除；</w:t>
      </w:r>
    </w:p>
    <w:p w14:paraId="40F32D1D">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2）超额业绩报酬计提方法</w:t>
      </w:r>
    </w:p>
    <w:p w14:paraId="3E91B7FF">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①超额业绩报酬计提起始日</w:t>
      </w:r>
    </w:p>
    <w:p w14:paraId="4D313C35">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每份产品份额超额业绩报酬计提起始日为：募集期内认购的产品份额，以产品成立日为该份产品份额超额业绩报酬计提起始日。</w:t>
      </w:r>
    </w:p>
    <w:p w14:paraId="3F5A07B8">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②超额业绩报酬计提日</w:t>
      </w:r>
    </w:p>
    <w:p w14:paraId="58C2D912">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每份产品份额超额业绩报酬每日计提，产品终止日结算。</w:t>
      </w:r>
    </w:p>
    <w:p w14:paraId="58B2E878">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③超额业绩报酬的计算</w:t>
      </w:r>
    </w:p>
    <w:p w14:paraId="1C5CC239">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产品管理人对每份份额当前年化收益率（R）超过当前业绩报酬计提基准的部分，按比例（N）以及产品份额持有天数（D）提取超额业绩报酬，计算方法如下：</w:t>
      </w:r>
    </w:p>
    <w:p w14:paraId="2C414134">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当R≤当前业绩报酬计提基准，超额业绩报酬=0；</w:t>
      </w:r>
    </w:p>
    <w:p w14:paraId="6B618E82">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当R＞当前业绩报酬计提基准，超额业绩报酬=产品终止时投资者持有的产品份额×产品成立日产品份额净值×（R-当前业绩报酬计提基准）×N×D/365。</w:t>
      </w:r>
    </w:p>
    <w:permEnd w:id="24"/>
    <w:p w14:paraId="387EA521">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14:paraId="2B7FA640">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14:paraId="4FB718ED">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14:paraId="32722407">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14:paraId="73AAF49B">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14:paraId="3EAA905C">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14:paraId="1F696340">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14:paraId="017E1B15">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14:paraId="021C8F88">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14:paraId="543E15BA">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14:paraId="63429AD8">
      <w:pPr>
        <w:pStyle w:val="34"/>
        <w:spacing w:line="360" w:lineRule="auto"/>
        <w:ind w:firstLine="360" w:firstLineChars="200"/>
        <w:rPr>
          <w:rFonts w:hint="eastAsia" w:ascii="黑体" w:hAnsi="黑体" w:eastAsia="黑体" w:cs="黑体"/>
          <w:color w:val="auto"/>
          <w:sz w:val="18"/>
        </w:rPr>
      </w:pPr>
      <w:r>
        <w:rPr>
          <w:rFonts w:hint="eastAsia" w:ascii="黑体" w:hAnsi="黑体" w:eastAsia="黑体" w:cs="黑体"/>
          <w:color w:val="auto"/>
          <w:sz w:val="18"/>
        </w:rPr>
        <w:t>3.</w:t>
      </w:r>
      <w:r>
        <w:rPr>
          <w:rFonts w:hint="eastAsia" w:ascii="黑体" w:hAnsi="黑体" w:eastAsia="黑体" w:cs="黑体"/>
          <w:color w:val="auto"/>
          <w:sz w:val="18"/>
          <w:szCs w:val="18"/>
        </w:rPr>
        <w:t>★理财产品费用</w:t>
      </w:r>
      <w:r>
        <w:rPr>
          <w:rFonts w:hint="eastAsia" w:ascii="黑体" w:hAnsi="黑体" w:eastAsia="黑体" w:cs="黑体"/>
          <w:color w:val="auto"/>
          <w:sz w:val="18"/>
        </w:rPr>
        <w:t>的调整</w:t>
      </w:r>
    </w:p>
    <w:p w14:paraId="402C6A11">
      <w:pPr>
        <w:pStyle w:val="34"/>
        <w:spacing w:line="360" w:lineRule="auto"/>
        <w:ind w:firstLine="360" w:firstLineChars="200"/>
        <w:rPr>
          <w:rFonts w:hint="eastAsia" w:ascii="黑体" w:hAnsi="黑体" w:eastAsia="黑体" w:cs="黑体"/>
          <w:b/>
          <w:color w:val="auto"/>
          <w:sz w:val="18"/>
        </w:rPr>
      </w:pPr>
      <w:r>
        <w:rPr>
          <w:rFonts w:hint="eastAsia" w:ascii="黑体" w:hAnsi="黑体" w:eastAsia="黑体" w:cs="黑体"/>
          <w:color w:val="auto"/>
          <w:sz w:val="18"/>
        </w:rPr>
        <w:t>产品管理人有权</w:t>
      </w:r>
      <w:r>
        <w:rPr>
          <w:rFonts w:hint="eastAsia" w:ascii="黑体" w:hAnsi="黑体" w:eastAsia="黑体" w:cs="黑体"/>
          <w:color w:val="auto"/>
          <w:sz w:val="18"/>
          <w:szCs w:val="18"/>
        </w:rPr>
        <w:t>根据相关法律和国家政策规定，</w:t>
      </w:r>
      <w:r>
        <w:rPr>
          <w:rFonts w:hint="eastAsia" w:ascii="黑体" w:hAnsi="黑体" w:eastAsia="黑体" w:cs="黑体"/>
          <w:color w:val="auto"/>
          <w:sz w:val="18"/>
        </w:rPr>
        <w:t>对理财产品费用的收费项目、收费条件、收费标准和收费方式等进行调整。产品管理人对费用的调整</w:t>
      </w:r>
      <w:r>
        <w:rPr>
          <w:rFonts w:hint="eastAsia" w:ascii="黑体" w:hAnsi="黑体" w:eastAsia="黑体" w:cs="黑体"/>
          <w:bCs/>
          <w:color w:val="auto"/>
          <w:sz w:val="18"/>
        </w:rPr>
        <w:t>将依本产品说明书的“理财产品的信息披露”条款约定进行公告。</w:t>
      </w:r>
    </w:p>
    <w:p w14:paraId="2C018CF1">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14:paraId="28D82EB8">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14:paraId="7546C852">
      <w:pPr>
        <w:pStyle w:val="2"/>
        <w:spacing w:line="360" w:lineRule="auto"/>
        <w:jc w:val="center"/>
      </w:pPr>
      <w:bookmarkStart w:id="111" w:name="_Toc1745"/>
      <w:bookmarkStart w:id="112" w:name="_Toc3963"/>
      <w:r>
        <w:br w:type="page"/>
      </w:r>
      <w:bookmarkStart w:id="113" w:name="_Toc79154673"/>
      <w:bookmarkStart w:id="114" w:name="_Toc3080"/>
      <w:bookmarkStart w:id="115" w:name="_Toc725"/>
      <w:bookmarkStart w:id="116" w:name="_Toc21735"/>
      <w:bookmarkStart w:id="117" w:name="_Toc31821"/>
      <w:bookmarkStart w:id="118" w:name="_Toc16164"/>
      <w:bookmarkStart w:id="119" w:name="_Toc10398"/>
      <w:bookmarkStart w:id="120" w:name="_Toc123112237"/>
      <w:bookmarkStart w:id="121" w:name="_Toc141703889"/>
      <w:bookmarkStart w:id="122" w:name="_Toc18206"/>
      <w:bookmarkStart w:id="123" w:name="_Toc176189762"/>
      <w:bookmarkStart w:id="124" w:name="_Toc123051455"/>
      <w:bookmarkStart w:id="125" w:name="_Toc3572"/>
      <w:bookmarkStart w:id="126" w:name="_Toc139991739"/>
      <w:bookmarkStart w:id="127" w:name="_Toc123102456"/>
      <w:bookmarkStart w:id="128" w:name="_Toc74065746"/>
      <w:bookmarkStart w:id="129" w:name="_Toc98560355"/>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449DC1F2">
      <w:pPr>
        <w:spacing w:line="360" w:lineRule="auto"/>
        <w:ind w:firstLine="361" w:firstLineChars="200"/>
        <w:rPr>
          <w:rFonts w:asciiTheme="majorEastAsia" w:hAnsiTheme="majorEastAsia" w:eastAsiaTheme="majorEastAsia"/>
          <w:b/>
          <w:bCs/>
          <w:sz w:val="18"/>
          <w:szCs w:val="18"/>
        </w:rPr>
      </w:pPr>
      <w:bookmarkStart w:id="130" w:name="_Toc79392593"/>
      <w:bookmarkStart w:id="131" w:name="_Toc15118245"/>
      <w:bookmarkStart w:id="132" w:name="_Toc57530252"/>
      <w:r>
        <w:rPr>
          <w:rFonts w:hint="eastAsia" w:asciiTheme="majorEastAsia" w:hAnsiTheme="majorEastAsia" w:eastAsiaTheme="majorEastAsia"/>
          <w:b/>
          <w:bCs/>
          <w:sz w:val="18"/>
          <w:szCs w:val="18"/>
        </w:rPr>
        <w:t>（一）理财产品的终止</w:t>
      </w:r>
    </w:p>
    <w:p w14:paraId="6861B63E">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14:paraId="2E510A31">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14:paraId="501733A2">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14:paraId="3559BFED">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14:paraId="3D7ACF87">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14:paraId="6811E31E">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14:paraId="5D126FE9">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14:paraId="54B888DB">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14:paraId="65ED339A">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14:paraId="129F9170">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14:paraId="70BA27CE">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14:paraId="46A9BBD2">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14:paraId="67245ADC">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14:paraId="21C5EADC">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14:paraId="4E901593">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14:paraId="1F73C9E0">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14:paraId="16748325">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14:paraId="33AAA307">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14:paraId="79721127">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14:paraId="0F1CFA57">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14:paraId="583FF3B3">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14:paraId="54B910FC">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14:paraId="74ED9F90">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14:paraId="547AD923">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实际到账日之间产生的利息（如有），归投资者所有。</w:t>
      </w:r>
    </w:p>
    <w:p w14:paraId="642C12BB">
      <w:pPr>
        <w:spacing w:line="360" w:lineRule="auto"/>
        <w:ind w:firstLine="360" w:firstLineChars="200"/>
        <w:rPr>
          <w:rFonts w:hint="eastAsia"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14:paraId="1B52693C">
      <w:pPr>
        <w:spacing w:line="360" w:lineRule="auto"/>
        <w:ind w:firstLine="360" w:firstLineChars="200"/>
        <w:rPr>
          <w:rFonts w:hint="eastAsia" w:asciiTheme="majorEastAsia" w:hAnsiTheme="majorEastAsia" w:eastAsiaTheme="majorEastAsia"/>
          <w:bCs/>
          <w:sz w:val="18"/>
          <w:szCs w:val="18"/>
        </w:rPr>
      </w:pPr>
      <w:r>
        <w:rPr>
          <w:rFonts w:hint="default" w:asciiTheme="majorEastAsia" w:hAnsiTheme="majorEastAsia" w:eastAsiaTheme="majorEastAsia"/>
          <w:bCs/>
          <w:sz w:val="18"/>
          <w:szCs w:val="18"/>
          <w:lang w:val="en-US" w:eastAsia="zh-CN"/>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w:t>
      </w:r>
      <w:r>
        <w:rPr>
          <w:rFonts w:hint="eastAsia" w:asciiTheme="majorEastAsia" w:hAnsiTheme="majorEastAsia" w:eastAsiaTheme="majorEastAsia"/>
          <w:bCs/>
          <w:sz w:val="18"/>
          <w:szCs w:val="18"/>
        </w:rPr>
        <w:t>【5】</w:t>
      </w:r>
      <w:r>
        <w:rPr>
          <w:rFonts w:hint="default" w:asciiTheme="majorEastAsia" w:hAnsiTheme="majorEastAsia" w:eastAsiaTheme="majorEastAsia"/>
          <w:bCs/>
          <w:sz w:val="18"/>
          <w:szCs w:val="18"/>
          <w:lang w:val="en-US" w:eastAsia="zh-CN"/>
        </w:rPr>
        <w:t>个工作日内按投资者持有的理财产品份额比例向投资者进行再次分配。</w:t>
      </w:r>
    </w:p>
    <w:bookmarkEnd w:id="130"/>
    <w:bookmarkEnd w:id="131"/>
    <w:bookmarkEnd w:id="132"/>
    <w:p w14:paraId="528F778D">
      <w:pPr>
        <w:pStyle w:val="2"/>
        <w:spacing w:before="0" w:after="0" w:line="360" w:lineRule="auto"/>
        <w:jc w:val="center"/>
        <w:rPr>
          <w:rFonts w:ascii="Times New Roman"/>
          <w:sz w:val="30"/>
        </w:rPr>
      </w:pPr>
      <w:r>
        <w:rPr>
          <w:rFonts w:ascii="Times New Roman"/>
          <w:b w:val="0"/>
          <w:bCs w:val="0"/>
          <w:kern w:val="2"/>
        </w:rPr>
        <w:br w:type="page"/>
      </w:r>
      <w:bookmarkStart w:id="133" w:name="_Toc98560356"/>
      <w:bookmarkStart w:id="134" w:name="_Toc123051456"/>
      <w:bookmarkStart w:id="135" w:name="_Toc21237"/>
      <w:bookmarkStart w:id="136" w:name="_Toc17920"/>
      <w:bookmarkStart w:id="137" w:name="_Toc739"/>
      <w:bookmarkStart w:id="138" w:name="_Toc176189763"/>
      <w:bookmarkStart w:id="139" w:name="_Toc48649708"/>
      <w:bookmarkStart w:id="140" w:name="_Toc17198"/>
      <w:bookmarkStart w:id="141" w:name="_Toc3329"/>
      <w:bookmarkStart w:id="142" w:name="_Toc139991740"/>
      <w:bookmarkStart w:id="143" w:name="_Toc32092"/>
      <w:bookmarkStart w:id="144" w:name="_Toc74065747"/>
      <w:bookmarkStart w:id="145" w:name="_Toc79154674"/>
      <w:bookmarkStart w:id="146" w:name="_Toc5170"/>
      <w:bookmarkStart w:id="147" w:name="_Toc79392622"/>
      <w:bookmarkStart w:id="148" w:name="_Toc141703890"/>
      <w:bookmarkStart w:id="149" w:name="_Toc29408"/>
      <w:bookmarkStart w:id="150" w:name="_Toc8791"/>
      <w:bookmarkStart w:id="151" w:name="_Toc123112238"/>
      <w:bookmarkStart w:id="152" w:name="_Toc123102457"/>
      <w:bookmarkStart w:id="153" w:name="_Toc32584"/>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3D482045">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14:paraId="77F34EF5">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14:paraId="7236DD6B">
      <w:pPr>
        <w:spacing w:line="360" w:lineRule="auto"/>
        <w:ind w:firstLine="361"/>
        <w:rPr>
          <w:rFonts w:ascii="宋体" w:hAnsi="宋体"/>
          <w:b/>
          <w:bCs/>
          <w:sz w:val="18"/>
          <w:szCs w:val="18"/>
        </w:rPr>
      </w:pPr>
      <w:r>
        <w:rPr>
          <w:rFonts w:hint="eastAsia" w:ascii="宋体" w:hAnsi="宋体"/>
          <w:b/>
          <w:bCs/>
          <w:sz w:val="18"/>
          <w:szCs w:val="18"/>
        </w:rPr>
        <w:t>（二）信息披露的渠道</w:t>
      </w:r>
    </w:p>
    <w:p w14:paraId="26FB045E">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14:paraId="2697A197">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14:paraId="40479C37">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14:paraId="1DA889BC">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14:paraId="0963793B">
      <w:pPr>
        <w:spacing w:line="360" w:lineRule="auto"/>
        <w:ind w:firstLine="361"/>
        <w:rPr>
          <w:rFonts w:ascii="宋体" w:hAnsi="宋体"/>
          <w:b/>
          <w:bCs/>
          <w:sz w:val="18"/>
          <w:szCs w:val="18"/>
        </w:rPr>
      </w:pPr>
      <w:r>
        <w:rPr>
          <w:rFonts w:hint="eastAsia" w:ascii="宋体" w:hAnsi="宋体"/>
          <w:b/>
          <w:bCs/>
          <w:sz w:val="18"/>
          <w:szCs w:val="18"/>
        </w:rPr>
        <w:t>（三）信息披露的内容</w:t>
      </w:r>
    </w:p>
    <w:p w14:paraId="0E51F4C0">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14:paraId="1F198BD8">
      <w:pPr>
        <w:spacing w:line="360" w:lineRule="auto"/>
        <w:ind w:firstLine="361"/>
        <w:rPr>
          <w:rFonts w:ascii="宋体" w:hAnsi="宋体"/>
          <w:b/>
          <w:bCs/>
          <w:sz w:val="18"/>
          <w:szCs w:val="18"/>
        </w:rPr>
      </w:pPr>
      <w:r>
        <w:rPr>
          <w:rFonts w:hint="eastAsia" w:ascii="宋体" w:hAnsi="宋体"/>
          <w:b/>
          <w:bCs/>
          <w:sz w:val="18"/>
          <w:szCs w:val="18"/>
        </w:rPr>
        <w:t>（四）信息披露的频率和时间</w:t>
      </w:r>
    </w:p>
    <w:p w14:paraId="44D852EB">
      <w:pPr>
        <w:spacing w:line="360" w:lineRule="auto"/>
        <w:ind w:firstLine="360"/>
        <w:rPr>
          <w:rFonts w:ascii="宋体" w:hAnsi="宋体"/>
          <w:bCs/>
          <w:sz w:val="18"/>
          <w:szCs w:val="18"/>
        </w:rPr>
      </w:pPr>
      <w:r>
        <w:rPr>
          <w:rFonts w:ascii="宋体" w:hAnsi="宋体"/>
          <w:bCs/>
          <w:sz w:val="18"/>
          <w:szCs w:val="18"/>
        </w:rPr>
        <w:t>1.产品成立公告</w:t>
      </w:r>
    </w:p>
    <w:p w14:paraId="3DFB5268">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14:paraId="7F32BA58">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14:paraId="3D548D91">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14:paraId="14152AB8">
      <w:pPr>
        <w:spacing w:line="360" w:lineRule="auto"/>
        <w:ind w:firstLine="360"/>
        <w:rPr>
          <w:rFonts w:ascii="宋体" w:hAnsi="宋体"/>
          <w:bCs/>
          <w:sz w:val="18"/>
          <w:szCs w:val="18"/>
        </w:rPr>
      </w:pPr>
      <w:r>
        <w:rPr>
          <w:rFonts w:ascii="宋体" w:hAnsi="宋体"/>
          <w:bCs/>
          <w:sz w:val="18"/>
          <w:szCs w:val="18"/>
        </w:rPr>
        <w:t>3.定期报告</w:t>
      </w:r>
    </w:p>
    <w:p w14:paraId="7E06E6CF">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14:paraId="4A1DF34B">
      <w:pPr>
        <w:spacing w:line="360" w:lineRule="auto"/>
        <w:ind w:firstLine="360"/>
        <w:rPr>
          <w:rFonts w:ascii="宋体" w:hAnsi="宋体"/>
          <w:bCs/>
          <w:sz w:val="18"/>
          <w:szCs w:val="18"/>
        </w:rPr>
      </w:pPr>
      <w:r>
        <w:rPr>
          <w:rFonts w:ascii="宋体" w:hAnsi="宋体"/>
          <w:bCs/>
          <w:sz w:val="18"/>
          <w:szCs w:val="18"/>
        </w:rPr>
        <w:t>4.到期公告</w:t>
      </w:r>
    </w:p>
    <w:p w14:paraId="592FC727">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14:paraId="14CE208C">
      <w:pPr>
        <w:spacing w:line="360" w:lineRule="auto"/>
        <w:ind w:firstLine="360"/>
        <w:rPr>
          <w:rFonts w:ascii="宋体" w:hAnsi="宋体"/>
          <w:bCs/>
          <w:sz w:val="18"/>
          <w:szCs w:val="18"/>
        </w:rPr>
      </w:pPr>
      <w:r>
        <w:rPr>
          <w:rFonts w:ascii="宋体" w:hAnsi="宋体"/>
          <w:bCs/>
          <w:sz w:val="18"/>
          <w:szCs w:val="18"/>
        </w:rPr>
        <w:t>5.估值日公告</w:t>
      </w:r>
    </w:p>
    <w:p w14:paraId="26B8282B">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w:t>
      </w:r>
      <w:r>
        <w:rPr>
          <w:rFonts w:hint="eastAsia" w:ascii="宋体" w:hAnsi="宋体"/>
          <w:bCs/>
          <w:sz w:val="18"/>
          <w:szCs w:val="18"/>
          <w:lang w:val="en-US" w:eastAsia="zh-CN"/>
        </w:rPr>
        <w:t>周</w:t>
      </w:r>
      <w:r>
        <w:rPr>
          <w:rFonts w:hint="eastAsia" w:ascii="宋体" w:hAnsi="宋体"/>
          <w:bCs/>
          <w:sz w:val="18"/>
          <w:szCs w:val="18"/>
        </w:rPr>
        <w:t>】向投资者披露一次估值日公告，估值日公告披露的内容包括估值日的产品份额净值、产品份额累计净值等。如遇法定节假日顺延。此外，如遇其他特殊情况，以产品管理人信息披露为准。</w:t>
      </w:r>
    </w:p>
    <w:permEnd w:id="25"/>
    <w:p w14:paraId="7C7363D9">
      <w:pPr>
        <w:spacing w:line="360" w:lineRule="auto"/>
        <w:ind w:firstLine="360"/>
        <w:rPr>
          <w:rFonts w:ascii="宋体" w:hAnsi="宋体"/>
          <w:bCs/>
          <w:sz w:val="18"/>
          <w:szCs w:val="18"/>
        </w:rPr>
      </w:pPr>
      <w:r>
        <w:rPr>
          <w:rFonts w:ascii="宋体" w:hAnsi="宋体"/>
          <w:bCs/>
          <w:sz w:val="18"/>
          <w:szCs w:val="18"/>
        </w:rPr>
        <w:t>6.临时公告</w:t>
      </w:r>
    </w:p>
    <w:p w14:paraId="7E6C0479">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14:paraId="28013F12">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14:paraId="076DE75D">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14:paraId="0DCA7B54">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14:paraId="2092E2BB">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14:paraId="3FBB460F">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14:paraId="0D60F97F">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14:paraId="118E07F8">
      <w:pPr>
        <w:widowControl/>
        <w:spacing w:line="360" w:lineRule="auto"/>
        <w:jc w:val="left"/>
        <w:rPr>
          <w:bCs/>
          <w:sz w:val="24"/>
        </w:rPr>
      </w:pPr>
      <w:r>
        <w:rPr>
          <w:bCs/>
          <w:sz w:val="24"/>
        </w:rPr>
        <w:br w:type="page"/>
      </w:r>
    </w:p>
    <w:p w14:paraId="794DEEB7">
      <w:pPr>
        <w:pStyle w:val="2"/>
        <w:spacing w:before="0" w:after="0" w:line="360" w:lineRule="auto"/>
        <w:jc w:val="center"/>
        <w:rPr>
          <w:rFonts w:ascii="Times New Roman"/>
          <w:b w:val="0"/>
          <w:sz w:val="30"/>
        </w:rPr>
      </w:pPr>
      <w:bookmarkStart w:id="154" w:name="_Toc79154675"/>
      <w:bookmarkStart w:id="155" w:name="_Toc176189764"/>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14:paraId="15C69573">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14:paraId="0B0F36C3">
      <w:pPr>
        <w:spacing w:line="360" w:lineRule="auto"/>
        <w:ind w:firstLine="360" w:firstLineChars="200"/>
        <w:rPr>
          <w:rFonts w:hint="eastAsia" w:ascii="宋体" w:hAnsi="宋体"/>
          <w:sz w:val="18"/>
          <w:szCs w:val="18"/>
        </w:rPr>
      </w:pPr>
      <w:permStart w:id="26" w:edGrp="everyone"/>
      <w:r>
        <w:rPr>
          <w:rFonts w:hint="eastAsia" w:ascii="宋体" w:hAnsi="宋体"/>
          <w:sz w:val="18"/>
          <w:szCs w:val="18"/>
        </w:rPr>
        <w:t>【1、拟投资市场和资产的风险：</w:t>
      </w:r>
    </w:p>
    <w:p w14:paraId="02078933">
      <w:pPr>
        <w:spacing w:line="360" w:lineRule="auto"/>
        <w:ind w:firstLine="360" w:firstLineChars="200"/>
        <w:rPr>
          <w:rFonts w:hint="eastAsia" w:ascii="宋体" w:hAnsi="宋体"/>
          <w:sz w:val="18"/>
          <w:szCs w:val="18"/>
        </w:rPr>
      </w:pPr>
      <w:r>
        <w:rPr>
          <w:rFonts w:hint="eastAsia" w:ascii="宋体" w:hAnsi="宋体"/>
          <w:sz w:val="18"/>
          <w:szCs w:val="18"/>
        </w:rPr>
        <w:t>（1）投资债权类资产的风险</w:t>
      </w:r>
    </w:p>
    <w:p w14:paraId="721E59FA">
      <w:pPr>
        <w:spacing w:line="360" w:lineRule="auto"/>
        <w:ind w:firstLine="360" w:firstLineChars="200"/>
        <w:rPr>
          <w:rFonts w:hint="eastAsia" w:ascii="宋体" w:hAnsi="宋体"/>
          <w:sz w:val="18"/>
          <w:szCs w:val="18"/>
        </w:rPr>
      </w:pPr>
      <w:r>
        <w:rPr>
          <w:rFonts w:hint="eastAsia" w:ascii="宋体" w:hAnsi="宋体"/>
          <w:sz w:val="18"/>
          <w:szCs w:val="18"/>
        </w:rPr>
        <w:t>1）投资标准化债权类资产的风险</w:t>
      </w:r>
    </w:p>
    <w:p w14:paraId="17664333">
      <w:pPr>
        <w:spacing w:line="360" w:lineRule="auto"/>
        <w:ind w:firstLine="360" w:firstLineChars="200"/>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5FD92845">
      <w:pPr>
        <w:spacing w:line="360" w:lineRule="auto"/>
        <w:ind w:firstLine="360" w:firstLineChars="200"/>
        <w:rPr>
          <w:rFonts w:hint="eastAsia" w:ascii="宋体" w:hAnsi="宋体"/>
          <w:sz w:val="18"/>
          <w:szCs w:val="18"/>
        </w:rPr>
      </w:pPr>
      <w:r>
        <w:rPr>
          <w:rFonts w:hint="eastAsia" w:ascii="宋体" w:hAnsi="宋体"/>
          <w:sz w:val="18"/>
          <w:szCs w:val="18"/>
        </w:rPr>
        <w:t>2）投资非标准化债权类资产的风险</w:t>
      </w:r>
    </w:p>
    <w:p w14:paraId="25FEA61B">
      <w:pPr>
        <w:spacing w:line="360" w:lineRule="auto"/>
        <w:ind w:firstLine="360" w:firstLineChars="200"/>
        <w:rPr>
          <w:rFonts w:hint="eastAsia"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14:paraId="1905B87C">
      <w:pPr>
        <w:spacing w:line="360" w:lineRule="auto"/>
        <w:ind w:firstLine="360" w:firstLineChars="200"/>
        <w:rPr>
          <w:rFonts w:hint="eastAsia" w:ascii="宋体" w:hAnsi="宋体"/>
          <w:sz w:val="18"/>
          <w:szCs w:val="18"/>
        </w:rPr>
      </w:pPr>
      <w:r>
        <w:rPr>
          <w:rFonts w:hint="eastAsia" w:ascii="宋体" w:hAnsi="宋体"/>
          <w:sz w:val="18"/>
          <w:szCs w:val="18"/>
        </w:rPr>
        <w:t xml:space="preserve">（2）投资商品和金融衍生品类资产的风险 </w:t>
      </w:r>
    </w:p>
    <w:p w14:paraId="3FE1182C">
      <w:pPr>
        <w:spacing w:line="360" w:lineRule="auto"/>
        <w:ind w:firstLine="360" w:firstLineChars="200"/>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lang w:eastAsia="zh-CN"/>
        </w:rPr>
        <w:t>。</w:t>
      </w:r>
      <w:r>
        <w:rPr>
          <w:rFonts w:hint="eastAsia" w:ascii="宋体" w:hAnsi="宋体"/>
          <w:sz w:val="18"/>
          <w:szCs w:val="18"/>
        </w:rPr>
        <w:t>】</w:t>
      </w:r>
      <w:permEnd w:id="26"/>
    </w:p>
    <w:p w14:paraId="0FB09DD5">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14:paraId="722856C1">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14:paraId="150A23E0">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14:paraId="48A084D5">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14:paraId="5D85648A">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14:paraId="3544CAF4">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06B04853">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14:paraId="50A282A6">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14:paraId="6EBA3FDB">
      <w:pPr>
        <w:spacing w:line="360" w:lineRule="auto"/>
        <w:ind w:firstLine="360" w:firstLineChars="200"/>
        <w:rPr>
          <w:rFonts w:ascii="宋体" w:hAnsi="宋体"/>
          <w:sz w:val="18"/>
          <w:szCs w:val="18"/>
        </w:rPr>
      </w:pPr>
      <w:r>
        <w:rPr>
          <w:rFonts w:hint="eastAsia" w:ascii="宋体" w:hAnsi="宋体"/>
          <w:sz w:val="18"/>
          <w:szCs w:val="18"/>
        </w:rPr>
        <w:t>4.流动性风险</w:t>
      </w:r>
    </w:p>
    <w:p w14:paraId="4BF4B3B1">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14:paraId="7727F53D">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14:paraId="15E88F4F">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14:paraId="6ABD4ECF">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14:paraId="4594316F">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14:paraId="5894AE66">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14:paraId="5FD05FB9">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14:paraId="020F4E6D">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14:paraId="23848F4B">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14:paraId="17B0E63E">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14:paraId="42F95E2E">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14:paraId="6041AF5E">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14:paraId="017B67C8">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14:paraId="5DB7F970">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14:paraId="2700C41F">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14:paraId="1D287D93">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14:paraId="3E7CEB34">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14:paraId="1673F8E2">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14:paraId="7E56918B">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14:paraId="134B51E4">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14:paraId="524F0437">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14:paraId="0EC3FEA5">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14:paraId="4D774418">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14:paraId="35BF2797">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14:paraId="7D1D95CA">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14:paraId="6F969355">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17.★关联交易风险</w:t>
      </w:r>
    </w:p>
    <w:p w14:paraId="0CF960EF">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14:paraId="1B79BFA0">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14:paraId="73F8C105">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14:paraId="749071F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14:paraId="167E2E24">
            <w:pPr>
              <w:spacing w:line="280" w:lineRule="atLeast"/>
              <w:ind w:firstLine="422"/>
              <w:jc w:val="center"/>
              <w:rPr>
                <w:rFonts w:ascii="宋体" w:hAnsi="宋体" w:cs="Arial"/>
                <w:b/>
                <w:szCs w:val="21"/>
              </w:rPr>
            </w:pPr>
            <w:r>
              <w:rPr>
                <w:rFonts w:hint="eastAsia" w:ascii="宋体" w:hAnsi="宋体" w:cs="Arial"/>
                <w:b/>
                <w:szCs w:val="21"/>
              </w:rPr>
              <w:t>投资者确认栏</w:t>
            </w:r>
          </w:p>
          <w:p w14:paraId="754DA8B5">
            <w:pPr>
              <w:spacing w:line="360" w:lineRule="auto"/>
              <w:ind w:firstLine="361"/>
              <w:rPr>
                <w:b/>
                <w:sz w:val="18"/>
                <w:szCs w:val="18"/>
              </w:rPr>
            </w:pPr>
          </w:p>
        </w:tc>
      </w:tr>
      <w:tr w14:paraId="52EFF93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14:paraId="4E83CEF8">
            <w:pPr>
              <w:spacing w:line="360" w:lineRule="auto"/>
              <w:jc w:val="left"/>
              <w:rPr>
                <w:b/>
                <w:sz w:val="18"/>
                <w:szCs w:val="18"/>
              </w:rPr>
            </w:pPr>
            <w:r>
              <w:rPr>
                <w:rFonts w:hint="eastAsia"/>
                <w:b/>
                <w:sz w:val="18"/>
                <w:szCs w:val="18"/>
              </w:rPr>
              <w:t>个人投资者适用</w:t>
            </w:r>
          </w:p>
        </w:tc>
        <w:tc>
          <w:tcPr>
            <w:tcW w:w="7371" w:type="dxa"/>
          </w:tcPr>
          <w:p w14:paraId="38287025">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14:paraId="6EB5891E">
            <w:pPr>
              <w:spacing w:line="360" w:lineRule="auto"/>
              <w:ind w:firstLine="361"/>
              <w:jc w:val="left"/>
              <w:rPr>
                <w:b/>
                <w:sz w:val="18"/>
                <w:szCs w:val="18"/>
              </w:rPr>
            </w:pPr>
          </w:p>
          <w:p w14:paraId="3E8C0E25">
            <w:pPr>
              <w:spacing w:line="360" w:lineRule="auto"/>
              <w:ind w:firstLine="360"/>
              <w:jc w:val="left"/>
              <w:rPr>
                <w:sz w:val="18"/>
                <w:szCs w:val="18"/>
              </w:rPr>
            </w:pPr>
            <w:r>
              <w:rPr>
                <w:rFonts w:hint="eastAsia"/>
                <w:sz w:val="18"/>
                <w:szCs w:val="18"/>
              </w:rPr>
              <w:t>日期：</w:t>
            </w:r>
          </w:p>
        </w:tc>
      </w:tr>
      <w:tr w14:paraId="67746C8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14:paraId="37548282">
            <w:pPr>
              <w:spacing w:line="360" w:lineRule="auto"/>
              <w:jc w:val="left"/>
              <w:rPr>
                <w:b/>
                <w:sz w:val="18"/>
                <w:szCs w:val="18"/>
              </w:rPr>
            </w:pPr>
            <w:r>
              <w:rPr>
                <w:rFonts w:hint="eastAsia"/>
                <w:b/>
                <w:sz w:val="18"/>
                <w:szCs w:val="18"/>
              </w:rPr>
              <w:t>机构投资者适用</w:t>
            </w:r>
          </w:p>
        </w:tc>
        <w:tc>
          <w:tcPr>
            <w:tcW w:w="7371" w:type="dxa"/>
          </w:tcPr>
          <w:p w14:paraId="2C7D28E3">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cs="Arial"/>
                <w:sz w:val="18"/>
                <w:szCs w:val="18"/>
              </w:rPr>
              <w:t>线上确认）：</w:t>
            </w:r>
          </w:p>
          <w:p w14:paraId="404E11BB">
            <w:pPr>
              <w:tabs>
                <w:tab w:val="left" w:pos="5609"/>
              </w:tabs>
              <w:spacing w:line="360" w:lineRule="auto"/>
              <w:ind w:firstLine="360"/>
              <w:jc w:val="left"/>
              <w:rPr>
                <w:rFonts w:cs="Arial"/>
                <w:sz w:val="18"/>
                <w:szCs w:val="18"/>
              </w:rPr>
            </w:pPr>
            <w:r>
              <w:rPr>
                <w:rFonts w:cs="Arial"/>
                <w:sz w:val="18"/>
                <w:szCs w:val="18"/>
              </w:rPr>
              <w:tab/>
            </w:r>
          </w:p>
          <w:p w14:paraId="42ED8C80">
            <w:pPr>
              <w:spacing w:line="360" w:lineRule="auto"/>
              <w:ind w:firstLine="360"/>
              <w:jc w:val="left"/>
              <w:rPr>
                <w:rFonts w:cs="Arial"/>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cs="Arial"/>
                <w:sz w:val="18"/>
                <w:szCs w:val="18"/>
              </w:rPr>
              <w:t>线上确认）：</w:t>
            </w:r>
          </w:p>
          <w:p w14:paraId="5312CC32">
            <w:pPr>
              <w:spacing w:line="360" w:lineRule="auto"/>
              <w:ind w:firstLine="360"/>
              <w:jc w:val="left"/>
              <w:rPr>
                <w:sz w:val="18"/>
                <w:szCs w:val="18"/>
              </w:rPr>
            </w:pPr>
            <w:r>
              <w:rPr>
                <w:rFonts w:hint="eastAsia"/>
                <w:sz w:val="18"/>
                <w:szCs w:val="18"/>
              </w:rPr>
              <w:t>日期：</w:t>
            </w:r>
          </w:p>
        </w:tc>
      </w:tr>
    </w:tbl>
    <w:p w14:paraId="3C80D354">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14:paraId="6AA3A0D7">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FE92AB">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0BFDB9">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14:paraId="199CAA4A">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dit="readOnly" w:enforcement="1" w:cryptProviderType="rsaFull" w:cryptAlgorithmClass="hash" w:cryptAlgorithmType="typeAny" w:cryptAlgorithmSid="4" w:cryptSpinCount="0" w:hash="X8MTH4r3VGXfheryKtfvJgFrepM=" w:salt="6hLmS31bjWHjyyVdPhkOfg=="/>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8DA"/>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7CF"/>
    <w:rsid w:val="00266037"/>
    <w:rsid w:val="00266978"/>
    <w:rsid w:val="00266DAB"/>
    <w:rsid w:val="00271878"/>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006"/>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B7E"/>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4020E"/>
    <w:rsid w:val="0064087A"/>
    <w:rsid w:val="00644970"/>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5C08"/>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137C"/>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4E70"/>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376B"/>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3C85"/>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11FE"/>
    <w:rsid w:val="00E925A6"/>
    <w:rsid w:val="00E945AC"/>
    <w:rsid w:val="00E94859"/>
    <w:rsid w:val="00E94C30"/>
    <w:rsid w:val="00E95A4A"/>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20A6A96"/>
    <w:rsid w:val="0356786B"/>
    <w:rsid w:val="046E31C1"/>
    <w:rsid w:val="056C4F65"/>
    <w:rsid w:val="05883C21"/>
    <w:rsid w:val="05B437EC"/>
    <w:rsid w:val="05B80C59"/>
    <w:rsid w:val="064C663D"/>
    <w:rsid w:val="06F4696E"/>
    <w:rsid w:val="07140310"/>
    <w:rsid w:val="07245E56"/>
    <w:rsid w:val="072779FF"/>
    <w:rsid w:val="0BE22C8C"/>
    <w:rsid w:val="0C023D8C"/>
    <w:rsid w:val="0CF7088E"/>
    <w:rsid w:val="0E94232E"/>
    <w:rsid w:val="0F1306D5"/>
    <w:rsid w:val="10134CDE"/>
    <w:rsid w:val="11295396"/>
    <w:rsid w:val="12432CFD"/>
    <w:rsid w:val="163A6338"/>
    <w:rsid w:val="163E2FB7"/>
    <w:rsid w:val="19085A79"/>
    <w:rsid w:val="1A48157B"/>
    <w:rsid w:val="1ABE2ED9"/>
    <w:rsid w:val="1BD70953"/>
    <w:rsid w:val="1BF87698"/>
    <w:rsid w:val="1C78144D"/>
    <w:rsid w:val="1DFF1A9D"/>
    <w:rsid w:val="1E585AB7"/>
    <w:rsid w:val="1E947AF7"/>
    <w:rsid w:val="1EB160C2"/>
    <w:rsid w:val="1FF145B9"/>
    <w:rsid w:val="2193546F"/>
    <w:rsid w:val="23083986"/>
    <w:rsid w:val="23AF29A3"/>
    <w:rsid w:val="24924C8F"/>
    <w:rsid w:val="25675458"/>
    <w:rsid w:val="26123FD6"/>
    <w:rsid w:val="26F50BA9"/>
    <w:rsid w:val="29026D00"/>
    <w:rsid w:val="2A0E468C"/>
    <w:rsid w:val="2A642791"/>
    <w:rsid w:val="2B590E2A"/>
    <w:rsid w:val="2EA644DF"/>
    <w:rsid w:val="2FB532A0"/>
    <w:rsid w:val="2FE14D58"/>
    <w:rsid w:val="319C4BEA"/>
    <w:rsid w:val="3283538E"/>
    <w:rsid w:val="33DA2E89"/>
    <w:rsid w:val="34B41D11"/>
    <w:rsid w:val="34C829B2"/>
    <w:rsid w:val="35381804"/>
    <w:rsid w:val="368313A4"/>
    <w:rsid w:val="386A3F56"/>
    <w:rsid w:val="3A810EF7"/>
    <w:rsid w:val="3C3802E9"/>
    <w:rsid w:val="3E0C1771"/>
    <w:rsid w:val="3E586AB8"/>
    <w:rsid w:val="3E5C1B1D"/>
    <w:rsid w:val="3EAE14E9"/>
    <w:rsid w:val="3FA22D5A"/>
    <w:rsid w:val="3FD261A6"/>
    <w:rsid w:val="42626C92"/>
    <w:rsid w:val="42EB2F9C"/>
    <w:rsid w:val="44593EB2"/>
    <w:rsid w:val="45226963"/>
    <w:rsid w:val="469F5C49"/>
    <w:rsid w:val="4A3241BC"/>
    <w:rsid w:val="4C163B54"/>
    <w:rsid w:val="4C9978BA"/>
    <w:rsid w:val="4D39606F"/>
    <w:rsid w:val="4F8E3D4D"/>
    <w:rsid w:val="4FA308F4"/>
    <w:rsid w:val="51BA7EA1"/>
    <w:rsid w:val="51E57594"/>
    <w:rsid w:val="526123AA"/>
    <w:rsid w:val="53B3493A"/>
    <w:rsid w:val="5537323C"/>
    <w:rsid w:val="55855837"/>
    <w:rsid w:val="55974979"/>
    <w:rsid w:val="56503211"/>
    <w:rsid w:val="56990046"/>
    <w:rsid w:val="57BD5DAE"/>
    <w:rsid w:val="59523F18"/>
    <w:rsid w:val="598B567E"/>
    <w:rsid w:val="5BA577EB"/>
    <w:rsid w:val="5BDA5218"/>
    <w:rsid w:val="5C624734"/>
    <w:rsid w:val="5FE91ABC"/>
    <w:rsid w:val="60D42826"/>
    <w:rsid w:val="628E734C"/>
    <w:rsid w:val="656B1A72"/>
    <w:rsid w:val="6580603B"/>
    <w:rsid w:val="68B96EA7"/>
    <w:rsid w:val="68C7223A"/>
    <w:rsid w:val="68EF6886"/>
    <w:rsid w:val="694A7300"/>
    <w:rsid w:val="699457CF"/>
    <w:rsid w:val="6D9767D9"/>
    <w:rsid w:val="6FDD1093"/>
    <w:rsid w:val="709C0126"/>
    <w:rsid w:val="70D35CA6"/>
    <w:rsid w:val="712F05BE"/>
    <w:rsid w:val="72473609"/>
    <w:rsid w:val="73EB7F47"/>
    <w:rsid w:val="76022652"/>
    <w:rsid w:val="768501BE"/>
    <w:rsid w:val="76B466CC"/>
    <w:rsid w:val="76C8601E"/>
    <w:rsid w:val="774B0FB0"/>
    <w:rsid w:val="7831779D"/>
    <w:rsid w:val="7AFB44D3"/>
    <w:rsid w:val="7D80556D"/>
    <w:rsid w:val="7ED86E63"/>
    <w:rsid w:val="7F7D23B8"/>
    <w:rsid w:val="7F8A69E7"/>
    <w:rsid w:val="7FC375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CF487381-D648-48A1-B1E4-A4540B0D3650}">
  <ds:schemaRefs/>
</ds:datastoreItem>
</file>

<file path=customXml/itemProps10.xml><?xml version="1.0" encoding="utf-8"?>
<ds:datastoreItem xmlns:ds="http://schemas.openxmlformats.org/officeDocument/2006/customXml" ds:itemID="{1EEDD527-97BA-47F6-B37E-95B51416FA3B}">
  <ds:schemaRefs/>
</ds:datastoreItem>
</file>

<file path=customXml/itemProps11.xml><?xml version="1.0" encoding="utf-8"?>
<ds:datastoreItem xmlns:ds="http://schemas.openxmlformats.org/officeDocument/2006/customXml" ds:itemID="{79B37214-9E52-4241-8DD2-9E9CD9442006}">
  <ds:schemaRefs/>
</ds:datastoreItem>
</file>

<file path=customXml/itemProps12.xml><?xml version="1.0" encoding="utf-8"?>
<ds:datastoreItem xmlns:ds="http://schemas.openxmlformats.org/officeDocument/2006/customXml" ds:itemID="{7E5C9D84-6DB6-48FB-8632-D5279FC233C8}">
  <ds:schemaRefs/>
</ds:datastoreItem>
</file>

<file path=customXml/itemProps13.xml><?xml version="1.0" encoding="utf-8"?>
<ds:datastoreItem xmlns:ds="http://schemas.openxmlformats.org/officeDocument/2006/customXml" ds:itemID="{2108FF18-8EC8-4170-A536-1AA8E39CC797}">
  <ds:schemaRefs/>
</ds:datastoreItem>
</file>

<file path=customXml/itemProps14.xml><?xml version="1.0" encoding="utf-8"?>
<ds:datastoreItem xmlns:ds="http://schemas.openxmlformats.org/officeDocument/2006/customXml" ds:itemID="{E6D3D55C-3DD8-4C31-8069-E5508DD844FB}">
  <ds:schemaRefs/>
</ds:datastoreItem>
</file>

<file path=customXml/itemProps15.xml><?xml version="1.0" encoding="utf-8"?>
<ds:datastoreItem xmlns:ds="http://schemas.openxmlformats.org/officeDocument/2006/customXml" ds:itemID="{EC45DDBE-A426-47CA-BC62-D025DE29F1BC}">
  <ds:schemaRefs/>
</ds:datastoreItem>
</file>

<file path=customXml/itemProps16.xml><?xml version="1.0" encoding="utf-8"?>
<ds:datastoreItem xmlns:ds="http://schemas.openxmlformats.org/officeDocument/2006/customXml" ds:itemID="{BEEE0313-55EB-45FA-BBBD-C0232D367255}">
  <ds:schemaRefs/>
</ds:datastoreItem>
</file>

<file path=customXml/itemProps17.xml><?xml version="1.0" encoding="utf-8"?>
<ds:datastoreItem xmlns:ds="http://schemas.openxmlformats.org/officeDocument/2006/customXml" ds:itemID="{1A3BDF38-4832-4575-A8AB-7A1679738229}">
  <ds:schemaRefs/>
</ds:datastoreItem>
</file>

<file path=customXml/itemProps2.xml><?xml version="1.0" encoding="utf-8"?>
<ds:datastoreItem xmlns:ds="http://schemas.openxmlformats.org/officeDocument/2006/customXml" ds:itemID="{509BA638-9D3A-4AA3-A169-FF78BC0E4BE9}">
  <ds:schemaRefs/>
</ds:datastoreItem>
</file>

<file path=customXml/itemProps3.xml><?xml version="1.0" encoding="utf-8"?>
<ds:datastoreItem xmlns:ds="http://schemas.openxmlformats.org/officeDocument/2006/customXml" ds:itemID="{AC86F3EB-DB57-4B60-8A7E-BBB67A22EE0B}">
  <ds:schemaRefs/>
</ds:datastoreItem>
</file>

<file path=customXml/itemProps4.xml><?xml version="1.0" encoding="utf-8"?>
<ds:datastoreItem xmlns:ds="http://schemas.openxmlformats.org/officeDocument/2006/customXml" ds:itemID="{D902962D-C8CC-43BF-804A-CD60AE6D7475}">
  <ds:schemaRefs/>
</ds:datastoreItem>
</file>

<file path=customXml/itemProps5.xml><?xml version="1.0" encoding="utf-8"?>
<ds:datastoreItem xmlns:ds="http://schemas.openxmlformats.org/officeDocument/2006/customXml" ds:itemID="{0A7AA9EF-3B8C-4BAA-9155-A6E3E5337D3C}">
  <ds:schemaRefs/>
</ds:datastoreItem>
</file>

<file path=customXml/itemProps6.xml><?xml version="1.0" encoding="utf-8"?>
<ds:datastoreItem xmlns:ds="http://schemas.openxmlformats.org/officeDocument/2006/customXml" ds:itemID="{3A3C3A8D-C5E4-45AF-8B48-C3BF528808AD}">
  <ds:schemaRefs/>
</ds:datastoreItem>
</file>

<file path=customXml/itemProps7.xml><?xml version="1.0" encoding="utf-8"?>
<ds:datastoreItem xmlns:ds="http://schemas.openxmlformats.org/officeDocument/2006/customXml" ds:itemID="{A06CD169-7F5C-4082-81B2-6ECAA9AF6149}">
  <ds:schemaRefs/>
</ds:datastoreItem>
</file>

<file path=customXml/itemProps8.xml><?xml version="1.0" encoding="utf-8"?>
<ds:datastoreItem xmlns:ds="http://schemas.openxmlformats.org/officeDocument/2006/customXml" ds:itemID="{1990A2D8-324F-45D5-B9CD-07245ED2860B}">
  <ds:schemaRefs/>
</ds:datastoreItem>
</file>

<file path=customXml/itemProps9.xml><?xml version="1.0" encoding="utf-8"?>
<ds:datastoreItem xmlns:ds="http://schemas.openxmlformats.org/officeDocument/2006/customXml" ds:itemID="{9114D43D-ED98-4C7B-A3AE-26D78B80CA8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36</Pages>
  <Words>3557</Words>
  <Characters>20276</Characters>
  <Lines>168</Lines>
  <Paragraphs>47</Paragraphs>
  <TotalTime>0</TotalTime>
  <ScaleCrop>false</ScaleCrop>
  <LinksUpToDate>false</LinksUpToDate>
  <CharactersWithSpaces>23786</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2024-03-04T02:34:00Z</dcterms:created>
  <dc:creator>张淼雯</dc:creator>
  <cp:lastModifiedBy>cib</cp:lastModifiedBy>
  <cp:lastPrinted>2020-09-21T06:35:00Z</cp:lastPrinted>
  <dcterms:modified xsi:type="dcterms:W3CDTF">2026-01-15T07:11:15Z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F824FDB89BD94068907E5DECA960C358</vt:lpwstr>
  </property>
</Properties>
</file>