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1.苏银理财恒源灵动最短持有14天21号A(J09918)新增销售机构江苏泗阳农村商业银行股份有限公司。</w:t>
        <w:cr/>
        <w:t xml:space="preserve">	2.苏银理财恒源灵动最短持有7天16号G(J05530)新增销售机构江苏泗阳农村商业银行股份有限公司。</w:t>
        <w:cr/>
        <w:t xml:space="preserve">	3.苏银理财恒源日申1年持有1号G(J03641)新增销售机构台州银行股份有限公司。</w:t>
        <w:cr/>
        <w:t xml:space="preserve">	4.苏银理财恒源日申半年持有1号G(J03640)新增销售机构台州银行股份有限公司。</w:t>
        <w:cr/>
        <w:t xml:space="preserve">	5.苏银理财启源货币12号H(J11347)新增销售机构宁波通商银行股份有限公司。</w:t>
        <w:cr/>
        <w:t xml:space="preserve">	6.苏银理财启源货币3号T(J09504)新增销售机构江苏银行股份有限公司。</w:t>
        <w:cr/>
        <w:t xml:space="preserve">	7.苏银理财启源现金6号JS鑫福款(J03364)新增销售机构江苏泗阳农村商业银行股份有限公司。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