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【稳利安盈封闭式】</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bookmarkStart w:id="0" w:name="file_year"/>
      <w:bookmarkEnd w:id="0"/>
      <w:r>
        <w:rPr>
          <w:rStyle w:val="27"/>
          <w:rFonts w:hint="eastAsia" w:ascii="宋体" w:hAnsi="宋体" w:cs="Times New Roman"/>
          <w:sz w:val="32"/>
          <w:szCs w:val="32"/>
          <w:lang w:eastAsia="zh-CN"/>
        </w:rPr>
        <w:t>2025</w:t>
      </w:r>
      <w:r>
        <w:rPr>
          <w:rStyle w:val="27"/>
          <w:rFonts w:hint="eastAsia" w:ascii="宋体" w:hAnsi="宋体" w:cs="Times New Roman"/>
          <w:sz w:val="32"/>
          <w:szCs w:val="32"/>
        </w:rPr>
        <w:t>】年【</w:t>
      </w:r>
      <w:bookmarkStart w:id="1" w:name="file_month"/>
      <w:bookmarkEnd w:id="1"/>
      <w:r>
        <w:rPr>
          <w:rStyle w:val="27"/>
          <w:rFonts w:hint="eastAsia" w:ascii="宋体" w:hAnsi="宋体" w:cs="Times New Roman"/>
          <w:sz w:val="32"/>
          <w:szCs w:val="32"/>
          <w:lang w:eastAsia="zh-CN"/>
        </w:rPr>
        <w:t>09</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2"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3"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2"/>
      <w:bookmarkEnd w:id="3"/>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w:t>
      </w:r>
      <w:bookmarkStart w:id="4" w:name="en_discription"/>
      <w:bookmarkEnd w:id="4"/>
      <w:r>
        <w:rPr>
          <w:rFonts w:hint="eastAsia" w:asciiTheme="majorEastAsia" w:hAnsiTheme="majorEastAsia" w:eastAsiaTheme="majorEastAsia"/>
          <w:bCs/>
          <w:color w:val="auto"/>
          <w:sz w:val="18"/>
          <w:szCs w:val="18"/>
          <w:lang w:eastAsia="zh-CN"/>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r>
        <w:rPr>
          <w:rFonts w:hint="eastAsia" w:asciiTheme="majorEastAsia" w:hAnsiTheme="majorEastAsia" w:eastAsiaTheme="majorEastAsia"/>
          <w:bCs/>
          <w:color w:val="auto"/>
          <w:sz w:val="18"/>
          <w:szCs w:val="18"/>
        </w:rPr>
        <w:t>。</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【稳利安盈封闭式】</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【稳利安盈封闭式】</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【稳利安盈封闭式】</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【稳利安盈封闭式】</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【稳利安盈封闭式】</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【稳利安盈封闭式】</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【稳利安盈封闭式】</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【稳利安盈封闭式】</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【稳利安盈封闭式】</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5" w:name="_Toc79154665"/>
      <w:bookmarkStart w:id="6" w:name="_Toc176189754"/>
      <w:r>
        <w:rPr>
          <w:rFonts w:hint="eastAsia" w:hAnsi="宋体"/>
          <w:sz w:val="28"/>
          <w:szCs w:val="28"/>
        </w:rPr>
        <w:t>第二条  理财产品基本情况</w:t>
      </w:r>
      <w:bookmarkEnd w:id="5"/>
      <w:bookmarkEnd w:id="6"/>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bookmarkStart w:id="7" w:name="pro_name"/>
            <w:bookmarkEnd w:id="7"/>
            <w:r>
              <w:rPr>
                <w:rFonts w:hint="eastAsia" w:asciiTheme="majorEastAsia" w:hAnsiTheme="majorEastAsia" w:eastAsiaTheme="majorEastAsia"/>
                <w:bCs/>
                <w:kern w:val="0"/>
                <w:sz w:val="18"/>
                <w:szCs w:val="18"/>
                <w:lang w:eastAsia="zh-CN"/>
              </w:rPr>
              <w:t>兴银理财稳利安盈封闭式2025年52期固收类理财产品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asciiTheme="majorEastAsia" w:hAnsiTheme="majorEastAsia" w:eastAsiaTheme="majorEastAsia"/>
                <w:bCs/>
                <w:kern w:val="0"/>
                <w:sz w:val="18"/>
                <w:szCs w:val="18"/>
                <w:lang w:eastAsia="zh-CN"/>
              </w:rPr>
            </w:pPr>
            <w:bookmarkStart w:id="8" w:name="sale_name"/>
            <w:bookmarkEnd w:id="8"/>
            <w:r>
              <w:rPr>
                <w:rFonts w:hint="eastAsia" w:asciiTheme="majorEastAsia" w:hAnsiTheme="majorEastAsia" w:eastAsiaTheme="majorEastAsia"/>
                <w:bCs/>
                <w:kern w:val="0"/>
                <w:sz w:val="18"/>
                <w:szCs w:val="18"/>
                <w:lang w:eastAsia="zh-CN"/>
              </w:rPr>
              <w:t>【兴银理财稳利安盈封闭式52期B】（适用【</w:t>
            </w:r>
            <w:r>
              <w:rPr>
                <w:rFonts w:hint="eastAsia" w:asciiTheme="majorEastAsia" w:hAnsiTheme="majorEastAsia" w:eastAsiaTheme="majorEastAsia"/>
                <w:bCs/>
                <w:kern w:val="0"/>
                <w:sz w:val="18"/>
                <w:szCs w:val="18"/>
                <w:lang w:val="en-US" w:eastAsia="zh-CN"/>
              </w:rPr>
              <w:t>B</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【兴银理财稳利安盈封闭式52期</w:t>
            </w:r>
            <w:r>
              <w:rPr>
                <w:rFonts w:hint="eastAsia" w:asciiTheme="majorEastAsia" w:hAnsiTheme="majorEastAsia" w:eastAsiaTheme="majorEastAsia"/>
                <w:bCs/>
                <w:kern w:val="0"/>
                <w:sz w:val="18"/>
                <w:szCs w:val="18"/>
                <w:lang w:val="en-US" w:eastAsia="zh-CN"/>
              </w:rPr>
              <w:t>C</w:t>
            </w:r>
            <w:r>
              <w:rPr>
                <w:rFonts w:hint="eastAsia" w:asciiTheme="majorEastAsia" w:hAnsiTheme="majorEastAsia" w:eastAsiaTheme="majorEastAsia"/>
                <w:bCs/>
                <w:kern w:val="0"/>
                <w:sz w:val="18"/>
                <w:szCs w:val="18"/>
                <w:lang w:eastAsia="zh-CN"/>
              </w:rPr>
              <w:t>】（适用【</w:t>
            </w:r>
            <w:r>
              <w:rPr>
                <w:rFonts w:hint="eastAsia" w:asciiTheme="majorEastAsia" w:hAnsiTheme="majorEastAsia" w:eastAsiaTheme="majorEastAsia"/>
                <w:bCs/>
                <w:kern w:val="0"/>
                <w:sz w:val="18"/>
                <w:szCs w:val="18"/>
                <w:lang w:val="en-US" w:eastAsia="zh-CN"/>
              </w:rPr>
              <w:t>C</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【兴银理财稳利安盈封闭式52期</w:t>
            </w:r>
            <w:r>
              <w:rPr>
                <w:rFonts w:hint="eastAsia" w:asciiTheme="majorEastAsia" w:hAnsiTheme="majorEastAsia" w:eastAsiaTheme="majorEastAsia"/>
                <w:bCs/>
                <w:kern w:val="0"/>
                <w:sz w:val="18"/>
                <w:szCs w:val="18"/>
                <w:lang w:val="en-US" w:eastAsia="zh-CN"/>
              </w:rPr>
              <w:t>D</w:t>
            </w:r>
            <w:r>
              <w:rPr>
                <w:rFonts w:hint="eastAsia" w:asciiTheme="majorEastAsia" w:hAnsiTheme="majorEastAsia" w:eastAsiaTheme="majorEastAsia"/>
                <w:bCs/>
                <w:kern w:val="0"/>
                <w:sz w:val="18"/>
                <w:szCs w:val="18"/>
                <w:lang w:eastAsia="zh-CN"/>
              </w:rPr>
              <w:t>】（适用【</w:t>
            </w:r>
            <w:r>
              <w:rPr>
                <w:rFonts w:hint="eastAsia" w:asciiTheme="majorEastAsia" w:hAnsiTheme="majorEastAsia" w:eastAsiaTheme="majorEastAsia"/>
                <w:bCs/>
                <w:kern w:val="0"/>
                <w:sz w:val="18"/>
                <w:szCs w:val="18"/>
                <w:lang w:val="en-US" w:eastAsia="zh-CN"/>
              </w:rPr>
              <w:t>D</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【兴银理财稳利安盈封闭式52期</w:t>
            </w:r>
            <w:r>
              <w:rPr>
                <w:rFonts w:hint="eastAsia" w:asciiTheme="majorEastAsia" w:hAnsiTheme="majorEastAsia" w:eastAsiaTheme="majorEastAsia"/>
                <w:bCs/>
                <w:kern w:val="0"/>
                <w:sz w:val="18"/>
                <w:szCs w:val="18"/>
                <w:lang w:val="en-US" w:eastAsia="zh-CN"/>
              </w:rPr>
              <w:t>E</w:t>
            </w:r>
            <w:r>
              <w:rPr>
                <w:rFonts w:hint="eastAsia" w:asciiTheme="majorEastAsia" w:hAnsiTheme="majorEastAsia" w:eastAsiaTheme="majorEastAsia"/>
                <w:bCs/>
                <w:kern w:val="0"/>
                <w:sz w:val="18"/>
                <w:szCs w:val="18"/>
                <w:lang w:eastAsia="zh-CN"/>
              </w:rPr>
              <w:t>】（适用【</w:t>
            </w:r>
            <w:r>
              <w:rPr>
                <w:rFonts w:hint="eastAsia" w:asciiTheme="majorEastAsia" w:hAnsiTheme="majorEastAsia" w:eastAsiaTheme="majorEastAsia"/>
                <w:bCs/>
                <w:kern w:val="0"/>
                <w:sz w:val="18"/>
                <w:szCs w:val="18"/>
                <w:lang w:val="en-US" w:eastAsia="zh-CN"/>
              </w:rPr>
              <w:t>E</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【兴银理财稳利安盈封闭式52期</w:t>
            </w:r>
            <w:r>
              <w:rPr>
                <w:rFonts w:hint="eastAsia" w:asciiTheme="majorEastAsia" w:hAnsiTheme="majorEastAsia" w:eastAsiaTheme="majorEastAsia"/>
                <w:bCs/>
                <w:kern w:val="0"/>
                <w:sz w:val="18"/>
                <w:szCs w:val="18"/>
                <w:lang w:val="en-US" w:eastAsia="zh-CN"/>
              </w:rPr>
              <w:t>F</w:t>
            </w:r>
            <w:r>
              <w:rPr>
                <w:rFonts w:hint="eastAsia" w:asciiTheme="majorEastAsia" w:hAnsiTheme="majorEastAsia" w:eastAsiaTheme="majorEastAsia"/>
                <w:bCs/>
                <w:kern w:val="0"/>
                <w:sz w:val="18"/>
                <w:szCs w:val="18"/>
                <w:lang w:eastAsia="zh-CN"/>
              </w:rPr>
              <w:t>】（适用【</w:t>
            </w:r>
            <w:r>
              <w:rPr>
                <w:rFonts w:hint="eastAsia" w:asciiTheme="majorEastAsia" w:hAnsiTheme="majorEastAsia" w:eastAsiaTheme="majorEastAsia"/>
                <w:bCs/>
                <w:kern w:val="0"/>
                <w:sz w:val="18"/>
                <w:szCs w:val="18"/>
                <w:lang w:val="en-US" w:eastAsia="zh-CN"/>
              </w:rPr>
              <w:t>F</w:t>
            </w:r>
            <w:r>
              <w:rPr>
                <w:rFonts w:hint="eastAsia" w:asciiTheme="majorEastAsia" w:hAnsiTheme="majorEastAsia" w:eastAsiaTheme="majorEastAsia"/>
                <w:bCs/>
                <w:kern w:val="0"/>
                <w:sz w:val="18"/>
                <w:szCs w:val="18"/>
                <w:lang w:eastAsia="zh-CN"/>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widowControl/>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bookmarkStart w:id="9" w:name="regist_code"/>
            <w:bookmarkEnd w:id="9"/>
            <w:r>
              <w:rPr>
                <w:rFonts w:hint="eastAsia" w:asciiTheme="majorEastAsia" w:hAnsiTheme="majorEastAsia" w:eastAsiaTheme="majorEastAsia"/>
                <w:bCs/>
                <w:kern w:val="0"/>
                <w:sz w:val="18"/>
                <w:szCs w:val="18"/>
                <w:lang w:eastAsia="zh-CN"/>
              </w:rPr>
              <w:t>Z7002025000932</w:t>
            </w:r>
            <w:r>
              <w:rPr>
                <w:rFonts w:hint="eastAsia" w:asciiTheme="majorEastAsia" w:hAnsiTheme="majorEastAsia" w:eastAsiaTheme="majorEastAsia"/>
                <w:bCs/>
                <w:kern w:val="0"/>
                <w:sz w:val="18"/>
                <w:szCs w:val="18"/>
              </w:rPr>
              <w:t>】投资者可依据理财产品登记编码在中国理财网(</w:t>
            </w:r>
            <w:r>
              <w:fldChar w:fldCharType="begin"/>
            </w:r>
            <w:r>
              <w:instrText xml:space="preserve"> HYPERLINK "http://www.chinawealth.com.cn" </w:instrText>
            </w:r>
            <w:r>
              <w:fldChar w:fldCharType="separate"/>
            </w:r>
            <w:r>
              <w:rPr>
                <w:rFonts w:hint="eastAsia" w:asciiTheme="majorEastAsia" w:hAnsiTheme="majorEastAsia" w:eastAsiaTheme="majorEastAsia"/>
                <w:bCs/>
                <w:kern w:val="0"/>
                <w:sz w:val="18"/>
                <w:szCs w:val="18"/>
              </w:rPr>
              <w:t>www.chinawealth.com.cn</w:t>
            </w:r>
            <w:r>
              <w:rPr>
                <w:rFonts w:hint="eastAsia" w:asciiTheme="majorEastAsia" w:hAnsiTheme="majorEastAsia" w:eastAsiaTheme="majorEastAsia"/>
                <w:bCs/>
                <w:kern w:val="0"/>
                <w:sz w:val="18"/>
                <w:szCs w:val="18"/>
              </w:rPr>
              <w:fldChar w:fldCharType="end"/>
            </w:r>
            <w:r>
              <w:rPr>
                <w:rFonts w:hint="eastAsia" w:asciiTheme="majorEastAsia" w:hAnsiTheme="majorEastAsia" w:eastAsiaTheme="majorEastAsia"/>
                <w:bCs/>
                <w:kern w:val="0"/>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widowControl/>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bookmarkStart w:id="10" w:name="pro_code"/>
            <w:bookmarkEnd w:id="10"/>
            <w:r>
              <w:rPr>
                <w:rFonts w:hint="eastAsia" w:asciiTheme="majorEastAsia" w:hAnsiTheme="majorEastAsia" w:eastAsiaTheme="majorEastAsia"/>
                <w:bCs/>
                <w:kern w:val="0"/>
                <w:sz w:val="18"/>
                <w:szCs w:val="18"/>
                <w:lang w:eastAsia="zh-CN"/>
              </w:rPr>
              <w:t>9A250520</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widowControl/>
              <w:spacing w:line="360" w:lineRule="auto"/>
              <w:jc w:val="left"/>
              <w:rPr>
                <w:rFonts w:hint="eastAsia" w:asciiTheme="majorEastAsia" w:hAnsiTheme="majorEastAsia" w:eastAsiaTheme="majorEastAsia"/>
                <w:bCs/>
                <w:kern w:val="0"/>
                <w:sz w:val="18"/>
                <w:szCs w:val="18"/>
                <w:lang w:eastAsia="zh-CN"/>
              </w:rPr>
            </w:pPr>
            <w:bookmarkStart w:id="11" w:name="sale_code"/>
            <w:bookmarkEnd w:id="11"/>
            <w:r>
              <w:rPr>
                <w:rFonts w:hint="eastAsia" w:asciiTheme="majorEastAsia" w:hAnsiTheme="majorEastAsia" w:eastAsiaTheme="majorEastAsia"/>
                <w:bCs/>
                <w:kern w:val="0"/>
                <w:sz w:val="18"/>
                <w:szCs w:val="18"/>
                <w:lang w:eastAsia="zh-CN"/>
              </w:rPr>
              <w:t>【9A25052B】（适用【</w:t>
            </w:r>
            <w:r>
              <w:rPr>
                <w:rFonts w:hint="eastAsia" w:asciiTheme="majorEastAsia" w:hAnsiTheme="majorEastAsia" w:eastAsiaTheme="majorEastAsia"/>
                <w:bCs/>
                <w:kern w:val="0"/>
                <w:sz w:val="18"/>
                <w:szCs w:val="18"/>
                <w:lang w:val="en-US" w:eastAsia="zh-CN"/>
              </w:rPr>
              <w:t>B</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【9A25052C】（适用【</w:t>
            </w:r>
            <w:r>
              <w:rPr>
                <w:rFonts w:hint="eastAsia" w:asciiTheme="majorEastAsia" w:hAnsiTheme="majorEastAsia" w:eastAsiaTheme="majorEastAsia"/>
                <w:bCs/>
                <w:kern w:val="0"/>
                <w:sz w:val="18"/>
                <w:szCs w:val="18"/>
                <w:lang w:val="en-US" w:eastAsia="zh-CN"/>
              </w:rPr>
              <w:t>C</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【9A25052D】（适用【</w:t>
            </w:r>
            <w:r>
              <w:rPr>
                <w:rFonts w:hint="eastAsia" w:asciiTheme="majorEastAsia" w:hAnsiTheme="majorEastAsia" w:eastAsiaTheme="majorEastAsia"/>
                <w:bCs/>
                <w:kern w:val="0"/>
                <w:sz w:val="18"/>
                <w:szCs w:val="18"/>
                <w:lang w:val="en-US" w:eastAsia="zh-CN"/>
              </w:rPr>
              <w:t>D</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【9A25052E】（适用【</w:t>
            </w:r>
            <w:r>
              <w:rPr>
                <w:rFonts w:hint="eastAsia" w:asciiTheme="majorEastAsia" w:hAnsiTheme="majorEastAsia" w:eastAsiaTheme="majorEastAsia"/>
                <w:bCs/>
                <w:kern w:val="0"/>
                <w:sz w:val="18"/>
                <w:szCs w:val="18"/>
                <w:lang w:val="en-US" w:eastAsia="zh-CN"/>
              </w:rPr>
              <w:t>E</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【9A25052F】（适用【</w:t>
            </w:r>
            <w:r>
              <w:rPr>
                <w:rFonts w:hint="eastAsia" w:asciiTheme="majorEastAsia" w:hAnsiTheme="majorEastAsia" w:eastAsiaTheme="majorEastAsia"/>
                <w:bCs/>
                <w:kern w:val="0"/>
                <w:sz w:val="18"/>
                <w:szCs w:val="18"/>
                <w:lang w:val="en-US" w:eastAsia="zh-CN"/>
              </w:rPr>
              <w:t>F</w:t>
            </w:r>
            <w:r>
              <w:rPr>
                <w:rFonts w:hint="eastAsia" w:asciiTheme="majorEastAsia" w:hAnsiTheme="majorEastAsia" w:eastAsiaTheme="majorEastAsia"/>
                <w:bCs/>
                <w:kern w:val="0"/>
                <w:sz w:val="18"/>
                <w:szCs w:val="18"/>
                <w:lang w:eastAsia="zh-CN"/>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Theme="majorEastAsia" w:hAnsiTheme="majorEastAsia" w:eastAsiaTheme="majorEastAsia"/>
                <w:bCs/>
                <w:sz w:val="18"/>
                <w:szCs w:val="18"/>
                <w:lang w:eastAsia="zh-CN"/>
              </w:rPr>
            </w:pPr>
            <w:bookmarkStart w:id="12" w:name="risk_level"/>
            <w:bookmarkEnd w:id="12"/>
            <w:r>
              <w:rPr>
                <w:rFonts w:hint="eastAsia" w:asciiTheme="majorEastAsia" w:hAnsiTheme="majorEastAsia" w:eastAsiaTheme="majorEastAsia"/>
                <w:bCs/>
                <w:sz w:val="18"/>
                <w:szCs w:val="18"/>
                <w:lang w:eastAsia="zh-CN"/>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hint="eastAsia" w:asciiTheme="majorEastAsia" w:hAnsiTheme="majorEastAsia" w:eastAsiaTheme="majorEastAsia"/>
                <w:bCs/>
                <w:color w:val="000000" w:themeColor="text1"/>
                <w:sz w:val="18"/>
                <w:szCs w:val="18"/>
                <w14:textFill>
                  <w14:solidFill>
                    <w14:schemeClr w14:val="tx1"/>
                  </w14:solidFill>
                </w14:textFill>
              </w:rPr>
              <w:t>（适用【</w:t>
            </w:r>
            <w:bookmarkStart w:id="13" w:name="Sharetype"/>
            <w:bookmarkEnd w:id="13"/>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B/C/D/E/F</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14" w:name="per_inv"/>
            <w:bookmarkEnd w:id="14"/>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w:t>
            </w:r>
          </w:p>
          <w:p>
            <w:pPr>
              <w:spacing w:line="360" w:lineRule="auto"/>
              <w:rPr>
                <w:rFonts w:hint="eastAsia" w:asciiTheme="majorEastAsia" w:hAnsiTheme="majorEastAsia" w:eastAsiaTheme="majorEastAsia"/>
                <w:bCs/>
                <w:sz w:val="18"/>
                <w:szCs w:val="18"/>
                <w:lang w:eastAsia="zh-CN"/>
              </w:rPr>
            </w:pPr>
            <w:bookmarkStart w:id="15" w:name="ins_inv"/>
            <w:bookmarkEnd w:id="15"/>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sz w:val="18"/>
                <w:szCs w:val="18"/>
                <w:lang w:eastAsia="zh-CN"/>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 xml:space="preserve">■ </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6" w:name="entrust"/>
            <w:bookmarkEnd w:id="16"/>
            <w:r>
              <w:rPr>
                <w:rFonts w:hint="eastAsia" w:asciiTheme="majorEastAsia" w:hAnsiTheme="majorEastAsia" w:eastAsiaTheme="majorEastAsia"/>
                <w:bCs/>
                <w:sz w:val="18"/>
                <w:szCs w:val="18"/>
                <w:lang w:eastAsia="zh-CN"/>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7" w:name="pro_size"/>
            <w:bookmarkEnd w:id="17"/>
            <w:r>
              <w:rPr>
                <w:rFonts w:hint="eastAsia" w:asciiTheme="majorEastAsia" w:hAnsiTheme="majorEastAsia" w:eastAsiaTheme="majorEastAsia"/>
                <w:bCs/>
                <w:sz w:val="18"/>
                <w:szCs w:val="18"/>
                <w:lang w:eastAsia="zh-CN"/>
              </w:rPr>
              <w:t>1.本产品计划初始募集规模为【12】亿元，最小成立规模为【/】亿元。</w:t>
            </w:r>
          </w:p>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2.产品管理人有权根据实际需要对产品规模进行调整，产品最终规模以产品管理人实际募集/管理的金额为准。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8" w:name="allday"/>
            <w:bookmarkEnd w:id="18"/>
            <w:r>
              <w:rPr>
                <w:rFonts w:hint="eastAsia" w:asciiTheme="majorEastAsia" w:hAnsiTheme="majorEastAsia" w:eastAsiaTheme="majorEastAsia"/>
                <w:bCs/>
                <w:sz w:val="18"/>
                <w:szCs w:val="18"/>
                <w:lang w:eastAsia="zh-CN"/>
              </w:rPr>
              <w:t>■有固定期限：【162天】</w:t>
            </w:r>
          </w:p>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bookmarkStart w:id="19" w:name="period"/>
            <w:bookmarkEnd w:id="19"/>
            <w:r>
              <w:rPr>
                <w:rFonts w:hint="eastAsia" w:asciiTheme="minorEastAsia" w:hAnsiTheme="minorEastAsia"/>
                <w:bCs/>
                <w:sz w:val="18"/>
                <w:szCs w:val="18"/>
                <w:lang w:eastAsia="zh-CN"/>
              </w:rPr>
              <w:t>【2025】年【9】月【30】日【9:00】至【2025】年【10】月【13】日【17:00】。</w:t>
            </w:r>
            <w:r>
              <w:rPr>
                <w:rFonts w:asciiTheme="minorEastAsia" w:hAnsiTheme="minorEastAsia"/>
                <w:bCs/>
                <w:sz w:val="18"/>
                <w:szCs w:val="18"/>
              </w:rPr>
              <w:t xml:space="preserve"> </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bookmarkStart w:id="20" w:name="pro_start"/>
            <w:bookmarkEnd w:id="20"/>
            <w:r>
              <w:rPr>
                <w:rFonts w:hint="eastAsia" w:asciiTheme="minorEastAsia" w:hAnsiTheme="minorEastAsia"/>
                <w:bCs/>
                <w:sz w:val="18"/>
                <w:szCs w:val="18"/>
                <w:lang w:eastAsia="zh-CN"/>
              </w:rPr>
              <w:t>【2025】年【10】月【14】日（遇节假日顺延）。 </w:t>
            </w:r>
            <w:r>
              <w:rPr>
                <w:rFonts w:asciiTheme="minorEastAsia" w:hAnsiTheme="minorEastAsia"/>
                <w:bCs/>
                <w:sz w:val="18"/>
                <w:szCs w:val="18"/>
              </w:rPr>
              <w:t xml:space="preserve"> </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bookmarkStart w:id="21" w:name="pro_end"/>
            <w:bookmarkEnd w:id="21"/>
            <w:r>
              <w:rPr>
                <w:rFonts w:hint="eastAsia" w:asciiTheme="minorEastAsia" w:hAnsiTheme="minorEastAsia"/>
                <w:bCs/>
                <w:sz w:val="18"/>
                <w:szCs w:val="18"/>
                <w:lang w:eastAsia="zh-CN"/>
              </w:rPr>
              <w:t>【2026】年【3】月【25】日（遇节假日顺延）。 </w:t>
            </w:r>
            <w:r>
              <w:rPr>
                <w:rFonts w:asciiTheme="minorEastAsia" w:hAnsiTheme="minorEastAsia"/>
                <w:bCs/>
                <w:sz w:val="18"/>
                <w:szCs w:val="18"/>
              </w:rPr>
              <w:t xml:space="preserve"> </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22" w:name="start_increase"/>
            <w:bookmarkEnd w:id="22"/>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C</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D</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E</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F</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Ansi="宋体"/>
                <w:bCs/>
                <w:sz w:val="18"/>
                <w:szCs w:val="18"/>
              </w:rPr>
              <w:t>/</w:t>
            </w:r>
            <w:r>
              <w:rPr>
                <w:rFonts w:hint="eastAsia" w:hAnsi="宋体"/>
                <w:bCs/>
                <w:sz w:val="18"/>
                <w:szCs w:val="18"/>
              </w:rPr>
              <w:t>】类份额）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hint="eastAsia" w:asciiTheme="majorEastAsia" w:hAnsiTheme="majorEastAsia" w:eastAsiaTheme="majorEastAsia"/>
                <w:bCs/>
                <w:sz w:val="18"/>
                <w:szCs w:val="18"/>
                <w:lang w:eastAsia="zh-CN"/>
              </w:rPr>
            </w:pPr>
            <w:bookmarkStart w:id="23" w:name="discription"/>
            <w:bookmarkEnd w:id="23"/>
            <w:r>
              <w:rPr>
                <w:rFonts w:hint="eastAsia" w:asciiTheme="majorEastAsia" w:hAnsiTheme="majorEastAsia" w:eastAsiaTheme="majorEastAsia"/>
                <w:bCs/>
                <w:sz w:val="18"/>
                <w:szCs w:val="18"/>
                <w:lang w:eastAsia="zh-CN"/>
              </w:rPr>
              <w:t>（1）业绩比较基准的说明：</w:t>
            </w:r>
          </w:p>
          <w:p>
            <w:pPr>
              <w:autoSpaceDE w:val="0"/>
              <w:autoSpaceDN w:val="0"/>
              <w:adjustRightInd w:val="0"/>
              <w:spacing w:line="360" w:lineRule="auto"/>
              <w:jc w:val="left"/>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【产品投资债权类资产不低于80%，根据当前市场环境下大类资产合理配置比例及大类资产收益情况，考虑杠杆和费率等因素，并结合产品投资策略，设定业绩比较基准。】</w:t>
            </w:r>
          </w:p>
          <w:p>
            <w:pPr>
              <w:autoSpaceDE w:val="0"/>
              <w:autoSpaceDN w:val="0"/>
              <w:adjustRightInd w:val="0"/>
              <w:spacing w:line="360" w:lineRule="auto"/>
              <w:jc w:val="left"/>
              <w:rPr>
                <w:rFonts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autoSpaceDE w:val="0"/>
              <w:autoSpaceDN w:val="0"/>
              <w:adjustRightInd w:val="0"/>
              <w:spacing w:line="360" w:lineRule="auto"/>
              <w:jc w:val="left"/>
              <w:rPr>
                <w:rFonts w:hint="eastAsia" w:asciiTheme="majorEastAsia" w:hAnsiTheme="majorEastAsia"/>
                <w:sz w:val="18"/>
                <w:lang w:eastAsia="zh-CN"/>
              </w:rPr>
            </w:pPr>
            <w:bookmarkStart w:id="24" w:name="performance"/>
            <w:bookmarkEnd w:id="24"/>
            <w:r>
              <w:rPr>
                <w:rFonts w:hint="eastAsia" w:asciiTheme="majorEastAsia" w:hAnsiTheme="majorEastAsia"/>
                <w:sz w:val="18"/>
                <w:lang w:eastAsia="zh-CN"/>
              </w:rPr>
              <w:t>年化【1.</w:t>
            </w:r>
            <w:r>
              <w:rPr>
                <w:rFonts w:hint="eastAsia" w:asciiTheme="majorEastAsia" w:hAnsiTheme="majorEastAsia"/>
                <w:sz w:val="18"/>
                <w:lang w:val="en-US" w:eastAsia="zh-CN"/>
              </w:rPr>
              <w:t>95</w:t>
            </w:r>
            <w:r>
              <w:rPr>
                <w:rFonts w:hint="eastAsia" w:asciiTheme="majorEastAsia" w:hAnsiTheme="majorEastAsia"/>
                <w:sz w:val="18"/>
                <w:lang w:eastAsia="zh-CN"/>
              </w:rPr>
              <w:t>%】（适用【</w:t>
            </w:r>
            <w:r>
              <w:rPr>
                <w:rFonts w:hint="eastAsia" w:asciiTheme="majorEastAsia" w:hAnsiTheme="majorEastAsia"/>
                <w:sz w:val="18"/>
                <w:lang w:val="en-US" w:eastAsia="zh-CN"/>
              </w:rPr>
              <w:t>B</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9</w:t>
            </w:r>
            <w:r>
              <w:rPr>
                <w:rFonts w:hint="eastAsia" w:asciiTheme="majorEastAsia" w:hAnsiTheme="majorEastAsia"/>
                <w:sz w:val="18"/>
                <w:lang w:eastAsia="zh-CN"/>
              </w:rPr>
              <w:t>0%】（适用【</w:t>
            </w:r>
            <w:r>
              <w:rPr>
                <w:rFonts w:hint="eastAsia" w:asciiTheme="majorEastAsia" w:hAnsiTheme="majorEastAsia"/>
                <w:sz w:val="18"/>
                <w:lang w:val="en-US" w:eastAsia="zh-CN"/>
              </w:rPr>
              <w:t>C</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85</w:t>
            </w:r>
            <w:r>
              <w:rPr>
                <w:rFonts w:hint="eastAsia" w:asciiTheme="majorEastAsia" w:hAnsiTheme="majorEastAsia"/>
                <w:sz w:val="18"/>
                <w:lang w:eastAsia="zh-CN"/>
              </w:rPr>
              <w:t>%】（适用【</w:t>
            </w:r>
            <w:r>
              <w:rPr>
                <w:rFonts w:hint="eastAsia" w:asciiTheme="majorEastAsia" w:hAnsiTheme="majorEastAsia"/>
                <w:sz w:val="18"/>
                <w:lang w:val="en-US" w:eastAsia="zh-CN"/>
              </w:rPr>
              <w:t>D</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8</w:t>
            </w:r>
            <w:r>
              <w:rPr>
                <w:rFonts w:hint="eastAsia" w:asciiTheme="majorEastAsia" w:hAnsiTheme="majorEastAsia"/>
                <w:sz w:val="18"/>
                <w:lang w:eastAsia="zh-CN"/>
              </w:rPr>
              <w:t>0%】（适用【</w:t>
            </w:r>
            <w:r>
              <w:rPr>
                <w:rFonts w:hint="eastAsia" w:asciiTheme="majorEastAsia" w:hAnsiTheme="majorEastAsia"/>
                <w:sz w:val="18"/>
                <w:lang w:val="en-US" w:eastAsia="zh-CN"/>
              </w:rPr>
              <w:t>E</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75</w:t>
            </w:r>
            <w:r>
              <w:rPr>
                <w:rFonts w:hint="eastAsia" w:asciiTheme="majorEastAsia" w:hAnsiTheme="majorEastAsia"/>
                <w:sz w:val="18"/>
                <w:lang w:eastAsia="zh-CN"/>
              </w:rPr>
              <w:t>%】（适用【</w:t>
            </w:r>
            <w:r>
              <w:rPr>
                <w:rFonts w:hint="eastAsia" w:asciiTheme="majorEastAsia" w:hAnsiTheme="majorEastAsia"/>
                <w:sz w:val="18"/>
                <w:lang w:val="en-US" w:eastAsia="zh-CN"/>
              </w:rPr>
              <w:t>F</w:t>
            </w:r>
            <w:r>
              <w:rPr>
                <w:rFonts w:hint="eastAsia" w:asciiTheme="majorEastAsia" w:hAnsiTheme="majorEastAsia"/>
                <w:sz w:val="18"/>
                <w:lang w:eastAsia="zh-CN"/>
              </w:rPr>
              <w:t>】类份额）</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p>
          <w:p>
            <w:pPr>
              <w:autoSpaceDE w:val="0"/>
              <w:autoSpaceDN w:val="0"/>
              <w:adjustRightInd w:val="0"/>
              <w:spacing w:line="360" w:lineRule="auto"/>
              <w:jc w:val="left"/>
              <w:rPr>
                <w:rFonts w:hint="eastAsia" w:asciiTheme="majorEastAsia" w:hAnsiTheme="majorEastAsia"/>
                <w:sz w:val="18"/>
                <w:lang w:eastAsia="zh-CN"/>
              </w:rPr>
            </w:pPr>
            <w:bookmarkStart w:id="25" w:name="performance_standard"/>
            <w:bookmarkEnd w:id="25"/>
            <w:r>
              <w:rPr>
                <w:rFonts w:hint="eastAsia" w:asciiTheme="majorEastAsia" w:hAnsiTheme="majorEastAsia"/>
                <w:sz w:val="18"/>
                <w:lang w:eastAsia="zh-CN"/>
              </w:rPr>
              <w:t>年化【1.</w:t>
            </w:r>
            <w:r>
              <w:rPr>
                <w:rFonts w:hint="eastAsia" w:asciiTheme="majorEastAsia" w:hAnsiTheme="majorEastAsia"/>
                <w:sz w:val="18"/>
                <w:lang w:val="en-US" w:eastAsia="zh-CN"/>
              </w:rPr>
              <w:t>95</w:t>
            </w:r>
            <w:r>
              <w:rPr>
                <w:rFonts w:hint="eastAsia" w:asciiTheme="majorEastAsia" w:hAnsiTheme="majorEastAsia"/>
                <w:sz w:val="18"/>
                <w:lang w:eastAsia="zh-CN"/>
              </w:rPr>
              <w:t>%】（适用【</w:t>
            </w:r>
            <w:r>
              <w:rPr>
                <w:rFonts w:hint="eastAsia" w:asciiTheme="majorEastAsia" w:hAnsiTheme="majorEastAsia"/>
                <w:sz w:val="18"/>
                <w:lang w:val="en-US" w:eastAsia="zh-CN"/>
              </w:rPr>
              <w:t>B</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9</w:t>
            </w:r>
            <w:r>
              <w:rPr>
                <w:rFonts w:hint="eastAsia" w:asciiTheme="majorEastAsia" w:hAnsiTheme="majorEastAsia"/>
                <w:sz w:val="18"/>
                <w:lang w:eastAsia="zh-CN"/>
              </w:rPr>
              <w:t>0%】（适用【</w:t>
            </w:r>
            <w:r>
              <w:rPr>
                <w:rFonts w:hint="eastAsia" w:asciiTheme="majorEastAsia" w:hAnsiTheme="majorEastAsia"/>
                <w:sz w:val="18"/>
                <w:lang w:val="en-US" w:eastAsia="zh-CN"/>
              </w:rPr>
              <w:t>C</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85</w:t>
            </w:r>
            <w:r>
              <w:rPr>
                <w:rFonts w:hint="eastAsia" w:asciiTheme="majorEastAsia" w:hAnsiTheme="majorEastAsia"/>
                <w:sz w:val="18"/>
                <w:lang w:eastAsia="zh-CN"/>
              </w:rPr>
              <w:t>%】（适用【</w:t>
            </w:r>
            <w:r>
              <w:rPr>
                <w:rFonts w:hint="eastAsia" w:asciiTheme="majorEastAsia" w:hAnsiTheme="majorEastAsia"/>
                <w:sz w:val="18"/>
                <w:lang w:val="en-US" w:eastAsia="zh-CN"/>
              </w:rPr>
              <w:t>D</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8</w:t>
            </w:r>
            <w:r>
              <w:rPr>
                <w:rFonts w:hint="eastAsia" w:asciiTheme="majorEastAsia" w:hAnsiTheme="majorEastAsia"/>
                <w:sz w:val="18"/>
                <w:lang w:eastAsia="zh-CN"/>
              </w:rPr>
              <w:t>0%】（适用【</w:t>
            </w:r>
            <w:r>
              <w:rPr>
                <w:rFonts w:hint="eastAsia" w:asciiTheme="majorEastAsia" w:hAnsiTheme="majorEastAsia"/>
                <w:sz w:val="18"/>
                <w:lang w:val="en-US" w:eastAsia="zh-CN"/>
              </w:rPr>
              <w:t>E</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75</w:t>
            </w:r>
            <w:r>
              <w:rPr>
                <w:rFonts w:hint="eastAsia" w:asciiTheme="majorEastAsia" w:hAnsiTheme="majorEastAsia"/>
                <w:sz w:val="18"/>
                <w:lang w:eastAsia="zh-CN"/>
              </w:rPr>
              <w:t>%】（适用【</w:t>
            </w:r>
            <w:r>
              <w:rPr>
                <w:rFonts w:hint="eastAsia" w:asciiTheme="majorEastAsia" w:hAnsiTheme="majorEastAsia"/>
                <w:sz w:val="18"/>
                <w:lang w:val="en-US" w:eastAsia="zh-CN"/>
              </w:rPr>
              <w:t>F</w:t>
            </w:r>
            <w:r>
              <w:rPr>
                <w:rFonts w:hint="eastAsia" w:asciiTheme="majorEastAsia" w:hAnsiTheme="majorEastAsia"/>
                <w:sz w:val="18"/>
                <w:lang w:eastAsia="zh-CN"/>
              </w:rPr>
              <w:t>】类份额）</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lang w:eastAsia="zh-CN"/>
              </w:rPr>
            </w:pPr>
            <w:bookmarkStart w:id="26" w:name="salecost"/>
            <w:bookmarkEnd w:id="26"/>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00</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B</w:t>
            </w:r>
            <w:r>
              <w:rPr>
                <w:rFonts w:hint="eastAsia" w:ascii="黑体" w:hAnsi="黑体" w:eastAsia="黑体"/>
                <w:bCs/>
                <w:sz w:val="18"/>
                <w:szCs w:val="18"/>
                <w:lang w:eastAsia="zh-CN"/>
              </w:rPr>
              <w:t>】类份额）。</w:t>
            </w:r>
          </w:p>
          <w:p>
            <w:pPr>
              <w:spacing w:line="360" w:lineRule="auto"/>
              <w:rPr>
                <w:rFonts w:hint="eastAsia" w:ascii="黑体" w:hAnsi="黑体" w:eastAsia="黑体"/>
                <w:bCs/>
                <w:sz w:val="18"/>
                <w:szCs w:val="18"/>
                <w:lang w:eastAsia="zh-CN"/>
              </w:rPr>
            </w:pPr>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05</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C</w:t>
            </w:r>
            <w:r>
              <w:rPr>
                <w:rFonts w:hint="eastAsia" w:ascii="黑体" w:hAnsi="黑体" w:eastAsia="黑体"/>
                <w:bCs/>
                <w:sz w:val="18"/>
                <w:szCs w:val="18"/>
                <w:lang w:eastAsia="zh-CN"/>
              </w:rPr>
              <w:t>】类份额）。</w:t>
            </w:r>
          </w:p>
          <w:p>
            <w:pPr>
              <w:spacing w:line="360" w:lineRule="auto"/>
              <w:rPr>
                <w:rFonts w:hint="eastAsia" w:ascii="黑体" w:hAnsi="黑体" w:eastAsia="黑体"/>
                <w:bCs/>
                <w:sz w:val="18"/>
                <w:szCs w:val="18"/>
                <w:lang w:eastAsia="zh-CN"/>
              </w:rPr>
            </w:pPr>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10</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D</w:t>
            </w:r>
            <w:r>
              <w:rPr>
                <w:rFonts w:hint="eastAsia" w:ascii="黑体" w:hAnsi="黑体" w:eastAsia="黑体"/>
                <w:bCs/>
                <w:sz w:val="18"/>
                <w:szCs w:val="18"/>
                <w:lang w:eastAsia="zh-CN"/>
              </w:rPr>
              <w:t>】类份额）。</w:t>
            </w:r>
          </w:p>
          <w:p>
            <w:pPr>
              <w:spacing w:line="360" w:lineRule="auto"/>
              <w:rPr>
                <w:rFonts w:hint="eastAsia" w:ascii="黑体" w:hAnsi="黑体" w:eastAsia="黑体"/>
                <w:bCs/>
                <w:sz w:val="18"/>
                <w:szCs w:val="18"/>
                <w:lang w:eastAsia="zh-CN"/>
              </w:rPr>
            </w:pPr>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15</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E</w:t>
            </w:r>
            <w:r>
              <w:rPr>
                <w:rFonts w:hint="eastAsia" w:ascii="黑体" w:hAnsi="黑体" w:eastAsia="黑体"/>
                <w:bCs/>
                <w:sz w:val="18"/>
                <w:szCs w:val="18"/>
                <w:lang w:eastAsia="zh-CN"/>
              </w:rPr>
              <w:t>】类份额）。</w:t>
            </w:r>
          </w:p>
          <w:p>
            <w:pPr>
              <w:spacing w:line="360" w:lineRule="auto"/>
              <w:rPr>
                <w:rFonts w:hint="eastAsia" w:ascii="黑体" w:hAnsi="黑体" w:eastAsia="黑体"/>
                <w:bCs/>
                <w:sz w:val="18"/>
                <w:szCs w:val="18"/>
                <w:lang w:eastAsia="zh-CN"/>
              </w:rPr>
            </w:pPr>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20</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F</w:t>
            </w:r>
            <w:r>
              <w:rPr>
                <w:rFonts w:hint="eastAsia" w:ascii="黑体" w:hAnsi="黑体" w:eastAsia="黑体"/>
                <w:bCs/>
                <w:sz w:val="18"/>
                <w:szCs w:val="18"/>
                <w:lang w:eastAsia="zh-CN"/>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bookmarkStart w:id="27" w:name="imcost"/>
            <w:bookmarkEnd w:id="27"/>
            <w:r>
              <w:rPr>
                <w:rFonts w:hint="eastAsia" w:ascii="黑体" w:hAnsi="黑体" w:eastAsia="黑体"/>
                <w:sz w:val="18"/>
                <w:szCs w:val="18"/>
                <w:lang w:eastAsia="zh-CN"/>
              </w:rPr>
              <w:t>0.05%</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bookmarkStart w:id="28" w:name="emcost"/>
            <w:bookmarkEnd w:id="28"/>
            <w:r>
              <w:rPr>
                <w:rFonts w:hint="eastAsia" w:ascii="黑体" w:hAnsi="黑体" w:eastAsia="黑体"/>
                <w:sz w:val="18"/>
                <w:szCs w:val="18"/>
                <w:lang w:eastAsia="zh-CN"/>
              </w:rPr>
              <w:t>0.02%</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pPr>
              <w:widowControl/>
              <w:spacing w:line="360" w:lineRule="auto"/>
              <w:jc w:val="left"/>
              <w:rPr>
                <w:rFonts w:hint="eastAsia" w:ascii="宋体" w:hAnsi="宋体" w:eastAsia="宋体"/>
                <w:sz w:val="18"/>
                <w:szCs w:val="18"/>
                <w:lang w:eastAsia="zh-CN"/>
              </w:rPr>
            </w:pPr>
            <w:bookmarkStart w:id="29" w:name="excess"/>
            <w:bookmarkEnd w:id="29"/>
            <w:r>
              <w:rPr>
                <w:rFonts w:hint="eastAsia" w:ascii="宋体" w:hAnsi="宋体"/>
                <w:sz w:val="18"/>
                <w:szCs w:val="18"/>
                <w:lang w:eastAsia="zh-CN"/>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30" w:name="_Toc79154666"/>
      <w:bookmarkStart w:id="31" w:name="_Toc176189755"/>
      <w:r>
        <w:rPr>
          <w:rFonts w:ascii="Times New Roman"/>
          <w:sz w:val="30"/>
        </w:rPr>
        <w:t>第</w:t>
      </w:r>
      <w:r>
        <w:rPr>
          <w:rFonts w:hint="eastAsia" w:ascii="Times New Roman"/>
          <w:sz w:val="30"/>
        </w:rPr>
        <w:t>三条</w:t>
      </w:r>
      <w:r>
        <w:rPr>
          <w:rFonts w:ascii="Times New Roman"/>
          <w:sz w:val="30"/>
        </w:rPr>
        <w:t xml:space="preserve">  </w:t>
      </w:r>
      <w:bookmarkStart w:id="32" w:name="_Toc79392573"/>
      <w:r>
        <w:rPr>
          <w:rFonts w:hint="eastAsia" w:ascii="Times New Roman"/>
          <w:sz w:val="30"/>
        </w:rPr>
        <w:t>理财产品的认购</w:t>
      </w:r>
      <w:bookmarkEnd w:id="30"/>
      <w:bookmarkEnd w:id="31"/>
    </w:p>
    <w:p>
      <w:pPr>
        <w:spacing w:line="360" w:lineRule="auto"/>
        <w:ind w:firstLine="361" w:firstLineChars="200"/>
        <w:rPr>
          <w:rFonts w:asciiTheme="minorEastAsia" w:hAnsiTheme="minorEastAsia"/>
          <w:b/>
          <w:bCs/>
          <w:sz w:val="18"/>
          <w:szCs w:val="18"/>
        </w:rPr>
      </w:pPr>
      <w:bookmarkStart w:id="33" w:name="_Hlt88031774"/>
      <w:bookmarkEnd w:id="33"/>
      <w:bookmarkStart w:id="34"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32"/>
    <w:bookmarkEnd w:id="34"/>
    <w:p>
      <w:pPr>
        <w:pStyle w:val="2"/>
        <w:spacing w:before="0" w:after="0" w:line="360" w:lineRule="auto"/>
        <w:jc w:val="center"/>
        <w:rPr>
          <w:rFonts w:ascii="Times New Roman"/>
          <w:sz w:val="30"/>
        </w:rPr>
      </w:pPr>
      <w:bookmarkStart w:id="35" w:name="_Toc176189756"/>
      <w:bookmarkStart w:id="36" w:name="_Toc4771"/>
      <w:bookmarkStart w:id="37" w:name="_Toc27189"/>
      <w:bookmarkStart w:id="38" w:name="_Toc15203"/>
      <w:bookmarkStart w:id="39" w:name="_Toc74065741"/>
      <w:bookmarkStart w:id="40" w:name="_Toc29948"/>
      <w:bookmarkStart w:id="41" w:name="_Toc90742321"/>
      <w:bookmarkStart w:id="42" w:name="_Toc6714"/>
      <w:bookmarkStart w:id="43" w:name="_Toc3266"/>
      <w:bookmarkStart w:id="44" w:name="_Toc90742390"/>
      <w:bookmarkStart w:id="45" w:name="_Toc29784"/>
      <w:bookmarkStart w:id="46" w:name="_Toc90742688"/>
      <w:bookmarkStart w:id="47" w:name="_Toc79154668"/>
      <w:bookmarkStart w:id="48" w:name="_Toc16265"/>
      <w:bookmarkStart w:id="49" w:name="_Toc27226"/>
      <w:bookmarkStart w:id="50" w:name="_Toc7151"/>
      <w:bookmarkStart w:id="51" w:name="_Toc2207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35"/>
      <w:bookmarkEnd w:id="36"/>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52"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permStart w:id="15" w:edGrp="everyone"/>
      <w:bookmarkStart w:id="53" w:name="range"/>
      <w:bookmarkEnd w:id="53"/>
      <w:r>
        <w:rPr>
          <w:rFonts w:hint="eastAsia" w:asciiTheme="majorEastAsia" w:hAnsiTheme="majorEastAsia" w:eastAsiaTheme="majorEastAsia"/>
          <w:bCs/>
          <w:kern w:val="0"/>
          <w:sz w:val="18"/>
          <w:szCs w:val="18"/>
          <w:lang w:eastAsia="zh-CN"/>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（4）其他风险不高于前述资产的资产。</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permStart w:id="16" w:edGrp="everyone"/>
      <w:r>
        <w:rPr>
          <w:rFonts w:hint="eastAsia" w:asciiTheme="majorEastAsia" w:hAnsiTheme="majorEastAsia" w:eastAsiaTheme="majorEastAsia"/>
          <w:bCs/>
          <w:kern w:val="0"/>
          <w:sz w:val="18"/>
          <w:szCs w:val="18"/>
        </w:rPr>
        <w:t>【</w:t>
      </w:r>
      <w:bookmarkStart w:id="54" w:name="ratio"/>
      <w:bookmarkEnd w:id="54"/>
      <w:r>
        <w:rPr>
          <w:rFonts w:hint="eastAsia" w:asciiTheme="majorEastAsia" w:hAnsiTheme="majorEastAsia" w:eastAsiaTheme="majorEastAsia"/>
          <w:bCs/>
          <w:kern w:val="0"/>
          <w:sz w:val="18"/>
          <w:szCs w:val="18"/>
          <w:lang w:eastAsia="zh-CN"/>
        </w:rPr>
        <w:t>（1）本产品投资于债权类资产的比例不低于产品总资产的80%。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（2）投资于同业存单及存款类资产的比例不低于产品净资产的50%。</w:t>
      </w:r>
    </w:p>
    <w:p>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lang w:eastAsia="zh-CN"/>
        </w:rPr>
      </w:pPr>
      <w:bookmarkStart w:id="189" w:name="_GoBack"/>
      <w:r>
        <w:rPr>
          <w:rFonts w:hint="eastAsia" w:asciiTheme="majorEastAsia" w:hAnsiTheme="majorEastAsia" w:eastAsiaTheme="majorEastAsia"/>
          <w:b/>
          <w:bCs w:val="0"/>
          <w:kern w:val="0"/>
          <w:sz w:val="18"/>
          <w:szCs w:val="18"/>
          <w:lang w:eastAsia="zh-CN"/>
        </w:rPr>
        <w:t>注：本产品可能投资不存在活跃交易市场，并且需要采用估值技术确定公允价值的资产，且投资上述资产的比例达到理财产品净资产50%以上。</w:t>
      </w:r>
    </w:p>
    <w:bookmarkEnd w:id="189"/>
    <w:p>
      <w:pPr>
        <w:autoSpaceDE w:val="0"/>
        <w:autoSpaceDN w:val="0"/>
        <w:adjustRightInd w:val="0"/>
        <w:spacing w:line="360" w:lineRule="auto"/>
        <w:ind w:firstLine="42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hint="eastAsia" w:asciiTheme="majorEastAsia" w:hAnsiTheme="majorEastAsia" w:eastAsiaTheme="majorEastAsia"/>
          <w:bCs/>
          <w:sz w:val="18"/>
          <w:szCs w:val="18"/>
          <w:lang w:eastAsia="zh-CN"/>
        </w:rPr>
      </w:pPr>
      <w:bookmarkStart w:id="55" w:name="limit"/>
      <w:bookmarkEnd w:id="55"/>
      <w:permStart w:id="18" w:edGrp="everyone"/>
      <w:r>
        <w:rPr>
          <w:rFonts w:hint="eastAsia" w:asciiTheme="majorEastAsia" w:hAnsiTheme="majorEastAsia" w:eastAsiaTheme="majorEastAsia"/>
          <w:bCs/>
          <w:sz w:val="18"/>
          <w:szCs w:val="18"/>
          <w:lang w:eastAsia="zh-CN"/>
        </w:rPr>
        <w:t>（1）每只公募理财产品投资单只证券或者单只公募证券投资基金的市值不得超过该理财产品净资产的10%。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（2）全部公募理财产品持有单只证券或单只公募证券投资基金的市值，不得超过该证券市值或该公募证券投资基金市值的30%。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（3）全部理财产品持有单一上市公司发行的股票，不得超过该上市公司可流通股票的30%。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 xml:space="preserve">（4）全部开放式公募理财产品投资单一上市公司发行的股票不得超过该上市公司可流通股票的15%。 </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（5）本产品因为流动性需要可开展存单质押、债券正回购等融资业务，本产品总资产不超过净资产的200%。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（6）本产品投资于信用债券、银行存款、非标准化债权类资产融资人的信用评级均不得低于AA+。</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Theme="majorEastAsia" w:hAnsiTheme="majorEastAsia" w:eastAsiaTheme="majorEastAsia"/>
          <w:bCs/>
          <w:sz w:val="18"/>
          <w:szCs w:val="18"/>
        </w:rPr>
      </w:pP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bookmarkStart w:id="56" w:name="strategy"/>
      <w:bookmarkEnd w:id="56"/>
      <w:r>
        <w:rPr>
          <w:rFonts w:hint="eastAsia" w:asciiTheme="majorEastAsia" w:hAnsiTheme="majorEastAsia" w:eastAsiaTheme="majorEastAsia"/>
          <w:sz w:val="18"/>
          <w:szCs w:val="18"/>
          <w:lang w:eastAsia="zh-CN"/>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57" w:name="_Toc176189758"/>
      <w:bookmarkStart w:id="58" w:name="_Toc74065742"/>
      <w:bookmarkStart w:id="59" w:name="_Toc18329"/>
      <w:bookmarkStart w:id="60" w:name="_Toc18526"/>
      <w:bookmarkStart w:id="61" w:name="_Toc79154669"/>
      <w:bookmarkStart w:id="62" w:name="_Toc139991735"/>
      <w:bookmarkStart w:id="63" w:name="_Toc1823"/>
      <w:bookmarkStart w:id="64" w:name="_Toc17912"/>
      <w:bookmarkStart w:id="65" w:name="_Toc7848"/>
      <w:bookmarkStart w:id="66" w:name="_Toc21988"/>
      <w:bookmarkStart w:id="67" w:name="_Toc18797"/>
      <w:bookmarkStart w:id="68" w:name="_Toc4741"/>
      <w:bookmarkStart w:id="69" w:name="_Toc26986"/>
      <w:bookmarkStart w:id="70" w:name="_Toc141703885"/>
      <w:bookmarkStart w:id="71" w:name="_Toc14893"/>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34"/>
        <w:spacing w:line="360" w:lineRule="auto"/>
        <w:ind w:firstLine="361" w:firstLineChars="200"/>
        <w:rPr>
          <w:rFonts w:asciiTheme="majorEastAsia" w:hAnsiTheme="majorEastAsia" w:eastAsiaTheme="majorEastAsia"/>
          <w:b/>
          <w:color w:val="auto"/>
          <w:sz w:val="18"/>
          <w:szCs w:val="18"/>
        </w:rPr>
      </w:pPr>
      <w:bookmarkStart w:id="7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72"/>
    <w:p>
      <w:pPr>
        <w:pStyle w:val="2"/>
        <w:spacing w:before="0" w:after="0" w:line="360" w:lineRule="auto"/>
        <w:jc w:val="center"/>
        <w:rPr>
          <w:rFonts w:ascii="Times New Roman"/>
          <w:sz w:val="30"/>
        </w:rPr>
      </w:pPr>
      <w:bookmarkStart w:id="73" w:name="_Toc123051452"/>
      <w:bookmarkStart w:id="74" w:name="_Toc48649707"/>
      <w:bookmarkStart w:id="75" w:name="_Toc7920"/>
      <w:bookmarkStart w:id="76" w:name="_Toc1427"/>
      <w:bookmarkStart w:id="77" w:name="_Toc74065743"/>
      <w:bookmarkStart w:id="78" w:name="_Toc20733"/>
      <w:bookmarkStart w:id="79" w:name="_Toc123102453"/>
      <w:bookmarkStart w:id="80" w:name="_Toc139991736"/>
      <w:bookmarkStart w:id="81" w:name="_Toc610"/>
      <w:bookmarkStart w:id="82" w:name="_Toc141703886"/>
      <w:bookmarkStart w:id="83" w:name="_Toc1270"/>
      <w:bookmarkStart w:id="84" w:name="_Toc10463"/>
      <w:bookmarkStart w:id="85" w:name="_Toc79154670"/>
      <w:bookmarkStart w:id="86" w:name="_Toc176189759"/>
      <w:bookmarkStart w:id="87" w:name="_Toc4003"/>
      <w:bookmarkStart w:id="88" w:name="_Toc23822"/>
      <w:bookmarkStart w:id="89" w:name="_Toc79392606"/>
      <w:bookmarkStart w:id="90" w:name="_Toc98560352"/>
      <w:bookmarkStart w:id="91" w:name="_Toc123112234"/>
      <w:bookmarkStart w:id="92" w:name="_Toc17244"/>
      <w:bookmarkStart w:id="93" w:name="_Toc23261"/>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94" w:name="_Hlt70481650"/>
      <w:bookmarkEnd w:id="94"/>
      <w:bookmarkStart w:id="95" w:name="_Toc31644"/>
      <w:bookmarkStart w:id="96" w:name="_Toc29251"/>
      <w:bookmarkStart w:id="97" w:name="_Toc139991737"/>
      <w:bookmarkStart w:id="98" w:name="_Toc79154671"/>
      <w:bookmarkStart w:id="99" w:name="_Toc98560353"/>
      <w:bookmarkStart w:id="100" w:name="_Toc123102454"/>
      <w:bookmarkStart w:id="101" w:name="_Toc12245"/>
      <w:bookmarkStart w:id="102" w:name="_Toc31653"/>
      <w:bookmarkStart w:id="103" w:name="_Toc6405"/>
      <w:bookmarkStart w:id="104" w:name="_Toc74065744"/>
      <w:bookmarkStart w:id="105" w:name="_Toc31235"/>
      <w:bookmarkStart w:id="106" w:name="_Toc14835"/>
      <w:bookmarkStart w:id="107" w:name="_Toc123112235"/>
      <w:bookmarkStart w:id="108" w:name="_Toc176189760"/>
      <w:bookmarkStart w:id="109" w:name="_Toc26207"/>
      <w:bookmarkStart w:id="110" w:name="_Toc3601"/>
      <w:bookmarkStart w:id="111" w:name="_Toc123051453"/>
      <w:bookmarkStart w:id="112" w:name="_Toc15143"/>
      <w:bookmarkStart w:id="113" w:name="_Toc14170388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4" w:name="_Hlt55355235"/>
      <w:bookmarkEnd w:id="114"/>
      <w:bookmarkStart w:id="115" w:name="_Toc57530239"/>
      <w:bookmarkStart w:id="116" w:name="_Toc79392580"/>
      <w:bookmarkStart w:id="117" w:name="_Toc15118234"/>
      <w:bookmarkStart w:id="11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15"/>
    <w:bookmarkEnd w:id="116"/>
    <w:bookmarkEnd w:id="117"/>
    <w:bookmarkEnd w:id="118"/>
    <w:p>
      <w:pPr>
        <w:pStyle w:val="2"/>
        <w:spacing w:before="0" w:after="0" w:line="360" w:lineRule="auto"/>
        <w:jc w:val="center"/>
        <w:rPr>
          <w:rFonts w:ascii="Times New Roman"/>
          <w:sz w:val="30"/>
        </w:rPr>
      </w:pPr>
      <w:bookmarkStart w:id="119" w:name="_Hlt88825574"/>
      <w:bookmarkEnd w:id="119"/>
      <w:bookmarkStart w:id="120" w:name="_Hlt88897298"/>
      <w:bookmarkEnd w:id="120"/>
      <w:bookmarkStart w:id="121" w:name="_Toc79392583"/>
      <w:bookmarkStart w:id="122" w:name="_Toc74065745"/>
      <w:bookmarkStart w:id="123" w:name="_Toc18567"/>
      <w:bookmarkStart w:id="124" w:name="_Toc3321"/>
      <w:bookmarkStart w:id="125" w:name="_Toc4559"/>
      <w:bookmarkStart w:id="126" w:name="_Toc123102455"/>
      <w:bookmarkStart w:id="127" w:name="_Toc123051454"/>
      <w:bookmarkStart w:id="128" w:name="_Toc25783"/>
      <w:bookmarkStart w:id="129" w:name="_Toc176189761"/>
      <w:bookmarkStart w:id="130" w:name="_Toc79154672"/>
      <w:bookmarkStart w:id="131" w:name="_Toc7058"/>
      <w:bookmarkStart w:id="132" w:name="_Toc9706"/>
      <w:bookmarkStart w:id="133" w:name="_Toc123112236"/>
      <w:bookmarkStart w:id="134" w:name="_Toc10650"/>
      <w:bookmarkStart w:id="135" w:name="_Toc11030"/>
      <w:bookmarkStart w:id="136" w:name="_Toc6447"/>
      <w:bookmarkStart w:id="137" w:name="_Toc139991738"/>
      <w:bookmarkStart w:id="138" w:name="_Toc98560354"/>
      <w:bookmarkStart w:id="139" w:name="_Toc141703888"/>
      <w:bookmarkStart w:id="14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hint="eastAsia" w:asciiTheme="majorEastAsia" w:hAnsiTheme="majorEastAsia" w:eastAsiaTheme="majorEastAsia"/>
          <w:sz w:val="18"/>
          <w:szCs w:val="18"/>
          <w:lang w:eastAsia="zh-CN"/>
        </w:rPr>
      </w:pPr>
      <w:bookmarkStart w:id="141" w:name="pre_salecost_1"/>
      <w:bookmarkEnd w:id="141"/>
      <w:r>
        <w:rPr>
          <w:rFonts w:hint="eastAsia" w:asciiTheme="majorEastAsia" w:hAnsiTheme="majorEastAsia" w:eastAsiaTheme="majorEastAsia"/>
          <w:sz w:val="18"/>
          <w:szCs w:val="18"/>
          <w:lang w:eastAsia="zh-CN"/>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H＝E×销售服务费年费率÷365</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H为每日应计提的销售服务费</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E为前一日的理财资产净值</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Theme="majorEastAsia" w:hAnsiTheme="majorEastAsia" w:eastAsiaTheme="majorEastAsia"/>
          <w:sz w:val="18"/>
          <w:szCs w:val="18"/>
          <w:lang w:eastAsia="zh-CN"/>
        </w:rPr>
      </w:pPr>
      <w:bookmarkStart w:id="142" w:name="pre_salecost_2"/>
      <w:bookmarkEnd w:id="142"/>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43" w:name="_Toc3963"/>
      <w:bookmarkStart w:id="144" w:name="_Toc1745"/>
      <w:r>
        <w:br w:type="page"/>
      </w:r>
      <w:bookmarkStart w:id="145" w:name="_Toc98560355"/>
      <w:bookmarkStart w:id="146" w:name="_Toc3080"/>
      <w:bookmarkStart w:id="147" w:name="_Toc176189762"/>
      <w:bookmarkStart w:id="148" w:name="_Toc141703889"/>
      <w:bookmarkStart w:id="149" w:name="_Toc123051455"/>
      <w:bookmarkStart w:id="150" w:name="_Toc74065746"/>
      <w:bookmarkStart w:id="151" w:name="_Toc123102456"/>
      <w:bookmarkStart w:id="152" w:name="_Toc123112237"/>
      <w:bookmarkStart w:id="153" w:name="_Toc10398"/>
      <w:bookmarkStart w:id="154" w:name="_Toc21735"/>
      <w:bookmarkStart w:id="155" w:name="_Toc31821"/>
      <w:bookmarkStart w:id="156" w:name="_Toc725"/>
      <w:bookmarkStart w:id="157" w:name="_Toc18206"/>
      <w:bookmarkStart w:id="158" w:name="_Toc139991739"/>
      <w:bookmarkStart w:id="159" w:name="_Toc79154673"/>
      <w:bookmarkStart w:id="160" w:name="_Toc3572"/>
      <w:bookmarkStart w:id="161" w:name="_Toc16164"/>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spacing w:line="360" w:lineRule="auto"/>
        <w:ind w:firstLine="361" w:firstLineChars="200"/>
        <w:rPr>
          <w:rFonts w:asciiTheme="majorEastAsia" w:hAnsiTheme="majorEastAsia" w:eastAsiaTheme="majorEastAsia"/>
          <w:b/>
          <w:bCs/>
          <w:sz w:val="18"/>
          <w:szCs w:val="18"/>
        </w:rPr>
      </w:pPr>
      <w:bookmarkStart w:id="162" w:name="_Toc57530252"/>
      <w:bookmarkStart w:id="163" w:name="_Toc15118245"/>
      <w:bookmarkStart w:id="164"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62"/>
    <w:bookmarkEnd w:id="163"/>
    <w:bookmarkEnd w:id="164"/>
    <w:p>
      <w:pPr>
        <w:pStyle w:val="2"/>
        <w:spacing w:before="0" w:after="0" w:line="360" w:lineRule="auto"/>
        <w:jc w:val="center"/>
        <w:rPr>
          <w:rFonts w:ascii="Times New Roman"/>
          <w:sz w:val="30"/>
        </w:rPr>
      </w:pPr>
      <w:r>
        <w:rPr>
          <w:rFonts w:ascii="Times New Roman"/>
          <w:b w:val="0"/>
          <w:bCs w:val="0"/>
          <w:kern w:val="2"/>
        </w:rPr>
        <w:br w:type="page"/>
      </w:r>
      <w:bookmarkStart w:id="165" w:name="_Toc123112238"/>
      <w:bookmarkStart w:id="166" w:name="_Toc176189763"/>
      <w:bookmarkStart w:id="167" w:name="_Toc17920"/>
      <w:bookmarkStart w:id="168" w:name="_Toc5170"/>
      <w:bookmarkStart w:id="169" w:name="_Toc74065747"/>
      <w:bookmarkStart w:id="170" w:name="_Toc21237"/>
      <w:bookmarkStart w:id="171" w:name="_Toc29408"/>
      <w:bookmarkStart w:id="172" w:name="_Toc141703890"/>
      <w:bookmarkStart w:id="173" w:name="_Toc739"/>
      <w:bookmarkStart w:id="174" w:name="_Toc32584"/>
      <w:bookmarkStart w:id="175" w:name="_Toc98560356"/>
      <w:bookmarkStart w:id="176" w:name="_Toc32092"/>
      <w:bookmarkStart w:id="177" w:name="_Toc139991740"/>
      <w:bookmarkStart w:id="178" w:name="_Toc79154674"/>
      <w:bookmarkStart w:id="179" w:name="_Toc79392622"/>
      <w:bookmarkStart w:id="180" w:name="_Toc123102457"/>
      <w:bookmarkStart w:id="181" w:name="_Toc3329"/>
      <w:bookmarkStart w:id="182" w:name="_Toc17198"/>
      <w:bookmarkStart w:id="183" w:name="_Toc8791"/>
      <w:bookmarkStart w:id="184" w:name="_Toc48649708"/>
      <w:bookmarkStart w:id="185" w:name="_Toc123051456"/>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86" w:name="_Toc79154675"/>
      <w:bookmarkStart w:id="187"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86"/>
      <w:bookmarkEnd w:id="187"/>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lang w:eastAsia="zh-CN"/>
        </w:rPr>
      </w:pPr>
      <w:permStart w:id="26" w:edGrp="everyone"/>
      <w:r>
        <w:rPr>
          <w:rFonts w:hint="eastAsia" w:ascii="宋体" w:hAnsi="宋体"/>
          <w:sz w:val="18"/>
          <w:szCs w:val="18"/>
        </w:rPr>
        <w:t>【</w:t>
      </w:r>
      <w:bookmarkStart w:id="188" w:name="risk"/>
      <w:bookmarkEnd w:id="188"/>
      <w:r>
        <w:rPr>
          <w:rFonts w:hint="eastAsia" w:ascii="宋体" w:hAnsi="宋体"/>
          <w:sz w:val="18"/>
          <w:szCs w:val="18"/>
          <w:lang w:eastAsia="zh-CN"/>
        </w:rPr>
        <w:t>1.拟投资市场和资产的风险：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1）投资标准化债权类资产的风险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3689"/>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64E2"/>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18FB"/>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0699"/>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B6E"/>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5FC"/>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C7F11"/>
    <w:rsid w:val="007D115D"/>
    <w:rsid w:val="007D148B"/>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5F5F"/>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3E63"/>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29B"/>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3D0"/>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062B"/>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29EF"/>
    <w:rsid w:val="00C93A2E"/>
    <w:rsid w:val="00C9595B"/>
    <w:rsid w:val="00C96BF3"/>
    <w:rsid w:val="00C96EC2"/>
    <w:rsid w:val="00C97AFD"/>
    <w:rsid w:val="00CA13D6"/>
    <w:rsid w:val="00CA17E1"/>
    <w:rsid w:val="00CA2484"/>
    <w:rsid w:val="00CA2910"/>
    <w:rsid w:val="00CA296D"/>
    <w:rsid w:val="00CA32BF"/>
    <w:rsid w:val="00CA32DC"/>
    <w:rsid w:val="00CA46E0"/>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217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15939AA"/>
    <w:rsid w:val="01990334"/>
    <w:rsid w:val="020A6A96"/>
    <w:rsid w:val="0356786B"/>
    <w:rsid w:val="03935544"/>
    <w:rsid w:val="046E31C1"/>
    <w:rsid w:val="056C4F65"/>
    <w:rsid w:val="05915FCF"/>
    <w:rsid w:val="064E0307"/>
    <w:rsid w:val="067C7649"/>
    <w:rsid w:val="06F4696E"/>
    <w:rsid w:val="07245E56"/>
    <w:rsid w:val="072779FF"/>
    <w:rsid w:val="08472CE3"/>
    <w:rsid w:val="0AC979E9"/>
    <w:rsid w:val="0C023D8C"/>
    <w:rsid w:val="0DC97F51"/>
    <w:rsid w:val="0E94232E"/>
    <w:rsid w:val="0F1306D5"/>
    <w:rsid w:val="0F55136E"/>
    <w:rsid w:val="102179A4"/>
    <w:rsid w:val="11295396"/>
    <w:rsid w:val="11B51035"/>
    <w:rsid w:val="137B4DE8"/>
    <w:rsid w:val="163E2FB7"/>
    <w:rsid w:val="16553AED"/>
    <w:rsid w:val="1A074180"/>
    <w:rsid w:val="1A48157B"/>
    <w:rsid w:val="1A820B42"/>
    <w:rsid w:val="1ABE2ED9"/>
    <w:rsid w:val="1B792633"/>
    <w:rsid w:val="1BD70953"/>
    <w:rsid w:val="1BF87698"/>
    <w:rsid w:val="1C78144D"/>
    <w:rsid w:val="1C9167DA"/>
    <w:rsid w:val="1CBD22BD"/>
    <w:rsid w:val="1DDC3786"/>
    <w:rsid w:val="1E585AB7"/>
    <w:rsid w:val="1E61320D"/>
    <w:rsid w:val="1EB160C2"/>
    <w:rsid w:val="1F713302"/>
    <w:rsid w:val="1FF145B9"/>
    <w:rsid w:val="213434F3"/>
    <w:rsid w:val="2193546F"/>
    <w:rsid w:val="23083986"/>
    <w:rsid w:val="23190733"/>
    <w:rsid w:val="23AF29A3"/>
    <w:rsid w:val="26123FD6"/>
    <w:rsid w:val="26F50BA9"/>
    <w:rsid w:val="276A677D"/>
    <w:rsid w:val="29026D00"/>
    <w:rsid w:val="2A642791"/>
    <w:rsid w:val="2BAD6E1C"/>
    <w:rsid w:val="2E340BB4"/>
    <w:rsid w:val="2EA644DF"/>
    <w:rsid w:val="2EDB1B70"/>
    <w:rsid w:val="2F321A82"/>
    <w:rsid w:val="2F6B7F78"/>
    <w:rsid w:val="2FB532A0"/>
    <w:rsid w:val="2FF33A83"/>
    <w:rsid w:val="30455968"/>
    <w:rsid w:val="319C4BEA"/>
    <w:rsid w:val="324776D3"/>
    <w:rsid w:val="33DA2E89"/>
    <w:rsid w:val="342265A9"/>
    <w:rsid w:val="34C829B2"/>
    <w:rsid w:val="35381804"/>
    <w:rsid w:val="386A3F56"/>
    <w:rsid w:val="38C716AB"/>
    <w:rsid w:val="3A396834"/>
    <w:rsid w:val="3A5706DB"/>
    <w:rsid w:val="3A810EF7"/>
    <w:rsid w:val="3B0815BC"/>
    <w:rsid w:val="3B836492"/>
    <w:rsid w:val="3C131540"/>
    <w:rsid w:val="3C3802E9"/>
    <w:rsid w:val="3D213021"/>
    <w:rsid w:val="3E0C1771"/>
    <w:rsid w:val="3E586AB8"/>
    <w:rsid w:val="3E5C0753"/>
    <w:rsid w:val="3E5C1B1D"/>
    <w:rsid w:val="3EAE14E9"/>
    <w:rsid w:val="3FD261A6"/>
    <w:rsid w:val="3FDD6409"/>
    <w:rsid w:val="406B6A62"/>
    <w:rsid w:val="409175DF"/>
    <w:rsid w:val="42EB2F9C"/>
    <w:rsid w:val="44B0292B"/>
    <w:rsid w:val="45226963"/>
    <w:rsid w:val="452D20FF"/>
    <w:rsid w:val="45A2262A"/>
    <w:rsid w:val="45DF5261"/>
    <w:rsid w:val="46935C39"/>
    <w:rsid w:val="469F5C49"/>
    <w:rsid w:val="46A9148C"/>
    <w:rsid w:val="47BF32B9"/>
    <w:rsid w:val="4ABB2587"/>
    <w:rsid w:val="4B5D3167"/>
    <w:rsid w:val="4CD634E1"/>
    <w:rsid w:val="4D39606F"/>
    <w:rsid w:val="4D7E5FBD"/>
    <w:rsid w:val="4E9D79E5"/>
    <w:rsid w:val="4F8E3D4D"/>
    <w:rsid w:val="4FA308F4"/>
    <w:rsid w:val="50DE1DAB"/>
    <w:rsid w:val="50E8761C"/>
    <w:rsid w:val="53B3493A"/>
    <w:rsid w:val="53DB7E74"/>
    <w:rsid w:val="551D7584"/>
    <w:rsid w:val="5537323C"/>
    <w:rsid w:val="55855837"/>
    <w:rsid w:val="56503211"/>
    <w:rsid w:val="56812F01"/>
    <w:rsid w:val="57943BB0"/>
    <w:rsid w:val="57BD5DAE"/>
    <w:rsid w:val="57D00FF7"/>
    <w:rsid w:val="598B567E"/>
    <w:rsid w:val="5ADD4D16"/>
    <w:rsid w:val="5B10394B"/>
    <w:rsid w:val="5B6655C5"/>
    <w:rsid w:val="5BA577EB"/>
    <w:rsid w:val="5C624734"/>
    <w:rsid w:val="5C9E14B9"/>
    <w:rsid w:val="5DFA16AB"/>
    <w:rsid w:val="5F9A4106"/>
    <w:rsid w:val="5FE91ABC"/>
    <w:rsid w:val="600F0535"/>
    <w:rsid w:val="60A968BB"/>
    <w:rsid w:val="60D42826"/>
    <w:rsid w:val="616925C8"/>
    <w:rsid w:val="628E734C"/>
    <w:rsid w:val="6580603B"/>
    <w:rsid w:val="6584625B"/>
    <w:rsid w:val="689E1B10"/>
    <w:rsid w:val="68B96EA7"/>
    <w:rsid w:val="68C7223A"/>
    <w:rsid w:val="68EF6886"/>
    <w:rsid w:val="694A7300"/>
    <w:rsid w:val="699457CF"/>
    <w:rsid w:val="6A5453DD"/>
    <w:rsid w:val="6A735FA8"/>
    <w:rsid w:val="6BAE5F49"/>
    <w:rsid w:val="6FDD1093"/>
    <w:rsid w:val="70167F30"/>
    <w:rsid w:val="709C0126"/>
    <w:rsid w:val="71E5159B"/>
    <w:rsid w:val="72B94BF0"/>
    <w:rsid w:val="73487180"/>
    <w:rsid w:val="73EB1EF4"/>
    <w:rsid w:val="73EB7F47"/>
    <w:rsid w:val="75A81BFD"/>
    <w:rsid w:val="76022652"/>
    <w:rsid w:val="768501BE"/>
    <w:rsid w:val="76C8601E"/>
    <w:rsid w:val="7778235D"/>
    <w:rsid w:val="78651BF7"/>
    <w:rsid w:val="797521DD"/>
    <w:rsid w:val="79B02797"/>
    <w:rsid w:val="7AC91D44"/>
    <w:rsid w:val="7D58772D"/>
    <w:rsid w:val="7D80556D"/>
    <w:rsid w:val="7ED86E63"/>
    <w:rsid w:val="7F9C2B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字符"/>
    <w:basedOn w:val="26"/>
    <w:link w:val="15"/>
    <w:qFormat/>
    <w:uiPriority w:val="99"/>
    <w:rPr>
      <w:sz w:val="18"/>
      <w:szCs w:val="18"/>
    </w:rPr>
  </w:style>
  <w:style w:type="character" w:customStyle="1" w:styleId="33">
    <w:name w:val="页脚 字符"/>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字符"/>
    <w:basedOn w:val="26"/>
    <w:link w:val="8"/>
    <w:qFormat/>
    <w:uiPriority w:val="99"/>
    <w:rPr>
      <w:rFonts w:ascii="宋体" w:hAnsi="宋体" w:eastAsia="宋体" w:cs="宋体"/>
      <w:kern w:val="0"/>
      <w:sz w:val="24"/>
      <w:szCs w:val="24"/>
    </w:rPr>
  </w:style>
  <w:style w:type="character" w:customStyle="1" w:styleId="37">
    <w:name w:val="批注框文本 字符"/>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字符"/>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字符"/>
    <w:basedOn w:val="36"/>
    <w:link w:val="23"/>
    <w:qFormat/>
    <w:uiPriority w:val="99"/>
    <w:rPr>
      <w:rFonts w:ascii="宋体" w:hAnsi="宋体" w:eastAsia="宋体" w:cs="宋体"/>
      <w:b/>
      <w:bCs/>
      <w:kern w:val="0"/>
      <w:sz w:val="24"/>
      <w:szCs w:val="24"/>
    </w:rPr>
  </w:style>
  <w:style w:type="character" w:customStyle="1" w:styleId="43">
    <w:name w:val="HTML 预设格式 字符"/>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字符"/>
    <w:basedOn w:val="26"/>
    <w:link w:val="3"/>
    <w:qFormat/>
    <w:uiPriority w:val="0"/>
    <w:rPr>
      <w:rFonts w:ascii="Arial" w:hAnsi="Arial" w:eastAsia="黑体" w:cs="Times New Roman"/>
      <w:b/>
      <w:kern w:val="2"/>
      <w:sz w:val="32"/>
    </w:rPr>
  </w:style>
  <w:style w:type="character" w:customStyle="1" w:styleId="50">
    <w:name w:val="标题 3 字符"/>
    <w:basedOn w:val="26"/>
    <w:link w:val="4"/>
    <w:qFormat/>
    <w:uiPriority w:val="0"/>
    <w:rPr>
      <w:rFonts w:ascii="Times New Roman" w:hAnsi="Times New Roman" w:cs="Times New Roman"/>
      <w:b/>
      <w:kern w:val="2"/>
      <w:sz w:val="32"/>
    </w:rPr>
  </w:style>
  <w:style w:type="character" w:customStyle="1" w:styleId="51">
    <w:name w:val="标题 4 字符"/>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字符"/>
    <w:link w:val="22"/>
    <w:qFormat/>
    <w:uiPriority w:val="0"/>
    <w:rPr>
      <w:rFonts w:ascii="Cambria" w:hAnsi="Cambria"/>
      <w:b/>
      <w:kern w:val="2"/>
      <w:sz w:val="32"/>
    </w:rPr>
  </w:style>
  <w:style w:type="character" w:customStyle="1" w:styleId="55">
    <w:name w:val="正文文本 字符"/>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字符"/>
    <w:basedOn w:val="26"/>
    <w:link w:val="7"/>
    <w:qFormat/>
    <w:uiPriority w:val="0"/>
    <w:rPr>
      <w:rFonts w:ascii="Times New Roman" w:hAnsi="Times New Roman" w:cs="Times New Roman"/>
      <w:kern w:val="2"/>
      <w:sz w:val="21"/>
      <w:shd w:val="clear" w:color="auto" w:fill="000080"/>
    </w:rPr>
  </w:style>
  <w:style w:type="character" w:customStyle="1" w:styleId="63">
    <w:name w:val="纯文本 字符"/>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字符"/>
    <w:basedOn w:val="26"/>
    <w:link w:val="18"/>
    <w:qFormat/>
    <w:uiPriority w:val="0"/>
    <w:rPr>
      <w:rFonts w:ascii="Times New Roman" w:hAnsi="Times New Roman" w:cs="Times New Roman"/>
      <w:color w:val="0000FF"/>
      <w:kern w:val="2"/>
      <w:sz w:val="21"/>
    </w:rPr>
  </w:style>
  <w:style w:type="character" w:customStyle="1" w:styleId="70">
    <w:name w:val="正文文本缩进 2 字符"/>
    <w:basedOn w:val="26"/>
    <w:link w:val="12"/>
    <w:qFormat/>
    <w:uiPriority w:val="0"/>
    <w:rPr>
      <w:rFonts w:ascii="仿宋_GB2312" w:hAnsi="Times New Roman" w:eastAsia="仿宋_GB2312" w:cs="Times New Roman"/>
      <w:kern w:val="2"/>
      <w:sz w:val="28"/>
    </w:rPr>
  </w:style>
  <w:style w:type="character" w:customStyle="1" w:styleId="71">
    <w:name w:val="脚注文本 字符"/>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3A3C3A8D-C5E4-45AF-8B48-C3BF528808AD}">
  <ds:schemaRefs/>
</ds:datastoreItem>
</file>

<file path=customXml/itemProps11.xml><?xml version="1.0" encoding="utf-8"?>
<ds:datastoreItem xmlns:ds="http://schemas.openxmlformats.org/officeDocument/2006/customXml" ds:itemID="{E6D3D55C-3DD8-4C31-8069-E5508DD844FB}">
  <ds:schemaRefs/>
</ds:datastoreItem>
</file>

<file path=customXml/itemProps12.xml><?xml version="1.0" encoding="utf-8"?>
<ds:datastoreItem xmlns:ds="http://schemas.openxmlformats.org/officeDocument/2006/customXml" ds:itemID="{CF487381-D648-48A1-B1E4-A4540B0D3650}">
  <ds:schemaRefs/>
</ds:datastoreItem>
</file>

<file path=customXml/itemProps13.xml><?xml version="1.0" encoding="utf-8"?>
<ds:datastoreItem xmlns:ds="http://schemas.openxmlformats.org/officeDocument/2006/customXml" ds:itemID="{1EEDD527-97BA-47F6-B37E-95B51416FA3B}">
  <ds:schemaRefs/>
</ds:datastoreItem>
</file>

<file path=customXml/itemProps14.xml><?xml version="1.0" encoding="utf-8"?>
<ds:datastoreItem xmlns:ds="http://schemas.openxmlformats.org/officeDocument/2006/customXml" ds:itemID="{0A7AA9EF-3B8C-4BAA-9155-A6E3E5337D3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9114D43D-ED98-4C7B-A3AE-26D78B80CA82}">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A06CD169-7F5C-4082-81B2-6ECAA9AF6149}">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7E5C9D84-6DB6-48FB-8632-D5279FC233C8}">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AC86F3EB-DB57-4B60-8A7E-BBB67A22EE0B}">
  <ds:schemaRefs/>
</ds:datastoreItem>
</file>

<file path=customXml/itemProps6.xml><?xml version="1.0" encoding="utf-8"?>
<ds:datastoreItem xmlns:ds="http://schemas.openxmlformats.org/officeDocument/2006/customXml" ds:itemID="{79B37214-9E52-4241-8DD2-9E9CD9442006}">
  <ds:schemaRefs/>
</ds:datastoreItem>
</file>

<file path=customXml/itemProps7.xml><?xml version="1.0" encoding="utf-8"?>
<ds:datastoreItem xmlns:ds="http://schemas.openxmlformats.org/officeDocument/2006/customXml" ds:itemID="{EC45DDBE-A426-47CA-BC62-D025DE29F1BC}">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2108FF18-8EC8-4170-A536-1AA8E39CC79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34</Pages>
  <Words>3334</Words>
  <Characters>19009</Characters>
  <Lines>158</Lines>
  <Paragraphs>44</Paragraphs>
  <TotalTime>0</TotalTime>
  <ScaleCrop>false</ScaleCrop>
  <LinksUpToDate>false</LinksUpToDate>
  <CharactersWithSpaces>22299</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2025-08-19T08:25:00Z</dcterms:created>
  <dc:creator>张淼雯</dc:creator>
  <cp:lastModifiedBy>cib</cp:lastModifiedBy>
  <cp:lastPrinted>2020-09-21T06:35:00Z</cp:lastPrinted>
  <dcterms:modified xsi:type="dcterms:W3CDTF">2025-09-19T08:09:46Z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