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/>
        <w:snapToGrid/>
        <w:spacing w:after="0"/>
        <w:jc w:val="center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36"/>
        </w:rPr>
        <w:t>关于代销</w:t>
      </w:r>
      <w:r>
        <w:rPr>
          <w:rFonts w:hint="eastAsia" w:ascii="宋体" w:hAnsi="宋体" w:eastAsia="宋体" w:cs="宋体"/>
          <w:b/>
          <w:bCs/>
          <w:sz w:val="36"/>
          <w:lang w:eastAsia="zh-CN"/>
        </w:rPr>
        <w:t>苏银理财恒源封闭债权225期优选2年</w:t>
      </w:r>
      <w:r>
        <w:rPr>
          <w:rFonts w:hint="eastAsia" w:ascii="宋体" w:hAnsi="宋体" w:eastAsia="宋体" w:cs="宋体"/>
          <w:b/>
          <w:bCs/>
          <w:sz w:val="36"/>
        </w:rPr>
        <w:t>的通知</w:t>
      </w:r>
    </w:p>
    <w:p>
      <w:pPr>
        <w:adjustRightInd/>
        <w:snapToGrid/>
        <w:spacing w:after="0" w:line="555" w:lineRule="atLeast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各分(支)行、总行营业部：</w:t>
      </w:r>
    </w:p>
    <w:p>
      <w:pPr>
        <w:adjustRightInd/>
        <w:snapToGrid/>
        <w:spacing w:after="0"/>
        <w:ind w:firstLine="63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我行代销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苏银理财有限责任公司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发行的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苏银理财恒源封闭债权225期优选2年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将</w:t>
      </w:r>
      <w:r>
        <w:rPr>
          <w:rFonts w:hint="eastAsia" w:ascii="仿宋_GB2312" w:hAnsi="微软雅黑" w:eastAsia="仿宋_GB2312" w:cs="宋体"/>
          <w:sz w:val="32"/>
          <w:szCs w:val="32"/>
        </w:rPr>
        <w:t>于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2025年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9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18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日9:00</w:t>
      </w:r>
      <w:r>
        <w:rPr>
          <w:rFonts w:hint="eastAsia" w:ascii="仿宋_GB2312" w:hAnsi="微软雅黑" w:eastAsia="仿宋_GB2312" w:cs="宋体"/>
          <w:sz w:val="32"/>
          <w:szCs w:val="32"/>
        </w:rPr>
        <w:t>至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2025年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9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24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日17:00</w:t>
      </w:r>
      <w:r>
        <w:rPr>
          <w:rFonts w:hint="eastAsia" w:ascii="仿宋_GB2312" w:hAnsi="微软雅黑" w:eastAsia="仿宋_GB2312" w:cs="宋体"/>
          <w:sz w:val="32"/>
          <w:szCs w:val="32"/>
        </w:rPr>
        <w:t>销售，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目前在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柜面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和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手机银行</w:t>
      </w:r>
      <w:r>
        <w:rPr>
          <w:rFonts w:hint="eastAsia" w:ascii="仿宋_GB2312" w:hAnsi="微软雅黑" w:eastAsia="仿宋_GB2312" w:cs="宋体"/>
          <w:color w:val="000000" w:themeColor="text1"/>
          <w:sz w:val="32"/>
          <w:szCs w:val="32"/>
        </w:rPr>
        <w:t>等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销售。销售服务费率为0.2%/年。部分要素如下：</w:t>
      </w:r>
    </w:p>
    <w:tbl>
      <w:tblPr>
        <w:tblStyle w:val="7"/>
        <w:tblW w:w="96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701"/>
        <w:gridCol w:w="79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"/>
              <w:ind w:left="55"/>
              <w:jc w:val="both"/>
              <w:textAlignment w:val="auto"/>
              <w:rPr>
                <w:rFonts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产品名称</w:t>
            </w:r>
          </w:p>
        </w:tc>
        <w:tc>
          <w:tcPr>
            <w:tcW w:w="7937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苏银理财恒源封闭债权225期优选2年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ind w:left="57"/>
              <w:jc w:val="both"/>
              <w:textAlignment w:val="auto"/>
              <w:rPr>
                <w:rFonts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理财产品登记编码</w:t>
            </w:r>
          </w:p>
        </w:tc>
        <w:tc>
          <w:tcPr>
            <w:tcW w:w="7937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9" w:right="77" w:rightChars="35"/>
              <w:jc w:val="both"/>
              <w:textAlignment w:val="auto"/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Z7003125000249，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投资者可依据该编码在中国理财网</w:t>
            </w:r>
            <w:r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  <w:fldChar w:fldCharType="begin"/>
            </w:r>
            <w:r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  <w:instrText xml:space="preserve"> HYPERLINK "http://www.chinawealth.com.cn/" </w:instrText>
            </w:r>
            <w:r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  <w:fldChar w:fldCharType="separate"/>
            </w:r>
            <w:r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  <w:t>www.chinawealth.com.cn</w:t>
            </w:r>
            <w:r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  <w:fldChar w:fldCharType="end"/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查询产品信息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1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/>
              <w:jc w:val="both"/>
              <w:textAlignment w:val="auto"/>
              <w:rPr>
                <w:rFonts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  <w:t>销售</w:t>
            </w: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  <w:t>名称</w:t>
            </w: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  <w:t>/销售代码</w:t>
            </w:r>
          </w:p>
        </w:tc>
        <w:tc>
          <w:tcPr>
            <w:tcW w:w="7937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right="57" w:rightChars="0"/>
              <w:jc w:val="both"/>
              <w:textAlignment w:val="auto"/>
              <w:rPr>
                <w:rFonts w:hint="default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  <w:t>JS份额：苏银理财恒源封闭债权225期优选2年JS鑫福款/J08058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产品类型</w:t>
            </w:r>
          </w:p>
        </w:tc>
        <w:tc>
          <w:tcPr>
            <w:tcW w:w="7937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u w:val="single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u w:val="single"/>
              </w:rPr>
              <w:t>固定收益类、公募、封闭式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产品内部风险评级</w:t>
            </w:r>
          </w:p>
        </w:tc>
        <w:tc>
          <w:tcPr>
            <w:tcW w:w="7937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-1"/>
                <w:numId w:val="0"/>
              </w:numPr>
              <w:wordWrap/>
              <w:topLinePunct w:val="0"/>
              <w:bidi w:val="0"/>
              <w:snapToGrid w:val="0"/>
              <w:spacing w:line="240" w:lineRule="auto"/>
              <w:ind w:left="57" w:leftChars="0" w:right="57" w:firstLine="0" w:firstLineChars="0"/>
              <w:textAlignment w:val="auto"/>
              <w:rPr>
                <w:rFonts w:hint="eastAsia" w:ascii="楷体" w:hAnsi="楷体" w:eastAsia="楷体"/>
                <w:color w:val="auto"/>
                <w:sz w:val="18"/>
                <w:szCs w:val="18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1.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本理财产品经苏银理财内部风险评级为</w:t>
            </w:r>
            <w:r>
              <w:rPr>
                <w:rFonts w:hint="eastAsia" w:ascii="楷体" w:hAnsi="楷体" w:eastAsia="楷体"/>
                <w:b/>
                <w:color w:val="auto"/>
                <w:sz w:val="18"/>
                <w:szCs w:val="18"/>
                <w:u w:val="single"/>
              </w:rPr>
              <w:t>★★二级，适合中低风险型投资者，适合投资策略为稳健发展</w:t>
            </w:r>
            <w:r>
              <w:rPr>
                <w:rFonts w:hint="eastAsia" w:ascii="楷体" w:hAnsi="楷体" w:eastAsia="楷体"/>
                <w:b/>
                <w:color w:val="auto"/>
                <w:sz w:val="18"/>
                <w:szCs w:val="18"/>
                <w:u w:val="single"/>
                <w:lang w:val="en-US" w:eastAsia="zh-CN"/>
              </w:rPr>
              <w:t>的投资者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。本评级为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管理人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内部评级，由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管理人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根据理财产品的投资组合、同类产品过往业绩和风险状况等因素，对理财产品进行评级，仅供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投资者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参考。</w:t>
            </w:r>
          </w:p>
          <w:tbl>
            <w:tblPr>
              <w:tblStyle w:val="7"/>
              <w:tblW w:w="4291" w:type="pct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604"/>
              <w:gridCol w:w="1489"/>
              <w:gridCol w:w="2030"/>
              <w:gridCol w:w="167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风险星级</w:t>
                  </w:r>
                </w:p>
              </w:tc>
              <w:tc>
                <w:tcPr>
                  <w:tcW w:w="1095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风险级别</w:t>
                  </w:r>
                </w:p>
              </w:tc>
              <w:tc>
                <w:tcPr>
                  <w:tcW w:w="1493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适合的投资者类别</w:t>
                  </w:r>
                </w:p>
              </w:tc>
              <w:tc>
                <w:tcPr>
                  <w:tcW w:w="1229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适合投资策略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tcBorders>
                    <w:bottom w:val="single" w:color="auto" w:sz="4" w:space="0"/>
                  </w:tcBorders>
                  <w:vAlign w:val="bottom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★</w:t>
                  </w:r>
                </w:p>
              </w:tc>
              <w:tc>
                <w:tcPr>
                  <w:tcW w:w="1095" w:type="pct"/>
                  <w:tcBorders>
                    <w:bottom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一级（PR1）</w:t>
                  </w:r>
                </w:p>
              </w:tc>
              <w:tc>
                <w:tcPr>
                  <w:tcW w:w="1493" w:type="pct"/>
                  <w:tcBorders>
                    <w:bottom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低风险型</w:t>
                  </w:r>
                </w:p>
              </w:tc>
              <w:tc>
                <w:tcPr>
                  <w:tcW w:w="1229" w:type="pct"/>
                  <w:tcBorders>
                    <w:bottom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风险控制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vAlign w:val="bottom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  <w:t>★★</w:t>
                  </w:r>
                </w:p>
              </w:tc>
              <w:tc>
                <w:tcPr>
                  <w:tcW w:w="1095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  <w:t>二级（PR2）</w:t>
                  </w:r>
                </w:p>
              </w:tc>
              <w:tc>
                <w:tcPr>
                  <w:tcW w:w="1493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  <w:t>中低风险型</w:t>
                  </w:r>
                </w:p>
              </w:tc>
              <w:tc>
                <w:tcPr>
                  <w:tcW w:w="1229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  <w:t>稳健发展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vAlign w:val="bottom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★★★</w:t>
                  </w:r>
                </w:p>
              </w:tc>
              <w:tc>
                <w:tcPr>
                  <w:tcW w:w="1095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三级（PR3）</w:t>
                  </w:r>
                </w:p>
              </w:tc>
              <w:tc>
                <w:tcPr>
                  <w:tcW w:w="1493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中风险型</w:t>
                  </w:r>
                </w:p>
              </w:tc>
              <w:tc>
                <w:tcPr>
                  <w:tcW w:w="1229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均衡发展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vAlign w:val="bottom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★★★★</w:t>
                  </w:r>
                </w:p>
              </w:tc>
              <w:tc>
                <w:tcPr>
                  <w:tcW w:w="1095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四级（PR4）</w:t>
                  </w:r>
                </w:p>
              </w:tc>
              <w:tc>
                <w:tcPr>
                  <w:tcW w:w="1493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中高风险型</w:t>
                  </w:r>
                </w:p>
              </w:tc>
              <w:tc>
                <w:tcPr>
                  <w:tcW w:w="1229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积极成长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vAlign w:val="bottom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★★★★★</w:t>
                  </w:r>
                </w:p>
              </w:tc>
              <w:tc>
                <w:tcPr>
                  <w:tcW w:w="1095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五级（PR5）</w:t>
                  </w:r>
                </w:p>
              </w:tc>
              <w:tc>
                <w:tcPr>
                  <w:tcW w:w="1493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高风险型</w:t>
                  </w:r>
                </w:p>
              </w:tc>
              <w:tc>
                <w:tcPr>
                  <w:tcW w:w="1229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风险承受</w:t>
                  </w:r>
                </w:p>
              </w:tc>
            </w:tr>
          </w:tbl>
          <w:p>
            <w:pPr>
              <w:keepNext w:val="0"/>
              <w:keepLines w:val="0"/>
              <w:pageBreakBefore w:val="0"/>
              <w:numPr>
                <w:ilvl w:val="-1"/>
                <w:numId w:val="0"/>
              </w:numPr>
              <w:wordWrap/>
              <w:topLinePunct w:val="0"/>
              <w:bidi w:val="0"/>
              <w:snapToGrid w:val="0"/>
              <w:spacing w:line="240" w:lineRule="auto"/>
              <w:ind w:left="57" w:leftChars="0" w:right="57" w:firstLine="0" w:firstLineChars="0"/>
              <w:textAlignment w:val="auto"/>
              <w:rPr>
                <w:rFonts w:ascii="楷体" w:hAnsi="楷体" w:eastAsia="楷体"/>
                <w:b/>
                <w:sz w:val="18"/>
                <w:szCs w:val="18"/>
                <w:highlight w:val="none"/>
                <w:u w:val="single"/>
              </w:rPr>
            </w:pPr>
            <w:r>
              <w:rPr>
                <w:rFonts w:hint="eastAsia" w:ascii="楷体" w:hAnsi="楷体" w:eastAsia="楷体"/>
                <w:sz w:val="18"/>
                <w:szCs w:val="18"/>
                <w:highlight w:val="none"/>
                <w:lang w:val="en-US" w:eastAsia="zh-CN"/>
              </w:rPr>
              <w:t>2.</w:t>
            </w:r>
            <w:r>
              <w:rPr>
                <w:rFonts w:hint="eastAsia" w:ascii="楷体" w:hAnsi="楷体" w:eastAsia="楷体"/>
                <w:sz w:val="18"/>
                <w:szCs w:val="18"/>
                <w:highlight w:val="none"/>
              </w:rPr>
              <w:t>如本产品通过代理销售机构渠道销售，代理销售机构应当根据本机构的方式和方法，依据理财产品的投资组合、同类产品过往业绩和风险状况等因素，独立、审慎地对代理销售的理财产品进行销售评级，并向苏银理财及时、准确提供本机构销售评级结果等信息。销售评级与苏银理财产品评级结果不一致的，代理销售机构应当采用对应较高风险等级的评级结果并予以披露。</w:t>
            </w:r>
            <w:r>
              <w:rPr>
                <w:rFonts w:hint="eastAsia" w:ascii="楷体" w:hAnsi="楷体" w:eastAsia="楷体"/>
                <w:b/>
                <w:bCs/>
                <w:sz w:val="18"/>
                <w:szCs w:val="18"/>
                <w:highlight w:val="none"/>
                <w:u w:val="single"/>
              </w:rPr>
              <w:t>如本产品通过代理销售机构渠道销售，</w:t>
            </w:r>
            <w:r>
              <w:rPr>
                <w:rFonts w:hint="eastAsia" w:ascii="楷体" w:hAnsi="楷体" w:eastAsia="楷体"/>
                <w:b/>
                <w:sz w:val="18"/>
                <w:szCs w:val="18"/>
                <w:highlight w:val="none"/>
                <w:u w:val="single"/>
              </w:rPr>
              <w:t>理财产品评级以代理销售机构最终披露的评级结果为准。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57" w:leftChars="0" w:right="57" w:rightChars="0" w:firstLine="0" w:firstLineChars="0"/>
              <w:jc w:val="both"/>
              <w:textAlignment w:val="auto"/>
              <w:rPr>
                <w:rFonts w:hint="eastAsia" w:ascii="楷体" w:hAnsi="楷体" w:eastAsia="楷体"/>
                <w:color w:val="auto"/>
                <w:sz w:val="18"/>
                <w:szCs w:val="18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3.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销售机构负责完成投资者风险承受能力评估，并在遵循投资者适当性原则的前提下进行本理财产品的销售活动。</w:t>
            </w:r>
          </w:p>
          <w:p>
            <w:pPr>
              <w:rPr>
                <w:rFonts w:hint="default" w:ascii="楷体" w:hAnsi="楷体" w:eastAsia="楷体" w:cs="宋体"/>
                <w:b/>
                <w:color w:val="auto"/>
                <w:spacing w:val="-2"/>
                <w:sz w:val="18"/>
                <w:szCs w:val="18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color w:val="FF0000"/>
                <w:lang w:val="en-US" w:eastAsia="zh-CN"/>
              </w:rPr>
              <w:t>4、</w:t>
            </w:r>
            <w:r>
              <w:rPr>
                <w:rFonts w:hint="eastAsia" w:ascii="仿宋" w:hAnsi="仿宋" w:eastAsia="仿宋"/>
                <w:b/>
                <w:color w:val="FF0000"/>
              </w:rPr>
              <w:t>紫金农商银行对本产品的风险评级为中低风险。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 xml:space="preserve">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销售对象</w:t>
            </w:r>
          </w:p>
        </w:tc>
        <w:tc>
          <w:tcPr>
            <w:tcW w:w="7937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9" w:right="77" w:rightChars="3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u w:val="single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  <w:lang w:val="en-US" w:eastAsia="zh-CN" w:bidi="ar-SA"/>
              </w:rPr>
              <w:t>面向个人和机构投资者销售。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币种</w:t>
            </w:r>
          </w:p>
        </w:tc>
        <w:tc>
          <w:tcPr>
            <w:tcW w:w="7937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u w:val="single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人民币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份额面值</w:t>
            </w:r>
          </w:p>
        </w:tc>
        <w:tc>
          <w:tcPr>
            <w:tcW w:w="7937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1元/份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  <w:t>计划发行规模</w:t>
            </w:r>
          </w:p>
        </w:tc>
        <w:tc>
          <w:tcPr>
            <w:tcW w:w="7937" w:type="dxa"/>
            <w:vAlign w:val="center"/>
          </w:tcPr>
          <w:p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b w:val="0"/>
                <w:color w:val="auto"/>
                <w:spacing w:val="-2"/>
                <w:kern w:val="0"/>
                <w:sz w:val="18"/>
                <w:szCs w:val="18"/>
                <w:u w:val="none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  <w:lang w:val="en-US" w:eastAsia="zh-CN"/>
              </w:rPr>
              <w:t>本产品计划发行规模为20</w:t>
            </w: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</w:rPr>
              <w:t>亿</w:t>
            </w: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  <w:lang w:val="en-US" w:eastAsia="zh-CN"/>
              </w:rPr>
              <w:t>元，</w:t>
            </w: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</w:rPr>
              <w:t>管理人有权</w:t>
            </w: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  <w:lang w:val="en-US" w:eastAsia="zh-CN"/>
              </w:rPr>
              <w:t>根据实际需要</w:t>
            </w: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</w:rPr>
              <w:t>调整计划发行规模。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default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  <w:t>最低发行规模</w:t>
            </w:r>
          </w:p>
        </w:tc>
        <w:tc>
          <w:tcPr>
            <w:tcW w:w="7937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spacing w:val="-2"/>
                <w:sz w:val="18"/>
                <w:szCs w:val="18"/>
                <w:highlight w:val="none"/>
              </w:rPr>
              <w:t>本产品最低发行规模为</w:t>
            </w:r>
            <w:r>
              <w:rPr>
                <w:rFonts w:hint="eastAsia" w:ascii="楷体" w:hAnsi="楷体" w:eastAsia="楷体" w:cs="宋体"/>
                <w:spacing w:val="-2"/>
                <w:sz w:val="18"/>
                <w:szCs w:val="18"/>
                <w:highlight w:val="none"/>
                <w:lang w:val="en-US" w:eastAsia="zh-CN"/>
              </w:rPr>
              <w:t>3000万</w:t>
            </w:r>
            <w:r>
              <w:rPr>
                <w:rFonts w:hint="eastAsia" w:ascii="楷体" w:hAnsi="楷体" w:eastAsia="楷体" w:cs="宋体"/>
                <w:spacing w:val="-2"/>
                <w:sz w:val="18"/>
                <w:szCs w:val="18"/>
                <w:highlight w:val="none"/>
              </w:rPr>
              <w:t>元，管理人有权根据实际需要调整最低发行规模。若产品认购规模未达到最低发行规模，或新的法律、法规或监管政策导致本产品无法合法合规运行，或出现其他导致影响产品成立不可抗力因素，产品管理人有权利但无义务宣布产品不成立，并于产品募集期结束后5个工作日内将投资者认购资金返还至投资者资金账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9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  <w:t>购买</w:t>
            </w: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起点</w:t>
            </w:r>
            <w:r>
              <w:rPr>
                <w:rFonts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/</w:t>
            </w: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追加金额</w:t>
            </w:r>
          </w:p>
        </w:tc>
        <w:tc>
          <w:tcPr>
            <w:tcW w:w="7937" w:type="dxa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JS份额：1元/1元的整数倍；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苏银理财有权对上述起点金额</w:t>
            </w:r>
            <w:r>
              <w:rPr>
                <w:rFonts w:hint="eastAsia" w:ascii="楷体" w:hAnsi="楷体" w:eastAsia="楷体"/>
                <w:sz w:val="18"/>
                <w:szCs w:val="18"/>
                <w:highlight w:val="none"/>
              </w:rPr>
              <w:t>和</w:t>
            </w:r>
            <w:r>
              <w:rPr>
                <w:rFonts w:hint="eastAsia" w:ascii="楷体" w:hAnsi="楷体" w:eastAsia="楷体"/>
                <w:sz w:val="18"/>
                <w:szCs w:val="18"/>
                <w:highlight w:val="none"/>
                <w:lang w:val="en-US" w:eastAsia="zh-CN"/>
              </w:rPr>
              <w:t>追加</w:t>
            </w:r>
            <w:r>
              <w:rPr>
                <w:rFonts w:hint="eastAsia" w:ascii="楷体" w:hAnsi="楷体" w:eastAsia="楷体"/>
                <w:sz w:val="18"/>
                <w:szCs w:val="18"/>
                <w:highlight w:val="none"/>
              </w:rPr>
              <w:t>金额进行</w:t>
            </w:r>
            <w:r>
              <w:rPr>
                <w:rFonts w:hint="eastAsia" w:ascii="楷体" w:hAnsi="楷体" w:eastAsia="楷体"/>
                <w:sz w:val="18"/>
                <w:szCs w:val="18"/>
              </w:rPr>
              <w:t>调整，并在调整前进行公告。</w:t>
            </w:r>
            <w:r>
              <w:rPr>
                <w:rFonts w:hint="eastAsia" w:ascii="楷体" w:hAnsi="楷体" w:eastAsia="楷体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楷体" w:hAnsi="楷体" w:eastAsia="楷体"/>
                <w:sz w:val="18"/>
                <w:szCs w:val="18"/>
              </w:rPr>
              <w:t>具体以销售机构设置为准</w:t>
            </w:r>
            <w:r>
              <w:rPr>
                <w:rFonts w:hint="eastAsia" w:ascii="楷体" w:hAnsi="楷体" w:eastAsia="楷体"/>
                <w:sz w:val="18"/>
                <w:szCs w:val="18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default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  <w:t>募集期</w:t>
            </w:r>
          </w:p>
        </w:tc>
        <w:tc>
          <w:tcPr>
            <w:tcW w:w="7937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202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年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9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月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18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日至202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年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9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月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24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日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。</w:t>
            </w:r>
          </w:p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spacing w:val="-2"/>
                <w:sz w:val="18"/>
                <w:szCs w:val="18"/>
              </w:rPr>
              <w:t>投资者可于募集期结束日交易闭市前撤销认购申请，该时点后不得撤销，募集期结束日交易闭市时间具体以销售机构设置为准。管理人在法律允许的范围内保留延长募集期或缩短募集期的权利。如有变动，实际产品募集期以管理人公告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产品成立日/</w:t>
            </w:r>
          </w:p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份额登记日</w:t>
            </w:r>
          </w:p>
        </w:tc>
        <w:tc>
          <w:tcPr>
            <w:tcW w:w="7937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2025年9月25日，如管理人调整募集期，则产品成立日/份额登记日将相应调整，以管理人公告为准。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</w:t>
            </w: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  <w:t>终止日/</w:t>
            </w:r>
          </w:p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到期日</w:t>
            </w:r>
          </w:p>
        </w:tc>
        <w:tc>
          <w:tcPr>
            <w:tcW w:w="7937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202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年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10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月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20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日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如遇节假日，顺延至下一工作日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。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在符合产品说明书约定的条件下，管理人有权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调整产品到期日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，产品到期日受制于提前终止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延期终止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条款。详见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“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八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、产品终止”。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9" w:leftChars="0" w:right="77" w:rightChars="3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产品存续期限</w:t>
            </w:r>
          </w:p>
        </w:tc>
        <w:tc>
          <w:tcPr>
            <w:tcW w:w="7937" w:type="dxa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755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天（以理财产品实际存续天数为准）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。</w:t>
            </w:r>
            <w:r>
              <w:rPr>
                <w:rFonts w:hint="eastAsia" w:ascii="楷体" w:hAnsi="楷体" w:eastAsia="楷体" w:cs="宋体"/>
                <w:b/>
                <w:bCs/>
                <w:color w:val="auto"/>
                <w:spacing w:val="-2"/>
                <w:sz w:val="18"/>
                <w:szCs w:val="18"/>
                <w:u w:val="single"/>
                <w:lang w:eastAsia="zh-CN"/>
              </w:rPr>
              <w:t>本产品运行期间，不开放申购、赎回。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highlight w:val="none"/>
              </w:rPr>
              <w:t>单个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highlight w:val="none"/>
                <w:lang w:val="en-US" w:eastAsia="zh-CN"/>
              </w:rPr>
              <w:t>投资者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highlight w:val="none"/>
              </w:rPr>
              <w:t>持有份额上限</w:t>
            </w:r>
          </w:p>
        </w:tc>
        <w:tc>
          <w:tcPr>
            <w:tcW w:w="7937" w:type="dxa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spacing w:val="-2"/>
                <w:kern w:val="0"/>
                <w:sz w:val="18"/>
                <w:szCs w:val="18"/>
                <w:highlight w:val="none"/>
                <w:lang w:val="en-US" w:eastAsia="zh-CN" w:bidi="ar-SA"/>
              </w:rPr>
              <w:t>单一投资者持有份额不得超过总份额50%。非因主观因素导致突破前款规定比例限制的，在单一投资者持有份额占理财产品总份额比例降至50%以下之前，不再接受该单一投资者对理财产品的认购申请。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9" w:leftChars="0" w:right="77" w:rightChars="3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业绩比较基准（年化）</w:t>
            </w:r>
          </w:p>
        </w:tc>
        <w:tc>
          <w:tcPr>
            <w:tcW w:w="793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57" w:leftChars="0" w:right="57" w:rightChars="0"/>
              <w:jc w:val="left"/>
              <w:textAlignment w:val="auto"/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  <w:lang w:val="en-US" w:eastAsia="zh-CN"/>
              </w:rPr>
              <w:t>1.管理人</w:t>
            </w:r>
            <w:r>
              <w:rPr>
                <w:rFonts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参考过往投资经验，依据近期货币市场工具、债券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、非标准化债权</w:t>
            </w:r>
            <w:r>
              <w:rPr>
                <w:rFonts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等资产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投资</w:t>
            </w:r>
            <w:r>
              <w:rPr>
                <w:rFonts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收益水平，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在产品说明书约定的投资范围和投资比例内，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highlight w:val="none"/>
                <w:u w:val="single"/>
              </w:rPr>
              <w:t>综合考虑各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highlight w:val="none"/>
                <w:u w:val="single"/>
                <w:lang w:val="en-US" w:eastAsia="zh-CN"/>
              </w:rPr>
              <w:t>类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highlight w:val="none"/>
                <w:u w:val="single"/>
              </w:rPr>
              <w:t>份额收取的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highlight w:val="none"/>
                <w:u w:val="single"/>
                <w:lang w:val="en-US" w:eastAsia="zh-CN"/>
              </w:rPr>
              <w:t>销售服务费和投资管理费等费用情况，模拟测算得出业绩比较基准。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57" w:leftChars="0" w:right="57" w:rightChars="0"/>
              <w:jc w:val="left"/>
              <w:textAlignment w:val="auto"/>
              <w:rPr>
                <w:rFonts w:hint="eastAsia" w:ascii="楷体" w:hAnsi="楷体" w:eastAsia="楷体" w:cs="宋体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  <w:lang w:val="en-US" w:eastAsia="zh-CN"/>
              </w:rPr>
              <w:t>2.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highlight w:val="none"/>
                <w:u w:val="single"/>
                <w:lang w:val="en-US" w:eastAsia="zh-CN"/>
              </w:rPr>
              <w:t>本产品各类份额可能因收取的销售服务费和投资管理费存在差异，业绩比较基准设置有所不同。</w:t>
            </w:r>
            <w:r>
              <w:rPr>
                <w:rFonts w:hint="eastAsia" w:ascii="楷体" w:hAnsi="楷体" w:eastAsia="楷体" w:cs="宋体"/>
                <w:b w:val="0"/>
                <w:bCs/>
                <w:spacing w:val="-2"/>
                <w:sz w:val="18"/>
                <w:szCs w:val="18"/>
                <w:highlight w:val="none"/>
                <w:u w:val="none"/>
              </w:rPr>
              <w:t>各</w:t>
            </w:r>
            <w:r>
              <w:rPr>
                <w:rFonts w:hint="eastAsia" w:ascii="楷体" w:hAnsi="楷体" w:eastAsia="楷体" w:cs="宋体"/>
                <w:b w:val="0"/>
                <w:bCs/>
                <w:spacing w:val="-2"/>
                <w:sz w:val="18"/>
                <w:szCs w:val="18"/>
                <w:highlight w:val="none"/>
                <w:u w:val="none"/>
                <w:lang w:val="en-US" w:eastAsia="zh-CN"/>
              </w:rPr>
              <w:t>类</w:t>
            </w:r>
            <w:r>
              <w:rPr>
                <w:rFonts w:hint="eastAsia" w:ascii="楷体" w:hAnsi="楷体" w:eastAsia="楷体" w:cs="宋体"/>
                <w:b w:val="0"/>
                <w:bCs/>
                <w:spacing w:val="-2"/>
                <w:sz w:val="18"/>
                <w:szCs w:val="18"/>
                <w:highlight w:val="none"/>
                <w:u w:val="none"/>
              </w:rPr>
              <w:t>份额业绩比较基准如下：</w:t>
            </w:r>
          </w:p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9" w:right="77" w:rightChars="35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  <w:t>JS份额：2.70%-3.10%。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  <w:lang w:val="en-US" w:eastAsia="zh-CN"/>
              </w:rPr>
              <w:t>3.本产品为净值型产品，业绩表现将随市场波动，具有不确定性。业绩比较基准是管理人基于产品性质、投资策略、过往经验等因素对产品设定的投资目标。业绩比较基准不是预期收益率，不代表产品的未来表现和实际收益，不构成对产品收益的承诺。投资者的实际收益由产品净值表现决定。产品存续期内管理人有权根据市场情况调整业绩比较基准，如有调整以管理人公告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4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产品费用</w:t>
            </w:r>
          </w:p>
        </w:tc>
        <w:tc>
          <w:tcPr>
            <w:tcW w:w="7937" w:type="dxa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本产品费用包括托管费、销售服务费、投资管理费、超额业绩报酬（如有）以及产品运作和清算中产生的其他费用等。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1.托管费率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年化）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：0.02%/年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default" w:ascii="楷体" w:hAnsi="楷体" w:eastAsia="楷体" w:cs="宋体"/>
                <w:color w:val="auto"/>
                <w:spacing w:val="-2"/>
                <w:sz w:val="18"/>
                <w:szCs w:val="18"/>
                <w:lang w:val="en-US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2.销售服务费率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年化）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：JS份额：0.20%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采用每日计提模式。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3.投资管理费率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年化）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：JS份额：0.15%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4.超额业绩报酬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如有）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：若产品各份额实际投资收益在扣除托管费、销售服务费、投资管理费等费用后超过各份额业绩比较基准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下限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，产品管理人将按照超出部分的50%收取超额业绩报酬。产品存续期内理财产品将每日暂估超额业绩报酬，仅用于理财产品会计核算，并将扣除“暂估超额业绩报酬”后的理财产品份额净值按照说明书约定向投资者进行披露。理财产品实际收取的超额业绩报酬以到期日计提核算的数值为准。计算超额业绩报酬时，1年按365日计算。</w:t>
            </w:r>
          </w:p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22" w:leftChars="10" w:right="22" w:rightChars="10"/>
              <w:jc w:val="both"/>
              <w:textAlignment w:val="auto"/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highlight w:val="none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highlight w:val="none"/>
                <w:u w:val="single"/>
              </w:rPr>
              <w:t>本产品设置有多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highlight w:val="none"/>
                <w:u w:val="single"/>
                <w:lang w:val="en-US" w:eastAsia="zh-CN"/>
              </w:rPr>
              <w:t>类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highlight w:val="none"/>
                <w:u w:val="single"/>
              </w:rPr>
              <w:t>份额，各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highlight w:val="none"/>
                <w:u w:val="single"/>
                <w:lang w:val="en-US" w:eastAsia="zh-CN"/>
              </w:rPr>
              <w:t>类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highlight w:val="none"/>
                <w:u w:val="single"/>
              </w:rPr>
              <w:t>份额按照设置的销售对象和销售起点在不同的销售机构销售，各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highlight w:val="none"/>
                <w:u w:val="single"/>
                <w:lang w:val="en-US" w:eastAsia="zh-CN"/>
              </w:rPr>
              <w:t>类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highlight w:val="none"/>
                <w:u w:val="single"/>
              </w:rPr>
              <w:t>份额实际收取的销售服务费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highlight w:val="none"/>
                <w:u w:val="single"/>
                <w:lang w:val="en-US" w:eastAsia="zh-CN"/>
              </w:rPr>
              <w:t>率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highlight w:val="none"/>
                <w:u w:val="single"/>
              </w:rPr>
              <w:t>、投资管理费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highlight w:val="none"/>
                <w:u w:val="single"/>
                <w:lang w:val="en-US" w:eastAsia="zh-CN"/>
              </w:rPr>
              <w:t>率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highlight w:val="none"/>
                <w:u w:val="single"/>
              </w:rPr>
              <w:t>和超额业绩报酬（如有）可能存在差异，投资者应根据各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highlight w:val="none"/>
                <w:u w:val="single"/>
                <w:lang w:val="en-US" w:eastAsia="zh-CN"/>
              </w:rPr>
              <w:t>类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highlight w:val="none"/>
                <w:u w:val="single"/>
              </w:rPr>
              <w:t>份额收费情况自主选择购买。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wordWrap/>
              <w:topLinePunct w:val="0"/>
              <w:bidi w:val="0"/>
              <w:snapToGrid w:val="0"/>
              <w:spacing w:line="240" w:lineRule="auto"/>
              <w:ind w:right="57" w:rightChars="0"/>
              <w:jc w:val="both"/>
              <w:textAlignment w:val="auto"/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highlight w:val="none"/>
                <w:u w:val="single"/>
              </w:rPr>
              <w:t>产品存续期内管理人有权根据产品运行情况制定费率优惠措施，优惠后实际执行的费率以管理人公告为准。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bCs w:val="0"/>
                <w:spacing w:val="-2"/>
                <w:kern w:val="2"/>
                <w:sz w:val="18"/>
                <w:szCs w:val="18"/>
                <w:u w:val="single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  <w:t>收益分配</w:t>
            </w:r>
          </w:p>
        </w:tc>
        <w:tc>
          <w:tcPr>
            <w:tcW w:w="7937" w:type="dxa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9" w:leftChars="0" w:right="77" w:rightChars="35"/>
              <w:textAlignment w:val="auto"/>
              <w:rPr>
                <w:rFonts w:hint="eastAsia" w:ascii="楷体" w:hAnsi="楷体" w:eastAsia="楷体" w:cs="宋体"/>
                <w:b/>
                <w:bCs w:val="0"/>
                <w:spacing w:val="-2"/>
                <w:kern w:val="2"/>
                <w:sz w:val="18"/>
                <w:szCs w:val="18"/>
                <w:u w:val="single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本产品无分红机制，投资运作情况体现为产品净值变化。产品投资运作到期，投资收益扣除相关费用后，全部分配给投资者。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  <w:t>税款</w:t>
            </w:r>
          </w:p>
        </w:tc>
        <w:tc>
          <w:tcPr>
            <w:tcW w:w="793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snapToGrid w:val="0"/>
              <w:spacing w:line="240" w:lineRule="auto"/>
              <w:ind w:left="44" w:leftChars="20" w:right="44" w:rightChars="20"/>
              <w:textAlignment w:val="auto"/>
              <w:rPr>
                <w:rFonts w:hint="eastAsia" w:ascii="楷体" w:hAnsi="楷体" w:eastAsia="楷体" w:cs="宋体"/>
                <w:spacing w:val="-2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根据中国增值税等税收相关法律法规、税收政策等要求，产品应缴纳的增值税及附加税费（包括但不限于城市维护建设税、教育费附加及地方教育附加等）由管理人从理财产品财产中支付，由此可能会使理财产品净值或实际收益降低。</w:t>
            </w:r>
            <w:r>
              <w:rPr>
                <w:rFonts w:hint="eastAsia" w:ascii="楷体" w:hAnsi="楷体" w:eastAsia="楷体" w:cs="宋体"/>
                <w:b/>
                <w:bCs/>
                <w:color w:val="auto"/>
                <w:spacing w:val="-2"/>
                <w:sz w:val="18"/>
                <w:szCs w:val="18"/>
                <w:u w:val="single"/>
              </w:rPr>
              <w:t>投资者从理财产品取得的收益应缴纳的税款，由投资者自行申报及缴纳。</w:t>
            </w:r>
          </w:p>
        </w:tc>
      </w:tr>
    </w:tbl>
    <w:p>
      <w:pPr>
        <w:adjustRightInd/>
        <w:snapToGrid/>
        <w:spacing w:after="0"/>
        <w:ind w:firstLine="630"/>
        <w:jc w:val="center"/>
        <w:rPr>
          <w:rFonts w:ascii="仿宋_GB2312" w:hAnsi="微软雅黑" w:eastAsia="仿宋_GB2312" w:cs="宋体"/>
          <w:color w:val="FF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（更多具体要素请详阅产品说明书）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注意事项：</w:t>
      </w:r>
    </w:p>
    <w:p>
      <w:pPr>
        <w:adjustRightInd/>
        <w:snapToGrid/>
        <w:spacing w:after="0"/>
        <w:ind w:firstLine="640" w:firstLineChars="20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1.该产品销售要求参照我行理财销售相关规定执行。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2.相关产品销售文件见附件。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3.如有其他未尽事宜以私人银行部解释为准。</w:t>
      </w:r>
    </w:p>
    <w:p>
      <w:pPr>
        <w:adjustRightInd/>
        <w:snapToGrid/>
        <w:spacing w:after="0"/>
        <w:rPr>
          <w:rFonts w:ascii="微软雅黑" w:hAnsi="微软雅黑" w:cs="宋体"/>
          <w:color w:val="000000"/>
          <w:sz w:val="30"/>
          <w:szCs w:val="30"/>
        </w:rPr>
      </w:pP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附件：1.“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苏银理财恒源封闭债权225期优选2年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”理财产品说明书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2. 理财产品代理销售协议书、苏银理财有限责任公司理财产品投资协议书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3.“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苏银理财恒源封闭债权225期优选2年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”理财产品风险揭示书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4.苏银理财有限责任公司投资者权益须知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5. 个人客户风险承受能力评估表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6. 机构客户风险承受能力评估表</w:t>
      </w:r>
    </w:p>
    <w:p>
      <w:pPr>
        <w:adjustRightInd/>
        <w:snapToGrid/>
        <w:spacing w:after="0"/>
        <w:ind w:firstLine="5760"/>
        <w:rPr>
          <w:rFonts w:ascii="仿宋_GB2312" w:hAnsi="微软雅黑" w:eastAsia="仿宋_GB2312" w:cs="宋体"/>
          <w:color w:val="000000"/>
          <w:sz w:val="32"/>
          <w:szCs w:val="32"/>
        </w:rPr>
      </w:pPr>
    </w:p>
    <w:p>
      <w:pPr>
        <w:adjustRightInd/>
        <w:snapToGrid/>
        <w:spacing w:after="0"/>
        <w:ind w:firstLine="5760"/>
        <w:rPr>
          <w:rFonts w:ascii="仿宋_GB2312" w:hAnsi="微软雅黑" w:eastAsia="仿宋_GB2312" w:cs="宋体"/>
          <w:color w:val="000000"/>
          <w:sz w:val="32"/>
          <w:szCs w:val="32"/>
        </w:rPr>
      </w:pPr>
    </w:p>
    <w:p>
      <w:pPr>
        <w:adjustRightInd/>
        <w:snapToGrid/>
        <w:spacing w:after="0"/>
        <w:ind w:firstLine="576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私人银行部</w:t>
      </w:r>
    </w:p>
    <w:p>
      <w:pPr>
        <w:adjustRightInd/>
        <w:snapToGrid/>
        <w:spacing w:after="0"/>
        <w:ind w:firstLine="5445"/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2025年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val="en-US" w:eastAsia="zh-CN"/>
        </w:rPr>
        <w:t>9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val="en-US" w:eastAsia="zh-CN"/>
        </w:rPr>
        <w:t>15</w:t>
      </w:r>
      <w:bookmarkStart w:id="0" w:name="_GoBack"/>
      <w:bookmarkEnd w:id="0"/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日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浠垮畫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rsids>
    <w:rsidRoot w:val="00D31D50"/>
    <w:rsid w:val="00002A13"/>
    <w:rsid w:val="00014D89"/>
    <w:rsid w:val="0002233E"/>
    <w:rsid w:val="00025736"/>
    <w:rsid w:val="00030E86"/>
    <w:rsid w:val="00036368"/>
    <w:rsid w:val="0003731F"/>
    <w:rsid w:val="000430CA"/>
    <w:rsid w:val="00050465"/>
    <w:rsid w:val="000547BB"/>
    <w:rsid w:val="000618D3"/>
    <w:rsid w:val="0006322B"/>
    <w:rsid w:val="0006327A"/>
    <w:rsid w:val="000729EB"/>
    <w:rsid w:val="00074AD2"/>
    <w:rsid w:val="000812F4"/>
    <w:rsid w:val="000910E1"/>
    <w:rsid w:val="000936F7"/>
    <w:rsid w:val="00095294"/>
    <w:rsid w:val="000957AC"/>
    <w:rsid w:val="000A5028"/>
    <w:rsid w:val="000A7695"/>
    <w:rsid w:val="000B5C2A"/>
    <w:rsid w:val="000D30E3"/>
    <w:rsid w:val="000D3348"/>
    <w:rsid w:val="000E18A2"/>
    <w:rsid w:val="000E1FA9"/>
    <w:rsid w:val="000E7543"/>
    <w:rsid w:val="000F4049"/>
    <w:rsid w:val="0010440D"/>
    <w:rsid w:val="00110B5C"/>
    <w:rsid w:val="0011188B"/>
    <w:rsid w:val="00113224"/>
    <w:rsid w:val="001157D7"/>
    <w:rsid w:val="001225F8"/>
    <w:rsid w:val="00134BE7"/>
    <w:rsid w:val="0014766F"/>
    <w:rsid w:val="00152D94"/>
    <w:rsid w:val="00156217"/>
    <w:rsid w:val="00157799"/>
    <w:rsid w:val="0016069B"/>
    <w:rsid w:val="00160908"/>
    <w:rsid w:val="00170032"/>
    <w:rsid w:val="00174CF3"/>
    <w:rsid w:val="00174FC8"/>
    <w:rsid w:val="001810F6"/>
    <w:rsid w:val="00182785"/>
    <w:rsid w:val="00190048"/>
    <w:rsid w:val="00194C32"/>
    <w:rsid w:val="00196E1B"/>
    <w:rsid w:val="001A32AD"/>
    <w:rsid w:val="001A556D"/>
    <w:rsid w:val="001B2273"/>
    <w:rsid w:val="001B26D8"/>
    <w:rsid w:val="001D3092"/>
    <w:rsid w:val="001D40A6"/>
    <w:rsid w:val="001F3153"/>
    <w:rsid w:val="001F72B5"/>
    <w:rsid w:val="00201E20"/>
    <w:rsid w:val="00206F8F"/>
    <w:rsid w:val="00207F97"/>
    <w:rsid w:val="00214CF7"/>
    <w:rsid w:val="00216E71"/>
    <w:rsid w:val="002235BC"/>
    <w:rsid w:val="00233CED"/>
    <w:rsid w:val="00236FDA"/>
    <w:rsid w:val="00244EE2"/>
    <w:rsid w:val="002463C9"/>
    <w:rsid w:val="002513BD"/>
    <w:rsid w:val="00257856"/>
    <w:rsid w:val="00277323"/>
    <w:rsid w:val="002777A1"/>
    <w:rsid w:val="00283408"/>
    <w:rsid w:val="0028525D"/>
    <w:rsid w:val="002866F6"/>
    <w:rsid w:val="0029028F"/>
    <w:rsid w:val="002A2C83"/>
    <w:rsid w:val="002A3E43"/>
    <w:rsid w:val="002B1948"/>
    <w:rsid w:val="002C122F"/>
    <w:rsid w:val="002C248B"/>
    <w:rsid w:val="002C70E5"/>
    <w:rsid w:val="002D757D"/>
    <w:rsid w:val="002D7671"/>
    <w:rsid w:val="002E2A41"/>
    <w:rsid w:val="002E3ECB"/>
    <w:rsid w:val="002E7145"/>
    <w:rsid w:val="002F00B3"/>
    <w:rsid w:val="002F02FE"/>
    <w:rsid w:val="002F07C0"/>
    <w:rsid w:val="003059D5"/>
    <w:rsid w:val="00307AFA"/>
    <w:rsid w:val="00320D56"/>
    <w:rsid w:val="00322F4C"/>
    <w:rsid w:val="00323B43"/>
    <w:rsid w:val="00335FBE"/>
    <w:rsid w:val="003447B3"/>
    <w:rsid w:val="00347193"/>
    <w:rsid w:val="003476A4"/>
    <w:rsid w:val="00353BA9"/>
    <w:rsid w:val="00355E21"/>
    <w:rsid w:val="00357EB7"/>
    <w:rsid w:val="00361A72"/>
    <w:rsid w:val="00363805"/>
    <w:rsid w:val="00374AE2"/>
    <w:rsid w:val="00386CE1"/>
    <w:rsid w:val="00393219"/>
    <w:rsid w:val="003936A4"/>
    <w:rsid w:val="003936B9"/>
    <w:rsid w:val="003A15E6"/>
    <w:rsid w:val="003C0D6B"/>
    <w:rsid w:val="003C1D41"/>
    <w:rsid w:val="003C2C03"/>
    <w:rsid w:val="003D37D8"/>
    <w:rsid w:val="003D4715"/>
    <w:rsid w:val="003D710A"/>
    <w:rsid w:val="003E2BFC"/>
    <w:rsid w:val="003E5A9F"/>
    <w:rsid w:val="003F70AB"/>
    <w:rsid w:val="00410A33"/>
    <w:rsid w:val="00422AD1"/>
    <w:rsid w:val="00424A38"/>
    <w:rsid w:val="00426133"/>
    <w:rsid w:val="004349C0"/>
    <w:rsid w:val="004358AB"/>
    <w:rsid w:val="00443E90"/>
    <w:rsid w:val="00450005"/>
    <w:rsid w:val="00450C77"/>
    <w:rsid w:val="0045680A"/>
    <w:rsid w:val="00463028"/>
    <w:rsid w:val="00471A3B"/>
    <w:rsid w:val="004749F0"/>
    <w:rsid w:val="00476C3B"/>
    <w:rsid w:val="0047785F"/>
    <w:rsid w:val="0049140E"/>
    <w:rsid w:val="00496E4F"/>
    <w:rsid w:val="004B4CFA"/>
    <w:rsid w:val="004C175A"/>
    <w:rsid w:val="004C7CF2"/>
    <w:rsid w:val="004F0CCD"/>
    <w:rsid w:val="00510995"/>
    <w:rsid w:val="005168C5"/>
    <w:rsid w:val="005218F6"/>
    <w:rsid w:val="00523BDD"/>
    <w:rsid w:val="0052515C"/>
    <w:rsid w:val="00530F2D"/>
    <w:rsid w:val="0053663D"/>
    <w:rsid w:val="00536DF2"/>
    <w:rsid w:val="00537BF8"/>
    <w:rsid w:val="00540DC7"/>
    <w:rsid w:val="00543584"/>
    <w:rsid w:val="00543782"/>
    <w:rsid w:val="0055369F"/>
    <w:rsid w:val="0055709E"/>
    <w:rsid w:val="00566993"/>
    <w:rsid w:val="00566C07"/>
    <w:rsid w:val="00570005"/>
    <w:rsid w:val="005873AF"/>
    <w:rsid w:val="005A6CFB"/>
    <w:rsid w:val="005A7A21"/>
    <w:rsid w:val="005B1774"/>
    <w:rsid w:val="005B45CF"/>
    <w:rsid w:val="005C0D21"/>
    <w:rsid w:val="005C155D"/>
    <w:rsid w:val="005C31E9"/>
    <w:rsid w:val="005C4206"/>
    <w:rsid w:val="005C5781"/>
    <w:rsid w:val="005D072F"/>
    <w:rsid w:val="005D0DEE"/>
    <w:rsid w:val="005F2B78"/>
    <w:rsid w:val="00606205"/>
    <w:rsid w:val="00607358"/>
    <w:rsid w:val="00607EC0"/>
    <w:rsid w:val="00610019"/>
    <w:rsid w:val="006110FC"/>
    <w:rsid w:val="00611544"/>
    <w:rsid w:val="006128D5"/>
    <w:rsid w:val="006148C9"/>
    <w:rsid w:val="0061606F"/>
    <w:rsid w:val="00620A17"/>
    <w:rsid w:val="006214F4"/>
    <w:rsid w:val="006648D9"/>
    <w:rsid w:val="00677D5A"/>
    <w:rsid w:val="006919F0"/>
    <w:rsid w:val="006A1D72"/>
    <w:rsid w:val="006A48A0"/>
    <w:rsid w:val="006C44CC"/>
    <w:rsid w:val="006E08D8"/>
    <w:rsid w:val="006F04BE"/>
    <w:rsid w:val="006F7856"/>
    <w:rsid w:val="00701C74"/>
    <w:rsid w:val="0070239F"/>
    <w:rsid w:val="00702508"/>
    <w:rsid w:val="007121C4"/>
    <w:rsid w:val="00714B02"/>
    <w:rsid w:val="007248B8"/>
    <w:rsid w:val="00727337"/>
    <w:rsid w:val="0073205A"/>
    <w:rsid w:val="00732B85"/>
    <w:rsid w:val="00740E8C"/>
    <w:rsid w:val="00741563"/>
    <w:rsid w:val="007471D4"/>
    <w:rsid w:val="00747E0A"/>
    <w:rsid w:val="00750298"/>
    <w:rsid w:val="00761130"/>
    <w:rsid w:val="007673F5"/>
    <w:rsid w:val="007675CD"/>
    <w:rsid w:val="007745AD"/>
    <w:rsid w:val="00783419"/>
    <w:rsid w:val="00785657"/>
    <w:rsid w:val="007865C9"/>
    <w:rsid w:val="007873F2"/>
    <w:rsid w:val="00793A91"/>
    <w:rsid w:val="00796629"/>
    <w:rsid w:val="007A6260"/>
    <w:rsid w:val="007C416B"/>
    <w:rsid w:val="007C44C4"/>
    <w:rsid w:val="007D0528"/>
    <w:rsid w:val="007D35F2"/>
    <w:rsid w:val="007D3BB9"/>
    <w:rsid w:val="007D6855"/>
    <w:rsid w:val="00817472"/>
    <w:rsid w:val="00817F98"/>
    <w:rsid w:val="008201C5"/>
    <w:rsid w:val="00827FB9"/>
    <w:rsid w:val="008445DB"/>
    <w:rsid w:val="008450A8"/>
    <w:rsid w:val="008507C0"/>
    <w:rsid w:val="0085497C"/>
    <w:rsid w:val="00854BCB"/>
    <w:rsid w:val="0086092D"/>
    <w:rsid w:val="00862981"/>
    <w:rsid w:val="00867E9B"/>
    <w:rsid w:val="00884835"/>
    <w:rsid w:val="008930CD"/>
    <w:rsid w:val="00893277"/>
    <w:rsid w:val="00894AA0"/>
    <w:rsid w:val="00895EEF"/>
    <w:rsid w:val="00896D1C"/>
    <w:rsid w:val="008972C8"/>
    <w:rsid w:val="00897920"/>
    <w:rsid w:val="008A6AC1"/>
    <w:rsid w:val="008B008A"/>
    <w:rsid w:val="008B4334"/>
    <w:rsid w:val="008B450C"/>
    <w:rsid w:val="008B4E39"/>
    <w:rsid w:val="008B6523"/>
    <w:rsid w:val="008B7726"/>
    <w:rsid w:val="008C49E6"/>
    <w:rsid w:val="008D4402"/>
    <w:rsid w:val="008F2B7A"/>
    <w:rsid w:val="008F3B9E"/>
    <w:rsid w:val="008F7CA5"/>
    <w:rsid w:val="00903E35"/>
    <w:rsid w:val="00906053"/>
    <w:rsid w:val="00911DE1"/>
    <w:rsid w:val="00916AFD"/>
    <w:rsid w:val="0094064E"/>
    <w:rsid w:val="00951BFC"/>
    <w:rsid w:val="00953E58"/>
    <w:rsid w:val="00954AA4"/>
    <w:rsid w:val="0096633A"/>
    <w:rsid w:val="0096677C"/>
    <w:rsid w:val="00971266"/>
    <w:rsid w:val="00975280"/>
    <w:rsid w:val="00986A17"/>
    <w:rsid w:val="00986ED0"/>
    <w:rsid w:val="00996AC4"/>
    <w:rsid w:val="009A057A"/>
    <w:rsid w:val="009A5FF7"/>
    <w:rsid w:val="009A6871"/>
    <w:rsid w:val="009B21F1"/>
    <w:rsid w:val="009B2786"/>
    <w:rsid w:val="009B2C38"/>
    <w:rsid w:val="009D1D85"/>
    <w:rsid w:val="009D3818"/>
    <w:rsid w:val="009D5A75"/>
    <w:rsid w:val="009E16F2"/>
    <w:rsid w:val="009E18E4"/>
    <w:rsid w:val="009F7C7A"/>
    <w:rsid w:val="00A01DF4"/>
    <w:rsid w:val="00A215C9"/>
    <w:rsid w:val="00A30CF8"/>
    <w:rsid w:val="00A4169B"/>
    <w:rsid w:val="00A54155"/>
    <w:rsid w:val="00A65280"/>
    <w:rsid w:val="00A6775F"/>
    <w:rsid w:val="00A7707D"/>
    <w:rsid w:val="00A838DC"/>
    <w:rsid w:val="00A84AE0"/>
    <w:rsid w:val="00A90D0C"/>
    <w:rsid w:val="00A9135E"/>
    <w:rsid w:val="00A9294C"/>
    <w:rsid w:val="00AA23FA"/>
    <w:rsid w:val="00AB14BA"/>
    <w:rsid w:val="00AB4B2F"/>
    <w:rsid w:val="00AB6BA4"/>
    <w:rsid w:val="00AC33B2"/>
    <w:rsid w:val="00AC6774"/>
    <w:rsid w:val="00AD4C9C"/>
    <w:rsid w:val="00AE0AF2"/>
    <w:rsid w:val="00AE42D4"/>
    <w:rsid w:val="00AE6487"/>
    <w:rsid w:val="00B01B88"/>
    <w:rsid w:val="00B02F94"/>
    <w:rsid w:val="00B126A7"/>
    <w:rsid w:val="00B17CEE"/>
    <w:rsid w:val="00B20784"/>
    <w:rsid w:val="00B21220"/>
    <w:rsid w:val="00B22801"/>
    <w:rsid w:val="00B24A4C"/>
    <w:rsid w:val="00B252B4"/>
    <w:rsid w:val="00B27E33"/>
    <w:rsid w:val="00B305FC"/>
    <w:rsid w:val="00B33E38"/>
    <w:rsid w:val="00B4326E"/>
    <w:rsid w:val="00B73A10"/>
    <w:rsid w:val="00B86723"/>
    <w:rsid w:val="00B941A3"/>
    <w:rsid w:val="00B941AB"/>
    <w:rsid w:val="00B974A9"/>
    <w:rsid w:val="00BA2412"/>
    <w:rsid w:val="00BA7C4A"/>
    <w:rsid w:val="00BB0278"/>
    <w:rsid w:val="00BB554B"/>
    <w:rsid w:val="00BF73F3"/>
    <w:rsid w:val="00C00041"/>
    <w:rsid w:val="00C0423C"/>
    <w:rsid w:val="00C07A9F"/>
    <w:rsid w:val="00C15704"/>
    <w:rsid w:val="00C17395"/>
    <w:rsid w:val="00C23A87"/>
    <w:rsid w:val="00C344A1"/>
    <w:rsid w:val="00C468C3"/>
    <w:rsid w:val="00C50931"/>
    <w:rsid w:val="00C60359"/>
    <w:rsid w:val="00C61324"/>
    <w:rsid w:val="00C63EDB"/>
    <w:rsid w:val="00C66A8C"/>
    <w:rsid w:val="00C71423"/>
    <w:rsid w:val="00C77D66"/>
    <w:rsid w:val="00C849D4"/>
    <w:rsid w:val="00C858B2"/>
    <w:rsid w:val="00CA5843"/>
    <w:rsid w:val="00CA70DD"/>
    <w:rsid w:val="00CB16FF"/>
    <w:rsid w:val="00CB29BA"/>
    <w:rsid w:val="00CB2A01"/>
    <w:rsid w:val="00CB39C9"/>
    <w:rsid w:val="00CD21BA"/>
    <w:rsid w:val="00CD328F"/>
    <w:rsid w:val="00CD4295"/>
    <w:rsid w:val="00CD4F0F"/>
    <w:rsid w:val="00CD5295"/>
    <w:rsid w:val="00CD74BD"/>
    <w:rsid w:val="00CE0BFB"/>
    <w:rsid w:val="00CE0C36"/>
    <w:rsid w:val="00CE2CE5"/>
    <w:rsid w:val="00CF5224"/>
    <w:rsid w:val="00D0319E"/>
    <w:rsid w:val="00D10241"/>
    <w:rsid w:val="00D11BD4"/>
    <w:rsid w:val="00D30D95"/>
    <w:rsid w:val="00D31D50"/>
    <w:rsid w:val="00D33751"/>
    <w:rsid w:val="00D34922"/>
    <w:rsid w:val="00D35072"/>
    <w:rsid w:val="00D3536D"/>
    <w:rsid w:val="00D37D23"/>
    <w:rsid w:val="00D42DFD"/>
    <w:rsid w:val="00D4593C"/>
    <w:rsid w:val="00D476F9"/>
    <w:rsid w:val="00D51249"/>
    <w:rsid w:val="00D5218E"/>
    <w:rsid w:val="00D5491D"/>
    <w:rsid w:val="00D54FDC"/>
    <w:rsid w:val="00D57471"/>
    <w:rsid w:val="00D65F61"/>
    <w:rsid w:val="00D67754"/>
    <w:rsid w:val="00D7627A"/>
    <w:rsid w:val="00D763B7"/>
    <w:rsid w:val="00D8428B"/>
    <w:rsid w:val="00D92419"/>
    <w:rsid w:val="00DA20C2"/>
    <w:rsid w:val="00DA521E"/>
    <w:rsid w:val="00DA6344"/>
    <w:rsid w:val="00DB1998"/>
    <w:rsid w:val="00DB267C"/>
    <w:rsid w:val="00DC08E6"/>
    <w:rsid w:val="00DC09A0"/>
    <w:rsid w:val="00DC1A5A"/>
    <w:rsid w:val="00DC23CA"/>
    <w:rsid w:val="00DD1E41"/>
    <w:rsid w:val="00DD52AA"/>
    <w:rsid w:val="00DE103B"/>
    <w:rsid w:val="00DE145A"/>
    <w:rsid w:val="00DE39B7"/>
    <w:rsid w:val="00DF1569"/>
    <w:rsid w:val="00DF6EDD"/>
    <w:rsid w:val="00DF7361"/>
    <w:rsid w:val="00DF7E82"/>
    <w:rsid w:val="00E05633"/>
    <w:rsid w:val="00E210A0"/>
    <w:rsid w:val="00E328E5"/>
    <w:rsid w:val="00E342C9"/>
    <w:rsid w:val="00E37B32"/>
    <w:rsid w:val="00E42E54"/>
    <w:rsid w:val="00E4437E"/>
    <w:rsid w:val="00E51943"/>
    <w:rsid w:val="00E545D0"/>
    <w:rsid w:val="00E65FB9"/>
    <w:rsid w:val="00E73BDD"/>
    <w:rsid w:val="00E74D03"/>
    <w:rsid w:val="00E773E2"/>
    <w:rsid w:val="00E774C6"/>
    <w:rsid w:val="00E775F8"/>
    <w:rsid w:val="00E807D3"/>
    <w:rsid w:val="00E85118"/>
    <w:rsid w:val="00E85459"/>
    <w:rsid w:val="00E86AD3"/>
    <w:rsid w:val="00EA1489"/>
    <w:rsid w:val="00EA2655"/>
    <w:rsid w:val="00EB3586"/>
    <w:rsid w:val="00EC780B"/>
    <w:rsid w:val="00ED12F6"/>
    <w:rsid w:val="00ED576C"/>
    <w:rsid w:val="00EE0CF8"/>
    <w:rsid w:val="00EE3A96"/>
    <w:rsid w:val="00EE50F7"/>
    <w:rsid w:val="00EF297D"/>
    <w:rsid w:val="00EF76FE"/>
    <w:rsid w:val="00F04234"/>
    <w:rsid w:val="00F047DC"/>
    <w:rsid w:val="00F070F5"/>
    <w:rsid w:val="00F11CB2"/>
    <w:rsid w:val="00F20187"/>
    <w:rsid w:val="00F21AAA"/>
    <w:rsid w:val="00F21F5B"/>
    <w:rsid w:val="00F234C6"/>
    <w:rsid w:val="00F24E77"/>
    <w:rsid w:val="00F24FA8"/>
    <w:rsid w:val="00F34A59"/>
    <w:rsid w:val="00F474DE"/>
    <w:rsid w:val="00F634A7"/>
    <w:rsid w:val="00F7443F"/>
    <w:rsid w:val="00F805F0"/>
    <w:rsid w:val="00F825A1"/>
    <w:rsid w:val="00F9041B"/>
    <w:rsid w:val="00F94E57"/>
    <w:rsid w:val="00F957A8"/>
    <w:rsid w:val="00F96EC9"/>
    <w:rsid w:val="00FA233C"/>
    <w:rsid w:val="00FA5448"/>
    <w:rsid w:val="00FA792A"/>
    <w:rsid w:val="00FB04F3"/>
    <w:rsid w:val="00FB07AF"/>
    <w:rsid w:val="00FB39AB"/>
    <w:rsid w:val="00FC1CBF"/>
    <w:rsid w:val="00FC73A4"/>
    <w:rsid w:val="00FD35EB"/>
    <w:rsid w:val="00FE0475"/>
    <w:rsid w:val="00FF00D9"/>
    <w:rsid w:val="00FF24E9"/>
    <w:rsid w:val="016F45FB"/>
    <w:rsid w:val="017003AA"/>
    <w:rsid w:val="01CC0983"/>
    <w:rsid w:val="02716889"/>
    <w:rsid w:val="02C17743"/>
    <w:rsid w:val="039E030D"/>
    <w:rsid w:val="03AC2408"/>
    <w:rsid w:val="06B70A90"/>
    <w:rsid w:val="09777728"/>
    <w:rsid w:val="09FF56E8"/>
    <w:rsid w:val="0B911F88"/>
    <w:rsid w:val="0BDC2C86"/>
    <w:rsid w:val="0D061CD4"/>
    <w:rsid w:val="0D0F7A88"/>
    <w:rsid w:val="0D637775"/>
    <w:rsid w:val="0E2941CB"/>
    <w:rsid w:val="0E5F095A"/>
    <w:rsid w:val="0EB7539D"/>
    <w:rsid w:val="11E470A0"/>
    <w:rsid w:val="1302330E"/>
    <w:rsid w:val="1304263C"/>
    <w:rsid w:val="143940BA"/>
    <w:rsid w:val="15092D84"/>
    <w:rsid w:val="18024DC4"/>
    <w:rsid w:val="19211303"/>
    <w:rsid w:val="192D2B36"/>
    <w:rsid w:val="1A1928E2"/>
    <w:rsid w:val="1C392E2B"/>
    <w:rsid w:val="1C4E296B"/>
    <w:rsid w:val="1CC77981"/>
    <w:rsid w:val="1CD01DD6"/>
    <w:rsid w:val="1F554D78"/>
    <w:rsid w:val="1FF27F0A"/>
    <w:rsid w:val="221564E3"/>
    <w:rsid w:val="22BD0682"/>
    <w:rsid w:val="23C70A3F"/>
    <w:rsid w:val="259C3DDF"/>
    <w:rsid w:val="26480ADD"/>
    <w:rsid w:val="281D2B92"/>
    <w:rsid w:val="29382A8A"/>
    <w:rsid w:val="29637A76"/>
    <w:rsid w:val="2BC93191"/>
    <w:rsid w:val="2D032EEB"/>
    <w:rsid w:val="2E1F2395"/>
    <w:rsid w:val="2EAC37A0"/>
    <w:rsid w:val="2F505EBA"/>
    <w:rsid w:val="30CE7037"/>
    <w:rsid w:val="32242253"/>
    <w:rsid w:val="330A6248"/>
    <w:rsid w:val="33701575"/>
    <w:rsid w:val="346D37AA"/>
    <w:rsid w:val="349E665E"/>
    <w:rsid w:val="360B4A64"/>
    <w:rsid w:val="37D92952"/>
    <w:rsid w:val="39E61224"/>
    <w:rsid w:val="3A4F73C8"/>
    <w:rsid w:val="3A7137AE"/>
    <w:rsid w:val="3E7440B0"/>
    <w:rsid w:val="3E9C5C6C"/>
    <w:rsid w:val="3F5E6C02"/>
    <w:rsid w:val="42532033"/>
    <w:rsid w:val="437A0EFD"/>
    <w:rsid w:val="457468D3"/>
    <w:rsid w:val="471B4F9C"/>
    <w:rsid w:val="4727670F"/>
    <w:rsid w:val="488B669C"/>
    <w:rsid w:val="498D2846"/>
    <w:rsid w:val="4BC55E91"/>
    <w:rsid w:val="4DC360A2"/>
    <w:rsid w:val="4ED430B4"/>
    <w:rsid w:val="4F1F46B7"/>
    <w:rsid w:val="4FAB39C4"/>
    <w:rsid w:val="52C1180B"/>
    <w:rsid w:val="532B0103"/>
    <w:rsid w:val="53A7561E"/>
    <w:rsid w:val="549B2CC3"/>
    <w:rsid w:val="54F476EE"/>
    <w:rsid w:val="55301A66"/>
    <w:rsid w:val="569A1942"/>
    <w:rsid w:val="573E6F54"/>
    <w:rsid w:val="57962938"/>
    <w:rsid w:val="58A96CFC"/>
    <w:rsid w:val="59526AAF"/>
    <w:rsid w:val="599469F4"/>
    <w:rsid w:val="5A2D214F"/>
    <w:rsid w:val="5CDE2755"/>
    <w:rsid w:val="5D645228"/>
    <w:rsid w:val="5D6B5C61"/>
    <w:rsid w:val="5DD0768E"/>
    <w:rsid w:val="5E0B78D6"/>
    <w:rsid w:val="5F763953"/>
    <w:rsid w:val="62D1432C"/>
    <w:rsid w:val="65ED6841"/>
    <w:rsid w:val="66093535"/>
    <w:rsid w:val="6CE678C6"/>
    <w:rsid w:val="6DE74F9B"/>
    <w:rsid w:val="6F753C32"/>
    <w:rsid w:val="707F71F1"/>
    <w:rsid w:val="725222D3"/>
    <w:rsid w:val="73053858"/>
    <w:rsid w:val="730E7BA1"/>
    <w:rsid w:val="7409326A"/>
    <w:rsid w:val="7617396F"/>
    <w:rsid w:val="78950A33"/>
    <w:rsid w:val="7CD75C71"/>
    <w:rsid w:val="7DD325A0"/>
    <w:rsid w:val="7E2C223A"/>
    <w:rsid w:val="7FCD57D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/>
      <w:kern w:val="0"/>
      <w:sz w:val="20"/>
      <w:szCs w:val="21"/>
    </w:r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Hyperlink"/>
    <w:basedOn w:val="8"/>
    <w:semiHidden/>
    <w:unhideWhenUsed/>
    <w:qFormat/>
    <w:uiPriority w:val="99"/>
    <w:rPr>
      <w:color w:val="0000FF"/>
      <w:u w:val="single"/>
    </w:rPr>
  </w:style>
  <w:style w:type="character" w:customStyle="1" w:styleId="11">
    <w:name w:val="页眉 Char"/>
    <w:basedOn w:val="8"/>
    <w:link w:val="5"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Char"/>
    <w:basedOn w:val="8"/>
    <w:link w:val="4"/>
    <w:qFormat/>
    <w:uiPriority w:val="99"/>
    <w:rPr>
      <w:rFonts w:ascii="Tahoma" w:hAnsi="Tahoma"/>
      <w:sz w:val="18"/>
      <w:szCs w:val="18"/>
    </w:rPr>
  </w:style>
  <w:style w:type="character" w:customStyle="1" w:styleId="13">
    <w:name w:val="apple-converted-space"/>
    <w:basedOn w:val="8"/>
    <w:qFormat/>
    <w:uiPriority w:val="0"/>
  </w:style>
  <w:style w:type="character" w:customStyle="1" w:styleId="14">
    <w:name w:val="批注框文本 Char"/>
    <w:basedOn w:val="8"/>
    <w:link w:val="3"/>
    <w:semiHidden/>
    <w:qFormat/>
    <w:uiPriority w:val="99"/>
    <w:rPr>
      <w:rFonts w:ascii="Tahoma" w:hAnsi="Tahoma"/>
      <w:sz w:val="18"/>
      <w:szCs w:val="18"/>
    </w:rPr>
  </w:style>
  <w:style w:type="paragraph" w:customStyle="1" w:styleId="15">
    <w:name w:val="Table Paragraph"/>
    <w:basedOn w:val="1"/>
    <w:qFormat/>
    <w:uiPriority w:val="1"/>
    <w:pPr>
      <w:widowControl w:val="0"/>
      <w:autoSpaceDE w:val="0"/>
      <w:autoSpaceDN w:val="0"/>
      <w:snapToGrid/>
      <w:spacing w:after="0"/>
    </w:pPr>
    <w:rPr>
      <w:rFonts w:ascii="Times New Roman" w:hAnsi="Times New Roman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400</Words>
  <Characters>2280</Characters>
  <Lines>19</Lines>
  <Paragraphs>5</Paragraphs>
  <TotalTime>1</TotalTime>
  <ScaleCrop>false</ScaleCrop>
  <LinksUpToDate>false</LinksUpToDate>
  <CharactersWithSpaces>2675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user</cp:lastModifiedBy>
  <cp:lastPrinted>2021-06-03T04:20:00Z</cp:lastPrinted>
  <dcterms:modified xsi:type="dcterms:W3CDTF">2025-09-15T07:38:41Z</dcterms:modified>
  <cp:revision>396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048AEE60E7C840B2AF11B73D7D5F2800</vt:lpwstr>
  </property>
</Properties>
</file>