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6"/>
        </w:rPr>
        <w:t>关于代销苏银理财恒源</w:t>
      </w:r>
      <w:r>
        <w:rPr>
          <w:rFonts w:hint="eastAsia" w:ascii="宋体" w:hAnsi="宋体" w:eastAsia="宋体" w:cs="宋体"/>
          <w:b/>
          <w:bCs/>
          <w:sz w:val="36"/>
          <w:lang w:eastAsia="zh-CN"/>
        </w:rPr>
        <w:t>封闭债权183期</w:t>
      </w:r>
      <w:r>
        <w:rPr>
          <w:rFonts w:hint="eastAsia" w:ascii="宋体" w:hAnsi="宋体" w:eastAsia="宋体" w:cs="宋体"/>
          <w:b/>
          <w:bCs/>
          <w:sz w:val="36"/>
        </w:rPr>
        <w:t>的通知</w:t>
      </w:r>
    </w:p>
    <w:p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各分(支)行、总行营业部：</w:t>
      </w:r>
    </w:p>
    <w:p>
      <w:pPr>
        <w:adjustRightInd/>
        <w:snapToGrid/>
        <w:spacing w:after="0"/>
        <w:ind w:firstLine="63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我行代销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苏银理财有限责任公司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发行的苏银理财恒源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封闭债权183期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将</w:t>
      </w:r>
      <w:r>
        <w:rPr>
          <w:rFonts w:hint="eastAsia" w:ascii="仿宋_GB2312" w:hAnsi="微软雅黑" w:eastAsia="仿宋_GB2312" w:cs="宋体"/>
          <w:sz w:val="32"/>
          <w:szCs w:val="32"/>
        </w:rPr>
        <w:t>于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7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10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日9:00</w:t>
      </w:r>
      <w:r>
        <w:rPr>
          <w:rFonts w:hint="eastAsia" w:ascii="仿宋_GB2312" w:hAnsi="微软雅黑" w:eastAsia="仿宋_GB2312" w:cs="宋体"/>
          <w:sz w:val="32"/>
          <w:szCs w:val="32"/>
        </w:rPr>
        <w:t>至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7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16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日17:00</w:t>
      </w:r>
      <w:r>
        <w:rPr>
          <w:rFonts w:hint="eastAsia" w:ascii="仿宋_GB2312" w:hAnsi="微软雅黑" w:eastAsia="仿宋_GB2312" w:cs="宋体"/>
          <w:sz w:val="32"/>
          <w:szCs w:val="32"/>
        </w:rPr>
        <w:t>销售，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目前在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柜面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和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手机银行</w:t>
      </w:r>
      <w:r>
        <w:rPr>
          <w:rFonts w:hint="eastAsia" w:ascii="仿宋_GB2312" w:hAnsi="微软雅黑" w:eastAsia="仿宋_GB2312" w:cs="宋体"/>
          <w:color w:val="000000" w:themeColor="text1"/>
          <w:sz w:val="32"/>
          <w:szCs w:val="32"/>
        </w:rPr>
        <w:t>等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销售。销售服务费率为0.2%/年。部分要素如下：</w:t>
      </w:r>
    </w:p>
    <w:tbl>
      <w:tblPr>
        <w:tblStyle w:val="7"/>
        <w:tblW w:w="93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8"/>
        <w:gridCol w:w="7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产品名称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苏银理财恒源封闭债权183期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ind w:left="57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理财产品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ind w:left="57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登记编码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Z7003125000132，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投资者可依据该编码在中国理财网</w: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begin"/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instrText xml:space="preserve"> HYPERLINK "http://www.chinawealth.com.cn/" </w:instrTex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separate"/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t>www.chinawealth.com.cn</w: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end"/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查询产品信息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销售简称/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销售代码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right="57" w:rightChars="0"/>
              <w:jc w:val="both"/>
              <w:textAlignment w:val="auto"/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JS份额：苏银理财恒源封闭债权183期13月JS鑫福款/J05341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产品类型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  <w:t>固定收益类、公募、封闭式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产品内部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风险评级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left="57" w:leftChars="0" w:right="57" w:firstLine="0" w:firstLine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本理财产品经苏银理财内部风险评级为</w:t>
            </w: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u w:val="single"/>
              </w:rPr>
              <w:t>★★二级，适合中低风险型投资者，适合投资策略为稳健发展</w:t>
            </w: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u w:val="single"/>
                <w:lang w:val="en-US" w:eastAsia="zh-CN"/>
              </w:rPr>
              <w:t>的投资者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。本评级为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管理人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内部评级，由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管理人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根据理财产品的投资组合、同类产品过往业绩和风险状况等因素，对理财产品进行评级，仅供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投资者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参考。</w:t>
            </w:r>
          </w:p>
          <w:tbl>
            <w:tblPr>
              <w:tblStyle w:val="7"/>
              <w:tblW w:w="4291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15"/>
              <w:gridCol w:w="1498"/>
              <w:gridCol w:w="2042"/>
              <w:gridCol w:w="168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风险星级</w:t>
                  </w:r>
                </w:p>
              </w:tc>
              <w:tc>
                <w:tcPr>
                  <w:tcW w:w="1095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风险级别</w:t>
                  </w:r>
                </w:p>
              </w:tc>
              <w:tc>
                <w:tcPr>
                  <w:tcW w:w="1493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适合的投资者类别</w:t>
                  </w:r>
                </w:p>
              </w:tc>
              <w:tc>
                <w:tcPr>
                  <w:tcW w:w="1229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适合投资策略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tcBorders>
                    <w:bottom w:val="single" w:color="auto" w:sz="4" w:space="0"/>
                  </w:tcBorders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</w:t>
                  </w:r>
                </w:p>
              </w:tc>
              <w:tc>
                <w:tcPr>
                  <w:tcW w:w="1095" w:type="pct"/>
                  <w:tcBorders>
                    <w:bottom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一级（PR1）</w:t>
                  </w:r>
                </w:p>
              </w:tc>
              <w:tc>
                <w:tcPr>
                  <w:tcW w:w="1493" w:type="pct"/>
                  <w:tcBorders>
                    <w:bottom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低风险型</w:t>
                  </w:r>
                </w:p>
              </w:tc>
              <w:tc>
                <w:tcPr>
                  <w:tcW w:w="1229" w:type="pct"/>
                  <w:tcBorders>
                    <w:bottom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风险控制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★★</w:t>
                  </w:r>
                </w:p>
              </w:tc>
              <w:tc>
                <w:tcPr>
                  <w:tcW w:w="1095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二级（PR2）</w:t>
                  </w:r>
                </w:p>
              </w:tc>
              <w:tc>
                <w:tcPr>
                  <w:tcW w:w="1493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中低风险型</w:t>
                  </w:r>
                </w:p>
              </w:tc>
              <w:tc>
                <w:tcPr>
                  <w:tcW w:w="1229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稳健发展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</w:t>
                  </w:r>
                </w:p>
              </w:tc>
              <w:tc>
                <w:tcPr>
                  <w:tcW w:w="1095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三级（PR3）</w:t>
                  </w:r>
                </w:p>
              </w:tc>
              <w:tc>
                <w:tcPr>
                  <w:tcW w:w="1493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中风险型</w:t>
                  </w:r>
                </w:p>
              </w:tc>
              <w:tc>
                <w:tcPr>
                  <w:tcW w:w="1229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均衡发展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★★★★</w:t>
                  </w:r>
                </w:p>
              </w:tc>
              <w:tc>
                <w:tcPr>
                  <w:tcW w:w="1095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四级（PR4）</w:t>
                  </w:r>
                </w:p>
              </w:tc>
              <w:tc>
                <w:tcPr>
                  <w:tcW w:w="1493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中高风险型</w:t>
                  </w:r>
                </w:p>
              </w:tc>
              <w:tc>
                <w:tcPr>
                  <w:tcW w:w="1229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积极成长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★★★★★</w:t>
                  </w:r>
                </w:p>
              </w:tc>
              <w:tc>
                <w:tcPr>
                  <w:tcW w:w="1095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五级（PR5）</w:t>
                  </w:r>
                </w:p>
              </w:tc>
              <w:tc>
                <w:tcPr>
                  <w:tcW w:w="1493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高风险型</w:t>
                  </w:r>
                </w:p>
              </w:tc>
              <w:tc>
                <w:tcPr>
                  <w:tcW w:w="1229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风险承受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left="57" w:leftChars="0" w:right="57" w:firstLine="0" w:firstLineChars="0"/>
              <w:textAlignment w:val="auto"/>
              <w:rPr>
                <w:rFonts w:ascii="楷体" w:hAnsi="楷体" w:eastAsia="楷体"/>
                <w:b/>
                <w:sz w:val="18"/>
                <w:szCs w:val="18"/>
                <w:highlight w:val="none"/>
                <w:u w:val="single"/>
              </w:rPr>
            </w:pPr>
            <w:r>
              <w:rPr>
                <w:rFonts w:hint="eastAsia" w:ascii="楷体" w:hAnsi="楷体" w:eastAsia="楷体"/>
                <w:sz w:val="18"/>
                <w:szCs w:val="18"/>
                <w:highlight w:val="none"/>
                <w:lang w:val="en-US" w:eastAsia="zh-CN"/>
              </w:rPr>
              <w:t>2.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</w:rPr>
              <w:t>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销售评级与苏银理财产品评级结果不一致的，代理销售机构应当采用对应较高风险等级的评级结果并予以披露。</w:t>
            </w:r>
            <w:r>
              <w:rPr>
                <w:rFonts w:hint="eastAsia" w:ascii="楷体" w:hAnsi="楷体" w:eastAsia="楷体"/>
                <w:b/>
                <w:bCs/>
                <w:sz w:val="18"/>
                <w:szCs w:val="18"/>
                <w:highlight w:val="none"/>
                <w:u w:val="single"/>
              </w:rPr>
              <w:t>如本产品通过代理销售机构渠道销售，</w:t>
            </w:r>
            <w:r>
              <w:rPr>
                <w:rFonts w:hint="eastAsia" w:ascii="楷体" w:hAnsi="楷体" w:eastAsia="楷体"/>
                <w:b/>
                <w:sz w:val="18"/>
                <w:szCs w:val="18"/>
                <w:highlight w:val="none"/>
                <w:u w:val="single"/>
              </w:rPr>
              <w:t>理财产品评级以代理销售机构最终披露的评级结果为准。</w:t>
            </w:r>
          </w:p>
          <w:p>
            <w:pPr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销售机构负责完成投资者风险承受能力评估，并在遵循投资者适当性原则的前提下进行本理财产品的销售活动。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 xml:space="preserve">                                                                           </w:t>
            </w:r>
            <w:r>
              <w:rPr>
                <w:rFonts w:hint="eastAsia" w:ascii="仿宋" w:hAnsi="仿宋" w:eastAsia="仿宋"/>
                <w:b/>
                <w:color w:val="FF0000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b/>
                <w:color w:val="FF0000"/>
                <w:lang w:val="en-US" w:eastAsia="zh-CN"/>
              </w:rPr>
              <w:t>、</w:t>
            </w:r>
            <w:r>
              <w:rPr>
                <w:rFonts w:hint="eastAsia" w:ascii="仿宋" w:hAnsi="仿宋" w:eastAsia="仿宋"/>
                <w:b/>
                <w:color w:val="FF0000"/>
              </w:rPr>
              <w:t>紫金农商银行对本产品的风险评级为中低风险。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销售对象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面向个人和机构投资者销售。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募集币种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份额面值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1元/份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计划发行规模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 w:val="0"/>
                <w:color w:val="auto"/>
                <w:spacing w:val="-2"/>
                <w:kern w:val="0"/>
                <w:sz w:val="18"/>
                <w:szCs w:val="18"/>
                <w:u w:val="non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本产品计划发行规模为20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亿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元，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根据实际需要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调整计划发行规模。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最低发行规模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本产品最低发行规模为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3000万元，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  <w:t>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根据实际需要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  <w:t>调整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最低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  <w:t>发行规模。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若产品认购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规模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未达到最低发行规模，或新的法律、法规导致本产品无法合法合规运行，或出现其他导致影响产品成立不可抗力因素，产品管理人有权利但无义务宣布产品不成立，并于产品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结束后5个工作日内将投资者认购资金返还至投资者资金账户。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购买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起点</w:t>
            </w:r>
            <w:r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追加金额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JS份额购买起点金额为1元，追加金额为1元的整数倍；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各份额具体认购起点和追加金额以销售机构设置为准。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lang w:val="en-US" w:eastAsia="zh-CN"/>
              </w:rPr>
              <w:t>销售机构实际受理情况可能与产品说明书不一致，具体以销售机构设置为准。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认购方式及确认和认购份额的计算详见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eastAsia="zh-CN"/>
              </w:rPr>
              <w:t>产品说明书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“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七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、产品认购”。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日至202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16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募集期内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，投资者可于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募集期结束日交易闭市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前撤销认购申请，该时点后不得撤销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交易闭市具体以销售机构设置为准。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管理人在法律允许的范围内保留延长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或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缩短募集期的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权利。如有变动，实际产品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产品成立日/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份额登记日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2025年7月17日，如管理人调整募集期，则产品成立日/份额登记日将相应调整，以管理人公告为准。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终止日/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到期日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2026年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如遇节假日，顺延至下一工作日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在符合产品说明书约定的条件下，管理人有权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调整产品到期日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，产品到期日受制于提前终止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延期终止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条款。详见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“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八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、产品终止”。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9" w:leftChars="0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产品存续期限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38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天（以理财产品实际存续天数为准）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u w:val="single"/>
                <w:lang w:eastAsia="zh-CN"/>
              </w:rPr>
              <w:t>本产品运行期间，不开放申购、赎回。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</w:rPr>
              <w:t>单个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lang w:val="en-US" w:eastAsia="zh-CN"/>
              </w:rPr>
              <w:t>投资者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</w:rPr>
              <w:t>持有份额上限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单一投资者持有份额不得超过总份额50%。非因主观因素导致突破前款规定比例限制的，在单一投资者持有份额占理财产品总份额比例降至50%以下之前，不再接受该单一投资者对理财产品的认购申请。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9" w:leftChars="0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业绩比较基准（年化）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57" w:leftChars="0" w:right="57" w:rightChars="0"/>
              <w:jc w:val="left"/>
              <w:textAlignment w:val="auto"/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  <w:lang w:val="en-US" w:eastAsia="zh-CN"/>
              </w:rPr>
              <w:t>1.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苏银理财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参考过往投资经验，依据近期货币市场工具、债券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、非标准化债权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等资产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投资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收益水平，在产品说明书约定的投资范围和投资比例内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，综合考虑各份额收取的销售服务费和投资管理费的情况，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模拟测算得出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业绩比较基准。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57" w:leftChars="0" w:right="57" w:rightChars="0"/>
              <w:jc w:val="left"/>
              <w:textAlignment w:val="auto"/>
              <w:rPr>
                <w:rFonts w:hint="eastAsia" w:ascii="楷体" w:hAnsi="楷体" w:eastAsia="楷体" w:cs="宋体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  <w:lang w:val="en-US" w:eastAsia="zh-CN"/>
              </w:rPr>
              <w:t>2.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本产品各份额因收取的销售服务费和投资管理费存在差异，业绩比较基准设置将有所不同。</w:t>
            </w:r>
            <w:r>
              <w:rPr>
                <w:rFonts w:hint="eastAsia" w:ascii="楷体" w:hAnsi="楷体" w:eastAsia="楷体" w:cs="宋体"/>
                <w:spacing w:val="-2"/>
                <w:sz w:val="18"/>
                <w:szCs w:val="18"/>
              </w:rPr>
              <w:t>各份额业绩比较基准如下：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JS份额：2.60%-3.00%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3.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本产品为净值型产品，业绩表现将随市场波动，具有不确定性。业绩比较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基准是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管理人基于产品性质、投资策略、过往经验等因素对产品设定的投资目标。业绩比较基准不是预期收益率，不代表产品的未来表现和实际收益，不构成对产品收益的承诺。投资者的实际收益由产品净值表现决定。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4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产品费用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本产品费用包括托管费、销售服务费、投资管理费、超额业绩报酬（如有）以及产品运作和清算中产生的其他费用等。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1.托管费率（年化）：0.02%/年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lang w:val="en-US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2.销售服务费率（年化）：JS份额：0.20%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采用每日计提模式。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3.投资管理费率（年化）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：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JS份额：0.10%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4.超额业绩报酬：若产品各份额实际投资收益在扣除托管费、销售服务费、投资管理费等费用后超过各份额业绩比较基准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下限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产品管理人将按照超出部分的50%收取超额业绩报酬。产品存续期内理财产品将每日暂估超额业绩报酬，仅用于理财产品会计核算，并将扣除“暂估超额业绩报酬”后的理财产品份额净值按照说明书约定向投资者进行披露。理财产品实际收取的超额业绩报酬以到期日计提核算的数值为准。计算超额业绩报酬时，1年按365日计算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本产品设置有多个份额，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eastAsia="zh-CN"/>
              </w:rPr>
              <w:t>各份额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实际收取的销售服务费率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eastAsia="zh-CN"/>
              </w:rPr>
              <w:t>、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投资管理费率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和超额业绩报酬（如有）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可能存在差异，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投资者应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根据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各份额收费情况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自主选择购买。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若法律法规、国家监管政策或市场情况发生变化，管理人有权对已约定的收费项目、条件、标准和方式进行调整。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 w:val="0"/>
                <w:spacing w:val="-2"/>
                <w:sz w:val="18"/>
                <w:szCs w:val="18"/>
                <w:highlight w:val="none"/>
                <w:u w:val="single"/>
              </w:rPr>
              <w:t>产品存续期内管理人有权根据产品运行情况制定费率优惠措施，优惠后实际执行的费率以管理人公告为准</w:t>
            </w:r>
            <w:r>
              <w:rPr>
                <w:rFonts w:hint="eastAsia" w:ascii="楷体" w:hAnsi="楷体" w:eastAsia="楷体" w:cs="宋体"/>
                <w:b/>
                <w:bCs w:val="0"/>
                <w:spacing w:val="-2"/>
                <w:sz w:val="18"/>
                <w:szCs w:val="18"/>
                <w:highlight w:val="none"/>
                <w:u w:val="singl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kern w:val="2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收益分配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9" w:leftChars="0" w:right="77" w:rightChars="35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kern w:val="2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本产品无分红机制，投资运作情况体现为产品净值变化。产品投资运作到期，投资收益扣除相关费用后，全部分配给投资者。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税收规定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根据中国增值税等税收相关法律法规、税收政策等要求，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shd w:val="clear" w:color="auto" w:fill="auto"/>
                <w:lang w:val="en-US" w:eastAsia="zh-CN"/>
              </w:rPr>
              <w:t>产品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应缴纳的增值税及附加税费（包括但不限于城市维护建设税、教育费附加及地方教育附加等）由管理人从理财产品财产中支付，由此可能会使理财产品净值或实际收益降低。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u w:val="single"/>
              </w:rPr>
              <w:t>投资者从理财产品取得的收益应缴纳的税款，由投资者自行申报及缴纳。</w:t>
            </w:r>
          </w:p>
        </w:tc>
      </w:tr>
    </w:tbl>
    <w:p>
      <w:pPr>
        <w:adjustRightInd/>
        <w:snapToGrid/>
        <w:spacing w:after="0"/>
        <w:ind w:firstLine="630"/>
        <w:jc w:val="center"/>
        <w:rPr>
          <w:rFonts w:ascii="仿宋_GB2312" w:hAnsi="微软雅黑" w:eastAsia="仿宋_GB2312" w:cs="宋体"/>
          <w:color w:val="FF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（更多具体要素请详阅产品说明书）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注意事项：</w:t>
      </w:r>
    </w:p>
    <w:p>
      <w:pPr>
        <w:adjustRightInd/>
        <w:snapToGrid/>
        <w:spacing w:after="0"/>
        <w:ind w:firstLine="640" w:firstLineChars="20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1.该产品销售要求参照我行理财销售相关规定执行。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2.相关产品销售文件见附件。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3.如有其他未尽事宜以私人银行部解释为准。</w:t>
      </w:r>
    </w:p>
    <w:p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附件：1.“苏银理财恒源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封闭债权183期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”理财产品说明书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 理财产品代理销售协议书、苏银理财有限责任公司理财产品投资协议书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3.“苏银理财恒源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封闭债权183期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”理财产品风险揭示书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4.苏银理财有限责任公司投资者权益须知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5. 个人客户风险承受能力评估表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6. 机构客户风险承受能力评估表</w:t>
      </w:r>
    </w:p>
    <w:p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私人银行部</w:t>
      </w:r>
    </w:p>
    <w:p>
      <w:pPr>
        <w:adjustRightInd/>
        <w:snapToGrid/>
        <w:spacing w:after="0"/>
        <w:ind w:firstLine="5445"/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浠垮畫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A13"/>
    <w:rsid w:val="00014D89"/>
    <w:rsid w:val="0002233E"/>
    <w:rsid w:val="00025736"/>
    <w:rsid w:val="00030E86"/>
    <w:rsid w:val="00036368"/>
    <w:rsid w:val="0003731F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B26D8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2C83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472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057A"/>
    <w:rsid w:val="009A5FF7"/>
    <w:rsid w:val="009A6871"/>
    <w:rsid w:val="009B21F1"/>
    <w:rsid w:val="009B2786"/>
    <w:rsid w:val="009B2C38"/>
    <w:rsid w:val="009D1D85"/>
    <w:rsid w:val="009D3818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05FC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5F6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1569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12F6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34A59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2C17743"/>
    <w:rsid w:val="03AC2408"/>
    <w:rsid w:val="09777728"/>
    <w:rsid w:val="09FF56E8"/>
    <w:rsid w:val="0D061CD4"/>
    <w:rsid w:val="0D0F7A88"/>
    <w:rsid w:val="0D637775"/>
    <w:rsid w:val="11E470A0"/>
    <w:rsid w:val="1302330E"/>
    <w:rsid w:val="15092D84"/>
    <w:rsid w:val="168C5679"/>
    <w:rsid w:val="17FF34EC"/>
    <w:rsid w:val="18024DC4"/>
    <w:rsid w:val="191E5B42"/>
    <w:rsid w:val="19211303"/>
    <w:rsid w:val="1B56288E"/>
    <w:rsid w:val="1C4E296B"/>
    <w:rsid w:val="1CC77981"/>
    <w:rsid w:val="1CD01DD6"/>
    <w:rsid w:val="1DF50506"/>
    <w:rsid w:val="1FF27F0A"/>
    <w:rsid w:val="213F3C42"/>
    <w:rsid w:val="22BD0682"/>
    <w:rsid w:val="24D37CBE"/>
    <w:rsid w:val="259C3DDF"/>
    <w:rsid w:val="281D2B92"/>
    <w:rsid w:val="2BCB5281"/>
    <w:rsid w:val="2F505EBA"/>
    <w:rsid w:val="3293508A"/>
    <w:rsid w:val="346D37AA"/>
    <w:rsid w:val="360B4A64"/>
    <w:rsid w:val="36FF277C"/>
    <w:rsid w:val="37D92952"/>
    <w:rsid w:val="3A7137AE"/>
    <w:rsid w:val="3E7440B0"/>
    <w:rsid w:val="437A0EFD"/>
    <w:rsid w:val="471B4F9C"/>
    <w:rsid w:val="4727670F"/>
    <w:rsid w:val="488B669C"/>
    <w:rsid w:val="498D2846"/>
    <w:rsid w:val="4C0C1834"/>
    <w:rsid w:val="4DC360A2"/>
    <w:rsid w:val="52C1180B"/>
    <w:rsid w:val="53A7561E"/>
    <w:rsid w:val="53CF09D7"/>
    <w:rsid w:val="569A1942"/>
    <w:rsid w:val="573E6F54"/>
    <w:rsid w:val="59526AAF"/>
    <w:rsid w:val="59913D5D"/>
    <w:rsid w:val="599469F4"/>
    <w:rsid w:val="5C9C31B4"/>
    <w:rsid w:val="5D6B5C61"/>
    <w:rsid w:val="5F763953"/>
    <w:rsid w:val="65CE3D15"/>
    <w:rsid w:val="65ED6841"/>
    <w:rsid w:val="68E66671"/>
    <w:rsid w:val="699575F4"/>
    <w:rsid w:val="6A881455"/>
    <w:rsid w:val="6EFA6420"/>
    <w:rsid w:val="6F753C32"/>
    <w:rsid w:val="70440663"/>
    <w:rsid w:val="707F71F1"/>
    <w:rsid w:val="7163098E"/>
    <w:rsid w:val="73053858"/>
    <w:rsid w:val="730E7BA1"/>
    <w:rsid w:val="73A00AF1"/>
    <w:rsid w:val="7B6569FF"/>
    <w:rsid w:val="7CB7393A"/>
    <w:rsid w:val="7CD75C71"/>
    <w:rsid w:val="7DD325A0"/>
    <w:rsid w:val="7F53377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5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rFonts w:ascii="Tahoma" w:hAnsi="Tahoma"/>
      <w:sz w:val="18"/>
      <w:szCs w:val="18"/>
    </w:rPr>
  </w:style>
  <w:style w:type="character" w:customStyle="1" w:styleId="13">
    <w:name w:val="apple-converted-space"/>
    <w:basedOn w:val="8"/>
    <w:qFormat/>
    <w:uiPriority w:val="0"/>
  </w:style>
  <w:style w:type="character" w:customStyle="1" w:styleId="14">
    <w:name w:val="批注框文本 Char"/>
    <w:basedOn w:val="8"/>
    <w:link w:val="3"/>
    <w:semiHidden/>
    <w:qFormat/>
    <w:uiPriority w:val="99"/>
    <w:rPr>
      <w:rFonts w:ascii="Tahoma" w:hAnsi="Tahoma"/>
      <w:sz w:val="18"/>
      <w:szCs w:val="18"/>
    </w:rPr>
  </w:style>
  <w:style w:type="paragraph" w:customStyle="1" w:styleId="15">
    <w:name w:val="Table Paragraph"/>
    <w:basedOn w:val="1"/>
    <w:qFormat/>
    <w:uiPriority w:val="1"/>
    <w:pPr>
      <w:widowControl w:val="0"/>
      <w:autoSpaceDE w:val="0"/>
      <w:autoSpaceDN w:val="0"/>
      <w:snapToGrid/>
      <w:spacing w:after="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400</Words>
  <Characters>2280</Characters>
  <Lines>19</Lines>
  <Paragraphs>5</Paragraphs>
  <TotalTime>1</TotalTime>
  <ScaleCrop>false</ScaleCrop>
  <LinksUpToDate>false</LinksUpToDate>
  <CharactersWithSpaces>2675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user</cp:lastModifiedBy>
  <cp:lastPrinted>2021-06-03T04:20:00Z</cp:lastPrinted>
  <dcterms:modified xsi:type="dcterms:W3CDTF">2025-07-07T07:24:28Z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