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6"/>
        </w:rPr>
        <w:t>关于代销苏银理财恒源</w:t>
      </w:r>
      <w:r>
        <w:rPr>
          <w:rFonts w:hint="eastAsia" w:ascii="宋体" w:hAnsi="宋体" w:eastAsia="宋体" w:cs="宋体"/>
          <w:b/>
          <w:bCs/>
          <w:sz w:val="36"/>
          <w:lang w:eastAsia="zh-CN"/>
        </w:rPr>
        <w:t>封闭债权163期</w:t>
      </w:r>
      <w:r>
        <w:rPr>
          <w:rFonts w:hint="eastAsia" w:ascii="宋体" w:hAnsi="宋体" w:eastAsia="宋体" w:cs="宋体"/>
          <w:b/>
          <w:bCs/>
          <w:sz w:val="36"/>
        </w:rPr>
        <w:t>的通知</w:t>
      </w:r>
    </w:p>
    <w:p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各分(支)行、总行营业部：</w:t>
      </w:r>
    </w:p>
    <w:p>
      <w:pPr>
        <w:adjustRightInd/>
        <w:snapToGrid/>
        <w:spacing w:after="0"/>
        <w:ind w:firstLine="63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我行代销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苏银理财有限责任公司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发行的苏银理财恒源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封闭债权163期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将</w:t>
      </w:r>
      <w:r>
        <w:rPr>
          <w:rFonts w:hint="eastAsia" w:ascii="仿宋_GB2312" w:hAnsi="微软雅黑" w:eastAsia="仿宋_GB2312" w:cs="宋体"/>
          <w:sz w:val="32"/>
          <w:szCs w:val="32"/>
        </w:rPr>
        <w:t>于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6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5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日9:00</w:t>
      </w:r>
      <w:r>
        <w:rPr>
          <w:rFonts w:hint="eastAsia" w:ascii="仿宋_GB2312" w:hAnsi="微软雅黑" w:eastAsia="仿宋_GB2312" w:cs="宋体"/>
          <w:sz w:val="32"/>
          <w:szCs w:val="32"/>
        </w:rPr>
        <w:t>至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6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11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日17:00</w:t>
      </w:r>
      <w:r>
        <w:rPr>
          <w:rFonts w:hint="eastAsia" w:ascii="仿宋_GB2312" w:hAnsi="微软雅黑" w:eastAsia="仿宋_GB2312" w:cs="宋体"/>
          <w:sz w:val="32"/>
          <w:szCs w:val="32"/>
        </w:rPr>
        <w:t>销售，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目前在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柜面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和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手机银行</w:t>
      </w:r>
      <w:r>
        <w:rPr>
          <w:rFonts w:hint="eastAsia" w:ascii="仿宋_GB2312" w:hAnsi="微软雅黑" w:eastAsia="仿宋_GB2312" w:cs="宋体"/>
          <w:color w:val="000000" w:themeColor="text1"/>
          <w:sz w:val="32"/>
          <w:szCs w:val="32"/>
        </w:rPr>
        <w:t>等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销售。销售服务费率为0.2%/年。部分要素如下：</w:t>
      </w:r>
    </w:p>
    <w:tbl>
      <w:tblPr>
        <w:tblStyle w:val="6"/>
        <w:tblW w:w="8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8"/>
        <w:gridCol w:w="6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1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产品名称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恒源封闭债权163期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ind w:left="57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理财产品登记编码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hint="default" w:ascii="楷体" w:hAnsi="楷体" w:eastAsia="楷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Z7003125000096</w:t>
            </w:r>
          </w:p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（投资者可依据该编码在中国理财网</w:t>
            </w:r>
            <w:r>
              <w:fldChar w:fldCharType="begin"/>
            </w:r>
            <w:r>
              <w:instrText xml:space="preserve"> HYPERLINK "http://www.chinawealth.com.cn/" </w:instrText>
            </w:r>
            <w:r>
              <w:fldChar w:fldCharType="separate"/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www.chinawealth.com.cn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fldChar w:fldCharType="end"/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查询产品信息）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销售简称/销售代码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hint="default" w:ascii="楷体" w:hAnsi="楷体" w:eastAsia="楷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AJS份额：苏银理财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恒源封闭债权163期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13月AJS鑫福款/J04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669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产品管理人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产品托管人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产品内部风险评级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1、★★二级，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本评级为苏银理财有限责任公司内部评级，由苏银理财根据理财产品的投资组合、同类产品过往业绩和风险状况等因素，对理财产品进行评级，仅供客户参考。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、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销售评级与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产品评级结果不一致的，代理销售机构应当采用对应较高风险等级的评级结果并予以披露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3、如本产品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通过代理销售机构渠道销售，理财产品评级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以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代理销售机构最终披露的评级结果为准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。</w:t>
            </w:r>
          </w:p>
          <w:p>
            <w:pP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/>
                <w:b/>
                <w:color w:val="FF0000"/>
                <w:lang w:val="en-US" w:eastAsia="zh-CN"/>
              </w:rPr>
              <w:t>4、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b/>
                <w:color w:val="FF0000"/>
              </w:rPr>
              <w:t>紫金农商银行对本产品的风险评级为中低风险。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净值型（非保本浮动收益）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固定收益类、公募、封闭式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销售对象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AJS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份额面向个人和机构投资者销售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募集币种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计划发行规模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计划发行总规模：</w:t>
            </w: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10</w:t>
            </w:r>
            <w:r>
              <w:rPr>
                <w:rFonts w:hint="eastAsia" w:ascii="楷体" w:hAnsi="楷体" w:eastAsia="楷体"/>
                <w:szCs w:val="21"/>
              </w:rPr>
              <w:t>亿份。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募集过程中管理人有权根据产品的募集情况调整计划发行规模。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认购起点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  <w:t>/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追加金额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A</w:t>
            </w:r>
            <w:r>
              <w:rPr>
                <w:rFonts w:hint="eastAsia" w:ascii="楷体" w:hAnsi="楷体" w:eastAsia="楷体"/>
                <w:szCs w:val="21"/>
                <w:lang w:val="en-US" w:eastAsia="zh-CN"/>
              </w:rPr>
              <w:t>JS</w:t>
            </w:r>
            <w:r>
              <w:rPr>
                <w:rFonts w:hint="eastAsia" w:ascii="楷体" w:hAnsi="楷体" w:eastAsia="楷体"/>
                <w:szCs w:val="21"/>
              </w:rPr>
              <w:t>份额购买起点金额为1元，追加金额为1元的整数倍；（具体以销售机构设置为准）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认购资金的清算和认购份额的计算详见</w:t>
            </w:r>
            <w:r>
              <w:rPr>
                <w:rFonts w:hint="eastAsia" w:ascii="楷体" w:hAnsi="楷体" w:eastAsia="楷体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/>
                <w:szCs w:val="21"/>
              </w:rPr>
              <w:t>“八、产品认购”。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份额面值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1元/份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募集期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日9:00至202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日17:00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管理人在法律允许的范围内保留延长或提前终止产品募集期的权利。如有变动，实际产品募集期以管理人公告为准。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产品成立日/份额登记日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若产品认购份额未达到最低发行总规模3000万，或新的法律、法规导致本产品无法合法合规运行，或出现其他导致影响产品成立不可抗力因素，产品管理人有权利但无义务宣布产品不成立，并于产品募集期结束后5个工作日内将投资者认购资金返还至投资者资金账户，募集期及资金在途期间投资者投资本金不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产品到期日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日（如遇节假日，顺延至下一工作日）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在符合产品说明书约定的条件下，管理人有权提前终止该产品，产品到期日受制于提前终止条款。详见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产品存续期限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  <w:lang w:val="en-US" w:eastAsia="zh-CN"/>
              </w:rPr>
              <w:t>390</w:t>
            </w: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天（以理财产品实际存续天数为准），</w:t>
            </w:r>
            <w:r>
              <w:rPr>
                <w:rFonts w:hint="eastAsia" w:ascii="楷体" w:hAnsi="楷体" w:eastAsia="楷体" w:cs="Calibri"/>
                <w:b/>
                <w:szCs w:val="21"/>
                <w:u w:val="single"/>
              </w:rPr>
              <w:t>本产品运行期间，不开放申购、赎回。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单个客户持有份额上限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单一投资者持有份额不得超过总份额50%；非因主观因素导致突破前款规定比例限制的，在单一投资者持有份额占理财产品总份额比例降至50%以下之前，不再接受该单一投资者对理财产品的认购申请。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业绩比较基准（年化）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37"/>
              <w:ind w:left="22" w:leftChars="10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苏银理财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参考过往投资经验，依据近期货币市场工具、债券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、非标准化债权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等资产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投资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收益水平，在产品说明书约定的投资范围和投资比例内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，综合考虑各份额收取的销售服务费和投资管理费的情况，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模拟测算得出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业绩比较基准。本产品各份额因收取的销售服务费和投资管理费存在差异，业绩比较基准设置将有所不同。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各份额业绩比较基准如下：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A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  <w:lang w:val="en-US" w:eastAsia="zh-CN"/>
              </w:rPr>
              <w:t>JS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份额：年化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  <w:lang w:val="en-US" w:eastAsia="zh-CN"/>
              </w:rPr>
              <w:t>2.85%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b/>
                <w:spacing w:val="-2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本产品为净值型产品，业绩表现将随市场波动，具有不确定性。业绩比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较基准为管理人对本产品所设定的投资目标，不代表理财产品未来表现，不等于理财产品实际收益，不构成管理人对产品实际投资收益率的承诺或担保，投资者的实际收益由产品净值表现决定。产品存续期内管理人有权根据市场情况调整业绩比较基准，如有调整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产品费用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本产品费用包括托管费、销售服务费、投资管理费、超额业绩报酬（如有）以及产品运作和清算中产生的其他费用等。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1.托管费率：0.02%/年；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2.销售服务费率：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  <w:lang w:val="en-US" w:eastAsia="zh-CN"/>
              </w:rPr>
              <w:t>AJS份额0.20%/年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；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3.投资管理费率：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  <w:lang w:val="en-US" w:eastAsia="zh-CN"/>
              </w:rPr>
              <w:t>AJS份额0.01%/年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；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4.超额业绩报酬：若产品各份额实际投资收益在扣除托管费、销售服务费、投资管理费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val="en-US" w:eastAsia="zh-CN"/>
              </w:rPr>
              <w:t>等费用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后超过各份额业绩比较基准，产品管理人将按照超出部分的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0%收取超额业绩报酬。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产品存续期内理财产品将每日暂估超额业绩报酬，仅用于理财产品会计核算，并将扣除“暂估超额业绩报酬”后的理财产品份额净值按照说明书约定向投资者进行披露。理财产品实际的超额业绩报酬以到期日计提核算的数值为准。计算累计年化收益率和业绩比较基准时，1年按365日计算。</w:t>
            </w:r>
          </w:p>
          <w:p>
            <w:pPr>
              <w:ind w:left="59" w:right="77" w:rightChars="35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产品存续期内苏银理财可对费用进行调整，实际收取费率以管理人公告为准。</w:t>
            </w: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本产品设置有多个份额，各份额按照设置的销售对象和销售起点进行销售，各份额实际收取的销售服务费率和投资管理费率可能存在差异，客户根据产品销售时设置的条件自主选择购买。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估值日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每周估值，并于估值日后第2个工作日内，通过本产品说明书约定方式披露产品单位净值。详见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“九、产品估值”。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信息披露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管理人将按照《产品说明书》中约定的方式进行信息披露，详见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“十四、信息披露”。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收益分配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本产品无分红机制，投资运作情况体现为产品净值变化。产品投资运作到期，投资收益扣除相关费用后，全部分配给投资者。</w:t>
            </w:r>
            <w:r>
              <w:rPr>
                <w:rFonts w:ascii="楷体" w:hAnsi="楷体" w:eastAsia="楷体" w:cs="宋体"/>
                <w:spacing w:val="-2"/>
                <w:szCs w:val="21"/>
              </w:rPr>
              <w:t>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税款</w:t>
            </w:r>
          </w:p>
        </w:tc>
        <w:tc>
          <w:tcPr>
            <w:tcW w:w="6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本产品运作过程中涉及的各纳税主体，其纳税义务按国家税收法律、法规执行。详见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 xml:space="preserve">“十二、税收规定”。 </w:t>
            </w:r>
          </w:p>
        </w:tc>
      </w:tr>
    </w:tbl>
    <w:p>
      <w:pPr>
        <w:adjustRightInd/>
        <w:snapToGrid/>
        <w:spacing w:after="0"/>
        <w:ind w:firstLine="630"/>
        <w:jc w:val="center"/>
        <w:rPr>
          <w:rFonts w:ascii="仿宋_GB2312" w:hAnsi="微软雅黑" w:eastAsia="仿宋_GB2312" w:cs="宋体"/>
          <w:color w:val="FF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（更多具体要素请详阅产品说明书）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注意事项：</w:t>
      </w:r>
    </w:p>
    <w:p>
      <w:pPr>
        <w:adjustRightInd/>
        <w:snapToGrid/>
        <w:spacing w:after="0"/>
        <w:ind w:firstLine="640" w:firstLineChars="20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1.该产品销售要求参照我行自营理财销售相关规定执行。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2.相关产品销售文件见附件。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3.如有其他未尽事宜以私人银行部解释为准。</w:t>
      </w:r>
    </w:p>
    <w:p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附件：1.“苏银理财恒源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封闭债权163期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”理财产品说明书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 理财产品代理销售协议书、苏银理财有限责任公司理财产品投资协议书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3.“苏银理财恒源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封闭债权163期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”理财产品风险揭示书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4.苏银理财有限责任公司投资者权益须知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5. 个人客户风险承受能力评估表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6. 机构客户风险承受能力评估表</w:t>
      </w:r>
    </w:p>
    <w:p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私人银行部</w:t>
      </w:r>
    </w:p>
    <w:p>
      <w:pPr>
        <w:adjustRightInd/>
        <w:snapToGrid/>
        <w:spacing w:after="0"/>
        <w:ind w:firstLine="5445"/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A13"/>
    <w:rsid w:val="00014D89"/>
    <w:rsid w:val="0002233E"/>
    <w:rsid w:val="00025736"/>
    <w:rsid w:val="00030E86"/>
    <w:rsid w:val="00036368"/>
    <w:rsid w:val="0003731F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B26D8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2C83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472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057A"/>
    <w:rsid w:val="009A5FF7"/>
    <w:rsid w:val="009A6871"/>
    <w:rsid w:val="009B21F1"/>
    <w:rsid w:val="009B2786"/>
    <w:rsid w:val="009B2C38"/>
    <w:rsid w:val="009D1D85"/>
    <w:rsid w:val="009D3818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05FC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5F6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1569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12F6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34A59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2C17743"/>
    <w:rsid w:val="03AC2408"/>
    <w:rsid w:val="09777728"/>
    <w:rsid w:val="09FF56E8"/>
    <w:rsid w:val="0D061CD4"/>
    <w:rsid w:val="0D0F7A88"/>
    <w:rsid w:val="0D637775"/>
    <w:rsid w:val="11E470A0"/>
    <w:rsid w:val="1302330E"/>
    <w:rsid w:val="15092D84"/>
    <w:rsid w:val="18024DC4"/>
    <w:rsid w:val="19211303"/>
    <w:rsid w:val="1B56288E"/>
    <w:rsid w:val="1C4E296B"/>
    <w:rsid w:val="1CC77981"/>
    <w:rsid w:val="1CD01DD6"/>
    <w:rsid w:val="1FF27F0A"/>
    <w:rsid w:val="213F3C42"/>
    <w:rsid w:val="22BD0682"/>
    <w:rsid w:val="259C3DDF"/>
    <w:rsid w:val="281D2B92"/>
    <w:rsid w:val="2F505EBA"/>
    <w:rsid w:val="346D37AA"/>
    <w:rsid w:val="360B4A64"/>
    <w:rsid w:val="36FF277C"/>
    <w:rsid w:val="37D92952"/>
    <w:rsid w:val="3A7137AE"/>
    <w:rsid w:val="3E7440B0"/>
    <w:rsid w:val="437A0EFD"/>
    <w:rsid w:val="471B4F9C"/>
    <w:rsid w:val="4727670F"/>
    <w:rsid w:val="488B669C"/>
    <w:rsid w:val="498D2846"/>
    <w:rsid w:val="4DC360A2"/>
    <w:rsid w:val="52C1180B"/>
    <w:rsid w:val="53A7561E"/>
    <w:rsid w:val="569A1942"/>
    <w:rsid w:val="573E6F54"/>
    <w:rsid w:val="59526AAF"/>
    <w:rsid w:val="599469F4"/>
    <w:rsid w:val="5D6B5C61"/>
    <w:rsid w:val="5F763953"/>
    <w:rsid w:val="65CE3D15"/>
    <w:rsid w:val="65ED6841"/>
    <w:rsid w:val="6EFA6420"/>
    <w:rsid w:val="6F753C32"/>
    <w:rsid w:val="707F71F1"/>
    <w:rsid w:val="73053858"/>
    <w:rsid w:val="730E7BA1"/>
    <w:rsid w:val="7CB7393A"/>
    <w:rsid w:val="7CD75C71"/>
    <w:rsid w:val="7DD325A0"/>
    <w:rsid w:val="7F53377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rFonts w:ascii="Tahoma" w:hAnsi="Tahoma"/>
      <w:sz w:val="18"/>
      <w:szCs w:val="18"/>
    </w:rPr>
  </w:style>
  <w:style w:type="character" w:customStyle="1" w:styleId="12">
    <w:name w:val="apple-converted-space"/>
    <w:basedOn w:val="7"/>
    <w:qFormat/>
    <w:uiPriority w:val="0"/>
  </w:style>
  <w:style w:type="character" w:customStyle="1" w:styleId="13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  <w:style w:type="paragraph" w:customStyle="1" w:styleId="14">
    <w:name w:val="Table Paragraph"/>
    <w:basedOn w:val="1"/>
    <w:qFormat/>
    <w:uiPriority w:val="1"/>
    <w:pPr>
      <w:widowControl w:val="0"/>
      <w:autoSpaceDE w:val="0"/>
      <w:autoSpaceDN w:val="0"/>
      <w:snapToGrid/>
      <w:spacing w:after="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400</Words>
  <Characters>2280</Characters>
  <Lines>19</Lines>
  <Paragraphs>5</Paragraphs>
  <TotalTime>0</TotalTime>
  <ScaleCrop>false</ScaleCrop>
  <LinksUpToDate>false</LinksUpToDate>
  <CharactersWithSpaces>2675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user</cp:lastModifiedBy>
  <cp:lastPrinted>2021-06-03T04:20:00Z</cp:lastPrinted>
  <dcterms:modified xsi:type="dcterms:W3CDTF">2025-06-03T01:56:58Z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