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D80BDE" w:rsidRPr="00D80BDE">
        <w:rPr>
          <w:rFonts w:ascii="宋体" w:eastAsia="宋体" w:hAnsi="宋体" w:cs="宋体" w:hint="eastAsia"/>
          <w:b/>
          <w:bCs/>
          <w:sz w:val="36"/>
        </w:rPr>
        <w:t>恒源</w:t>
      </w:r>
      <w:r w:rsidR="00F4790A">
        <w:rPr>
          <w:rFonts w:ascii="宋体" w:eastAsia="宋体" w:hAnsi="宋体" w:cs="宋体" w:hint="eastAsia"/>
          <w:b/>
          <w:bCs/>
          <w:sz w:val="36"/>
        </w:rPr>
        <w:t>1年定开9期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710225"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D80BDE" w:rsidRPr="00D80BDE">
        <w:rPr>
          <w:rFonts w:ascii="仿宋_GB2312" w:eastAsia="仿宋_GB2312" w:hAnsi="微软雅黑" w:cs="宋体" w:hint="eastAsia"/>
          <w:color w:val="000000"/>
          <w:sz w:val="32"/>
          <w:szCs w:val="32"/>
        </w:rPr>
        <w:t>恒源</w:t>
      </w:r>
      <w:r w:rsidR="00F4790A">
        <w:rPr>
          <w:rFonts w:ascii="仿宋_GB2312" w:eastAsia="仿宋_GB2312" w:hAnsi="微软雅黑" w:cs="宋体" w:hint="eastAsia"/>
          <w:color w:val="000000"/>
          <w:sz w:val="32"/>
          <w:szCs w:val="32"/>
        </w:rPr>
        <w:t>1年定开9期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5F0A86">
        <w:rPr>
          <w:rFonts w:ascii="仿宋_GB2312" w:eastAsia="仿宋_GB2312" w:hAnsi="微软雅黑" w:cs="宋体" w:hint="eastAsia"/>
          <w:color w:val="FF0000"/>
          <w:sz w:val="32"/>
          <w:szCs w:val="32"/>
        </w:rPr>
        <w:t>5</w:t>
      </w:r>
      <w:r>
        <w:rPr>
          <w:rFonts w:ascii="仿宋_GB2312" w:eastAsia="仿宋_GB2312" w:hAnsi="微软雅黑" w:cs="宋体" w:hint="eastAsia"/>
          <w:color w:val="FF0000"/>
          <w:sz w:val="32"/>
          <w:szCs w:val="32"/>
        </w:rPr>
        <w:t>月</w:t>
      </w:r>
      <w:r w:rsidR="00E5321F">
        <w:rPr>
          <w:rFonts w:ascii="仿宋_GB2312" w:eastAsia="仿宋_GB2312" w:hAnsi="微软雅黑" w:cs="宋体" w:hint="eastAsia"/>
          <w:color w:val="FF0000"/>
          <w:sz w:val="32"/>
          <w:szCs w:val="32"/>
        </w:rPr>
        <w:t>2</w:t>
      </w:r>
      <w:r w:rsidR="00E6050D">
        <w:rPr>
          <w:rFonts w:ascii="仿宋_GB2312" w:eastAsia="仿宋_GB2312" w:hAnsi="微软雅黑" w:cs="宋体" w:hint="eastAsia"/>
          <w:color w:val="FF0000"/>
          <w:sz w:val="32"/>
          <w:szCs w:val="32"/>
        </w:rPr>
        <w:t>8</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921873">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C15DFD">
        <w:rPr>
          <w:rFonts w:ascii="仿宋_GB2312" w:eastAsia="仿宋_GB2312" w:hAnsi="微软雅黑" w:cs="宋体" w:hint="eastAsia"/>
          <w:color w:val="FF0000"/>
          <w:sz w:val="32"/>
          <w:szCs w:val="32"/>
        </w:rPr>
        <w:t>6</w:t>
      </w:r>
      <w:r>
        <w:rPr>
          <w:rFonts w:ascii="仿宋_GB2312" w:eastAsia="仿宋_GB2312" w:hAnsi="微软雅黑" w:cs="宋体" w:hint="eastAsia"/>
          <w:color w:val="FF0000"/>
          <w:sz w:val="32"/>
          <w:szCs w:val="32"/>
        </w:rPr>
        <w:t>月</w:t>
      </w:r>
      <w:r w:rsidR="00C15DFD">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日17:00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B325DB">
        <w:rPr>
          <w:rFonts w:ascii="仿宋_GB2312" w:eastAsia="仿宋_GB2312" w:hAnsi="微软雅黑" w:cs="宋体" w:hint="eastAsia"/>
          <w:b/>
          <w:color w:val="FF0000"/>
          <w:sz w:val="32"/>
          <w:szCs w:val="32"/>
        </w:rPr>
        <w:t>和柜面</w:t>
      </w:r>
      <w:r w:rsidR="006854AC" w:rsidRPr="006854AC">
        <w:rPr>
          <w:rFonts w:ascii="仿宋_GB2312" w:eastAsia="仿宋_GB2312" w:hAnsi="微软雅黑" w:cs="宋体" w:hint="eastAsia"/>
          <w:b/>
          <w:sz w:val="32"/>
          <w:szCs w:val="32"/>
        </w:rPr>
        <w:t>等</w:t>
      </w:r>
      <w:r w:rsidR="00BA4BCB">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292F0B">
        <w:rPr>
          <w:rFonts w:ascii="仿宋_GB2312" w:eastAsia="仿宋_GB2312" w:hAnsi="微软雅黑" w:cs="宋体" w:hint="eastAsia"/>
          <w:color w:val="000000"/>
          <w:sz w:val="32"/>
          <w:szCs w:val="32"/>
        </w:rPr>
        <w:t>销售服务费率：A份额0.30%/年，B份额0.25%/年</w:t>
      </w:r>
      <w:r w:rsidR="00710225">
        <w:rPr>
          <w:rFonts w:ascii="仿宋_GB2312" w:eastAsia="仿宋_GB2312" w:hAnsi="微软雅黑" w:cs="宋体" w:hint="eastAsia"/>
          <w:color w:val="000000"/>
          <w:sz w:val="32"/>
          <w:szCs w:val="32"/>
        </w:rPr>
        <w:t>。</w:t>
      </w:r>
      <w:r>
        <w:rPr>
          <w:rFonts w:ascii="仿宋_GB2312" w:eastAsia="仿宋_GB2312" w:hAnsi="微软雅黑" w:cs="宋体" w:hint="eastAsia"/>
          <w:color w:val="000000"/>
          <w:sz w:val="32"/>
          <w:szCs w:val="32"/>
        </w:rPr>
        <w:t>部分要素如下：</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8"/>
        <w:gridCol w:w="6614"/>
      </w:tblGrid>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苏银理财恒源1年定开9期</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Z7003121000031</w:t>
            </w:r>
          </w:p>
          <w:p w:rsidR="00F4790A" w:rsidRDefault="00F4790A" w:rsidP="00F4790A">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（投资者可依据该编码在中国理财网</w:t>
            </w:r>
            <w:hyperlink r:id="rId8" w:history="1">
              <w:r>
                <w:rPr>
                  <w:rStyle w:val="a8"/>
                  <w:rFonts w:ascii="楷体" w:eastAsia="楷体" w:hAnsi="楷体" w:cs="宋体" w:hint="eastAsia"/>
                  <w:color w:val="auto"/>
                  <w:spacing w:val="-2"/>
                  <w:sz w:val="21"/>
                  <w:szCs w:val="21"/>
                  <w:u w:val="none"/>
                </w:rPr>
                <w:t>www.chinawealth.com.cn</w:t>
              </w:r>
            </w:hyperlink>
            <w:r>
              <w:rPr>
                <w:rFonts w:ascii="楷体" w:eastAsia="楷体" w:hAnsi="楷体" w:cs="宋体" w:hint="eastAsia"/>
                <w:spacing w:val="-2"/>
                <w:sz w:val="21"/>
                <w:szCs w:val="21"/>
              </w:rPr>
              <w:t>查询产品信息）</w:t>
            </w:r>
          </w:p>
        </w:tc>
      </w:tr>
      <w:tr w:rsidR="00F4790A" w:rsidTr="00F4790A">
        <w:trPr>
          <w:trHeight w:val="1605"/>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4" w:type="dxa"/>
            <w:tcBorders>
              <w:top w:val="single" w:sz="4" w:space="0" w:color="auto"/>
              <w:left w:val="single" w:sz="4" w:space="0" w:color="auto"/>
              <w:bottom w:val="single" w:sz="4" w:space="0" w:color="auto"/>
              <w:right w:val="single" w:sz="4" w:space="0" w:color="auto"/>
            </w:tcBorders>
            <w:vAlign w:val="center"/>
          </w:tcPr>
          <w:p w:rsidR="00F4790A" w:rsidRDefault="00F4790A" w:rsidP="00F4790A">
            <w:pPr>
              <w:pStyle w:val="TableParagraph"/>
              <w:kinsoku w:val="0"/>
              <w:overflowPunct w:val="0"/>
              <w:ind w:rightChars="35" w:right="77"/>
              <w:jc w:val="both"/>
              <w:rPr>
                <w:rFonts w:ascii="楷体" w:eastAsia="楷体" w:hAnsi="楷体" w:cs="宋体"/>
                <w:spacing w:val="-2"/>
                <w:sz w:val="16"/>
                <w:szCs w:val="16"/>
              </w:rPr>
            </w:pPr>
          </w:p>
          <w:tbl>
            <w:tblPr>
              <w:tblStyle w:val="a9"/>
              <w:tblW w:w="0" w:type="auto"/>
              <w:jc w:val="center"/>
              <w:tblLayout w:type="fixed"/>
              <w:tblLook w:val="04A0"/>
            </w:tblPr>
            <w:tblGrid>
              <w:gridCol w:w="850"/>
              <w:gridCol w:w="3855"/>
              <w:gridCol w:w="1474"/>
            </w:tblGrid>
            <w:tr w:rsidR="00F4790A">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F4790A">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苏银理财恒源1年定开9期A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F4790A" w:rsidRDefault="00F4790A">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JSA000000213</w:t>
                  </w:r>
                </w:p>
              </w:tc>
            </w:tr>
            <w:tr w:rsidR="00F4790A">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苏银理财恒源1年定开9期B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F4790A" w:rsidRDefault="00F4790A">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JSA000000214</w:t>
                  </w:r>
                </w:p>
              </w:tc>
            </w:tr>
          </w:tbl>
          <w:p w:rsidR="00F4790A" w:rsidRDefault="00F4790A" w:rsidP="00F4790A">
            <w:pPr>
              <w:pStyle w:val="TableParagraph"/>
              <w:kinsoku w:val="0"/>
              <w:overflowPunct w:val="0"/>
              <w:spacing w:before="12"/>
              <w:ind w:rightChars="35" w:right="77"/>
              <w:jc w:val="both"/>
              <w:rPr>
                <w:rFonts w:ascii="楷体" w:eastAsia="楷体" w:hAnsi="楷体" w:cs="宋体"/>
                <w:spacing w:val="-2"/>
                <w:sz w:val="21"/>
                <w:szCs w:val="21"/>
              </w:rPr>
            </w:pP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F4790A" w:rsidRDefault="00F4790A" w:rsidP="00F4790A">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F4790A" w:rsidRDefault="00F4790A" w:rsidP="00F4790A">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F4790A" w:rsidRPr="00C15DFD" w:rsidRDefault="00C15DFD" w:rsidP="00C15DFD">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F4790A" w:rsidTr="00E6050D">
        <w:trPr>
          <w:trHeight w:val="1556"/>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4" w:type="dxa"/>
            <w:tcBorders>
              <w:top w:val="single" w:sz="4" w:space="0" w:color="auto"/>
              <w:left w:val="single" w:sz="4" w:space="0" w:color="auto"/>
              <w:bottom w:val="single" w:sz="4" w:space="0" w:color="auto"/>
              <w:right w:val="single" w:sz="4" w:space="0" w:color="auto"/>
            </w:tcBorders>
            <w:vAlign w:val="center"/>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9"/>
              <w:tblW w:w="0" w:type="auto"/>
              <w:jc w:val="center"/>
              <w:tblLayout w:type="fixed"/>
              <w:tblLook w:val="04A0"/>
            </w:tblPr>
            <w:tblGrid>
              <w:gridCol w:w="850"/>
              <w:gridCol w:w="5159"/>
            </w:tblGrid>
            <w:tr w:rsidR="00F4790A">
              <w:trPr>
                <w:jc w:val="center"/>
              </w:trPr>
              <w:tc>
                <w:tcPr>
                  <w:tcW w:w="850"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F4790A">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F4790A">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F4790A" w:rsidRDefault="00F4790A" w:rsidP="00F4790A">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w:t>
            </w:r>
            <w:r>
              <w:rPr>
                <w:rFonts w:ascii="楷体" w:eastAsia="楷体" w:hAnsi="楷体" w:cs="宋体" w:hint="eastAsia"/>
                <w:spacing w:val="-2"/>
                <w:szCs w:val="21"/>
              </w:rPr>
              <w:lastRenderedPageBreak/>
              <w:t>申购/赎回情况调整产品发行规模。</w:t>
            </w:r>
          </w:p>
        </w:tc>
      </w:tr>
      <w:tr w:rsidR="00F4790A" w:rsidTr="00F4790A">
        <w:trPr>
          <w:trHeight w:val="2053"/>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850"/>
              <w:gridCol w:w="2268"/>
              <w:gridCol w:w="2268"/>
            </w:tblGrid>
            <w:tr w:rsidR="00F4790A">
              <w:trPr>
                <w:jc w:val="center"/>
              </w:trPr>
              <w:tc>
                <w:tcPr>
                  <w:tcW w:w="850"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F4790A">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100元的整数倍</w:t>
                  </w:r>
                </w:p>
              </w:tc>
            </w:tr>
            <w:tr w:rsidR="00F4790A">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10,000元的整数倍</w:t>
                  </w:r>
                </w:p>
              </w:tc>
            </w:tr>
          </w:tbl>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w:t>
            </w:r>
            <w:r w:rsidR="00084718">
              <w:rPr>
                <w:rFonts w:ascii="楷体" w:eastAsia="楷体" w:hAnsi="楷体" w:hint="eastAsia"/>
                <w:szCs w:val="21"/>
              </w:rPr>
              <w:t>产品说明书</w:t>
            </w:r>
            <w:r>
              <w:rPr>
                <w:rFonts w:ascii="楷体" w:eastAsia="楷体" w:hAnsi="楷体" w:hint="eastAsia"/>
                <w:szCs w:val="21"/>
              </w:rPr>
              <w:t>“八、产品认购”。</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F4790A" w:rsidTr="00F4790A">
        <w:trPr>
          <w:trHeight w:val="1846"/>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742"/>
            </w:tblGrid>
            <w:tr w:rsidR="00F4790A">
              <w:trPr>
                <w:jc w:val="center"/>
              </w:trPr>
              <w:tc>
                <w:tcPr>
                  <w:tcW w:w="2252"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F4790A">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2021年4月21日9:00至2021年4月27日17:00</w:t>
                  </w:r>
                </w:p>
              </w:tc>
            </w:tr>
          </w:tbl>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F4790A" w:rsidTr="00F4790A">
        <w:trPr>
          <w:trHeight w:val="2553"/>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4" w:type="dxa"/>
            <w:tcBorders>
              <w:top w:val="single" w:sz="4" w:space="0" w:color="auto"/>
              <w:left w:val="single" w:sz="4" w:space="0" w:color="auto"/>
              <w:bottom w:val="single" w:sz="4" w:space="0" w:color="auto"/>
              <w:right w:val="single" w:sz="4" w:space="0" w:color="auto"/>
            </w:tcBorders>
            <w:vAlign w:val="center"/>
            <w:hideMark/>
          </w:tcPr>
          <w:tbl>
            <w:tblPr>
              <w:tblStyle w:val="a9"/>
              <w:tblW w:w="0" w:type="auto"/>
              <w:jc w:val="center"/>
              <w:tblLayout w:type="fixed"/>
              <w:tblLook w:val="04A0"/>
            </w:tblPr>
            <w:tblGrid>
              <w:gridCol w:w="2252"/>
              <w:gridCol w:w="3646"/>
            </w:tblGrid>
            <w:tr w:rsidR="00F4790A">
              <w:trPr>
                <w:jc w:val="center"/>
              </w:trPr>
              <w:tc>
                <w:tcPr>
                  <w:tcW w:w="2252"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F4790A">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F4790A" w:rsidRDefault="00F4790A">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2021年4月28日</w:t>
                  </w:r>
                </w:p>
              </w:tc>
            </w:tr>
          </w:tbl>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规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F4790A" w:rsidTr="00F4790A">
        <w:trPr>
          <w:trHeight w:val="1475"/>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2031年4月28日（如遇节假日，顺延至下一工作日）</w:t>
            </w:r>
          </w:p>
          <w:p w:rsidR="00F4790A" w:rsidRDefault="00F4790A" w:rsidP="00F4790A">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w:t>
            </w:r>
            <w:r w:rsidR="00084718">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“十二、产品的终止与清算”。</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4" w:type="dxa"/>
            <w:tcBorders>
              <w:top w:val="single" w:sz="4" w:space="0" w:color="auto"/>
              <w:left w:val="single" w:sz="4" w:space="0" w:color="auto"/>
              <w:bottom w:val="single" w:sz="4" w:space="0" w:color="auto"/>
              <w:right w:val="single" w:sz="4" w:space="0" w:color="auto"/>
            </w:tcBorders>
            <w:vAlign w:val="center"/>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9"/>
              <w:tblW w:w="0" w:type="auto"/>
              <w:jc w:val="center"/>
              <w:tblLayout w:type="fixed"/>
              <w:tblLook w:val="04A0"/>
            </w:tblPr>
            <w:tblGrid>
              <w:gridCol w:w="1531"/>
              <w:gridCol w:w="4706"/>
            </w:tblGrid>
            <w:tr w:rsidR="00F4790A">
              <w:trPr>
                <w:jc w:val="center"/>
              </w:trPr>
              <w:tc>
                <w:tcPr>
                  <w:tcW w:w="1531"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F4790A" w:rsidRDefault="00F4790A" w:rsidP="00F4790A">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F4790A">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每12个月开放一次，投资者可在每个投资周期终止日前7个工作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F4790A" w:rsidRDefault="00F4790A" w:rsidP="00F4790A">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w:t>
            </w:r>
            <w:r w:rsidR="00084718">
              <w:rPr>
                <w:rFonts w:ascii="楷体" w:eastAsia="楷体" w:hAnsi="楷体" w:cs="宋体" w:hint="eastAsia"/>
                <w:spacing w:val="-2"/>
                <w:sz w:val="21"/>
                <w:szCs w:val="21"/>
              </w:rPr>
              <w:t>产品说明书</w:t>
            </w:r>
            <w:r>
              <w:rPr>
                <w:rFonts w:ascii="楷体" w:eastAsia="楷体" w:hAnsi="楷体" w:cs="宋体" w:hint="eastAsia"/>
                <w:spacing w:val="-2"/>
                <w:sz w:val="21"/>
                <w:szCs w:val="21"/>
              </w:rPr>
              <w:t>“十、产品申购、赎回”。</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单个客户赎回限额</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对于单个投资者单个开放日申请赎回理财份额超过上一交易日日终理财产品总份额的10%的部分，管理人有权暂停接受其赎回申请。</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巨额申购</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F4790A" w:rsidRDefault="00F4790A">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F4790A" w:rsidRDefault="00F4790A">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F4790A" w:rsidRDefault="00F4790A" w:rsidP="00F4790A">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0"/>
              <w:gridCol w:w="1871"/>
              <w:gridCol w:w="1805"/>
              <w:gridCol w:w="1881"/>
            </w:tblGrid>
            <w:tr w:rsidR="00F4790A">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投资周期</w:t>
                  </w:r>
                </w:p>
              </w:tc>
              <w:tc>
                <w:tcPr>
                  <w:tcW w:w="187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投资周期起始日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投资周期终止日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jc w:val="center"/>
                    <w:rPr>
                      <w:rFonts w:ascii="楷体" w:eastAsia="楷体" w:hAnsi="楷体"/>
                      <w:kern w:val="2"/>
                      <w:sz w:val="18"/>
                      <w:szCs w:val="18"/>
                    </w:rPr>
                  </w:pPr>
                  <w:r>
                    <w:rPr>
                      <w:rFonts w:ascii="楷体" w:eastAsia="楷体" w:hAnsi="楷体" w:hint="eastAsia"/>
                      <w:sz w:val="18"/>
                      <w:szCs w:val="18"/>
                    </w:rPr>
                    <w:t>业绩比较基准</w:t>
                  </w:r>
                </w:p>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（年化）</w:t>
                  </w:r>
                </w:p>
              </w:tc>
            </w:tr>
            <w:tr w:rsidR="00F4790A">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1</w:t>
                  </w:r>
                </w:p>
              </w:tc>
              <w:tc>
                <w:tcPr>
                  <w:tcW w:w="187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2021年4月28日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2022年5月26日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4.20%</w:t>
                  </w:r>
                </w:p>
              </w:tc>
            </w:tr>
            <w:tr w:rsidR="00F4790A">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2</w:t>
                  </w:r>
                </w:p>
              </w:tc>
              <w:tc>
                <w:tcPr>
                  <w:tcW w:w="187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2022年5月27日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2023年5月29日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aa"/>
                    <w:spacing w:before="0" w:line="0" w:lineRule="atLeast"/>
                    <w:ind w:left="0"/>
                    <w:jc w:val="center"/>
                    <w:rPr>
                      <w:rFonts w:ascii="楷体" w:eastAsia="楷体" w:hAnsi="楷体"/>
                      <w:sz w:val="18"/>
                      <w:szCs w:val="18"/>
                    </w:rPr>
                  </w:pPr>
                  <w:r>
                    <w:rPr>
                      <w:rFonts w:ascii="楷体" w:eastAsia="楷体" w:hAnsi="楷体" w:hint="eastAsia"/>
                    </w:rPr>
                    <w:t>4.20%</w:t>
                  </w:r>
                </w:p>
              </w:tc>
            </w:tr>
            <w:tr w:rsidR="00F4790A">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3</w:t>
                  </w:r>
                </w:p>
              </w:tc>
              <w:tc>
                <w:tcPr>
                  <w:tcW w:w="187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cs="宋体" w:hint="eastAsia"/>
                      <w:spacing w:val="-2"/>
                      <w:szCs w:val="21"/>
                    </w:rPr>
                    <w:t>2023年5月30日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Cs w:val="21"/>
                    </w:rPr>
                    <w:t>2024年6月3日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aa"/>
                    <w:spacing w:before="0" w:line="0" w:lineRule="atLeast"/>
                    <w:ind w:left="0" w:firstLineChars="100" w:firstLine="200"/>
                    <w:jc w:val="both"/>
                    <w:rPr>
                      <w:rFonts w:ascii="楷体" w:eastAsia="楷体" w:hAnsi="楷体"/>
                      <w:szCs w:val="20"/>
                    </w:rPr>
                  </w:pPr>
                  <w:r>
                    <w:rPr>
                      <w:rFonts w:ascii="楷体" w:eastAsia="楷体" w:hAnsi="楷体" w:hint="eastAsia"/>
                      <w:szCs w:val="20"/>
                    </w:rPr>
                    <w:t>A份额 4%</w:t>
                  </w:r>
                </w:p>
                <w:p w:rsidR="00F4790A" w:rsidRPr="00F4790A" w:rsidRDefault="00F4790A" w:rsidP="00F4790A">
                  <w:pPr>
                    <w:pStyle w:val="aa"/>
                    <w:spacing w:before="0" w:line="0" w:lineRule="atLeast"/>
                    <w:ind w:left="0" w:firstLineChars="100" w:firstLine="200"/>
                    <w:jc w:val="both"/>
                    <w:rPr>
                      <w:rFonts w:ascii="楷体" w:eastAsia="楷体" w:hAnsi="楷体"/>
                      <w:szCs w:val="20"/>
                    </w:rPr>
                  </w:pPr>
                  <w:r>
                    <w:rPr>
                      <w:rFonts w:ascii="楷体" w:eastAsia="楷体" w:hAnsi="楷体" w:hint="eastAsia"/>
                      <w:szCs w:val="20"/>
                    </w:rPr>
                    <w:t>B份额 4.03%</w:t>
                  </w:r>
                </w:p>
              </w:tc>
            </w:tr>
            <w:tr w:rsidR="00F4790A">
              <w:trPr>
                <w:trHeight w:val="312"/>
                <w:jc w:val="center"/>
              </w:trPr>
              <w:tc>
                <w:tcPr>
                  <w:tcW w:w="680"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4</w:t>
                  </w:r>
                </w:p>
              </w:tc>
              <w:tc>
                <w:tcPr>
                  <w:tcW w:w="187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cs="宋体"/>
                      <w:spacing w:val="-2"/>
                      <w:kern w:val="2"/>
                      <w:sz w:val="18"/>
                      <w:szCs w:val="18"/>
                    </w:rPr>
                  </w:pPr>
                  <w:r>
                    <w:rPr>
                      <w:rFonts w:ascii="楷体" w:eastAsia="楷体" w:hAnsi="楷体" w:cs="宋体" w:hint="eastAsia"/>
                      <w:spacing w:val="-2"/>
                      <w:sz w:val="18"/>
                      <w:szCs w:val="18"/>
                    </w:rPr>
                    <w:t>2024年6月4日</w:t>
                  </w:r>
                </w:p>
              </w:tc>
              <w:tc>
                <w:tcPr>
                  <w:tcW w:w="1805" w:type="dxa"/>
                  <w:tcBorders>
                    <w:top w:val="single" w:sz="4" w:space="0" w:color="auto"/>
                    <w:left w:val="single" w:sz="4" w:space="0" w:color="auto"/>
                    <w:bottom w:val="single" w:sz="4" w:space="0" w:color="auto"/>
                    <w:right w:val="single" w:sz="4" w:space="0" w:color="auto"/>
                  </w:tcBorders>
                  <w:vAlign w:val="center"/>
                  <w:hideMark/>
                </w:tcPr>
                <w:p w:rsidR="00F4790A" w:rsidRDefault="00F4790A">
                  <w:pPr>
                    <w:widowControl w:val="0"/>
                    <w:jc w:val="center"/>
                    <w:rPr>
                      <w:rFonts w:ascii="楷体" w:eastAsia="楷体" w:hAnsi="楷体"/>
                      <w:kern w:val="2"/>
                      <w:sz w:val="18"/>
                      <w:szCs w:val="18"/>
                    </w:rPr>
                  </w:pPr>
                  <w:r>
                    <w:rPr>
                      <w:rFonts w:ascii="楷体" w:eastAsia="楷体" w:hAnsi="楷体" w:hint="eastAsia"/>
                      <w:sz w:val="18"/>
                      <w:szCs w:val="18"/>
                    </w:rPr>
                    <w:t>2025年6月9日</w:t>
                  </w:r>
                </w:p>
              </w:tc>
              <w:tc>
                <w:tcPr>
                  <w:tcW w:w="1881"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A份额3.00%-3.60%</w:t>
                  </w:r>
                </w:p>
                <w:p w:rsidR="00F4790A" w:rsidRDefault="00F4790A" w:rsidP="00F4790A">
                  <w:pPr>
                    <w:pStyle w:val="aa"/>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B份额3.03%-3.63%</w:t>
                  </w:r>
                </w:p>
              </w:tc>
            </w:tr>
          </w:tbl>
          <w:p w:rsidR="00F4790A" w:rsidRDefault="00F4790A" w:rsidP="00F4790A">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w:t>
            </w:r>
            <w:r>
              <w:rPr>
                <w:rFonts w:ascii="楷体" w:eastAsia="楷体" w:hAnsi="楷体" w:cs="宋体" w:hint="eastAsia"/>
                <w:b/>
                <w:spacing w:val="-2"/>
                <w:szCs w:val="21"/>
                <w:u w:val="single"/>
              </w:rPr>
              <w:lastRenderedPageBreak/>
              <w:t>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lastRenderedPageBreak/>
              <w:t>产品费用</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F4790A" w:rsidRDefault="00F4790A" w:rsidP="00F4790A">
            <w:pPr>
              <w:ind w:left="59" w:rightChars="35" w:right="77"/>
              <w:rPr>
                <w:rFonts w:ascii="楷体" w:eastAsia="楷体" w:hAnsi="楷体" w:cs="宋体" w:hint="eastAsia"/>
                <w:spacing w:val="-2"/>
                <w:szCs w:val="21"/>
              </w:rPr>
            </w:pPr>
            <w:r>
              <w:rPr>
                <w:rFonts w:ascii="楷体" w:eastAsia="楷体" w:hAnsi="楷体" w:cs="宋体" w:hint="eastAsia"/>
                <w:spacing w:val="-2"/>
                <w:szCs w:val="21"/>
              </w:rPr>
              <w:t>1.托管费率、销售服务费率、投资管理费率：</w:t>
            </w:r>
          </w:p>
          <w:tbl>
            <w:tblPr>
              <w:tblW w:w="0" w:type="auto"/>
              <w:jc w:val="center"/>
              <w:tblLayout w:type="fixed"/>
              <w:tblLook w:val="04A0"/>
            </w:tblPr>
            <w:tblGrid>
              <w:gridCol w:w="1005"/>
              <w:gridCol w:w="1273"/>
              <w:gridCol w:w="1273"/>
              <w:gridCol w:w="1273"/>
            </w:tblGrid>
            <w:tr w:rsidR="00F4790A">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F4790A">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F4790A">
              <w:trPr>
                <w:trHeight w:val="232"/>
                <w:jc w:val="center"/>
              </w:trPr>
              <w:tc>
                <w:tcPr>
                  <w:tcW w:w="1005"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3" w:type="dxa"/>
                  <w:tcBorders>
                    <w:top w:val="single" w:sz="4" w:space="0" w:color="000000"/>
                    <w:left w:val="single" w:sz="4" w:space="0" w:color="000000"/>
                    <w:bottom w:val="single" w:sz="4" w:space="0" w:color="000000"/>
                    <w:right w:val="single" w:sz="4" w:space="0" w:color="000000"/>
                  </w:tcBorders>
                  <w:vAlign w:val="center"/>
                  <w:hideMark/>
                </w:tcPr>
                <w:p w:rsidR="00F4790A" w:rsidRDefault="00F4790A">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F4790A" w:rsidRDefault="00F4790A" w:rsidP="00F4790A">
            <w:pPr>
              <w:widowControl w:val="0"/>
              <w:numPr>
                <w:ilvl w:val="0"/>
                <w:numId w:val="1"/>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超额业绩报酬：管理人按投资周期收取超额业绩报酬。假设单一投资周期的各份额实际年化投资收益在扣除托管费、销售服务费、投资管理费以及运作产品所必须缴纳的税费后为R：</w:t>
            </w:r>
          </w:p>
          <w:p w:rsidR="00F4790A" w:rsidRDefault="00F4790A" w:rsidP="00F4790A">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F4790A" w:rsidRDefault="00F4790A" w:rsidP="00F4790A">
            <w:pPr>
              <w:ind w:left="59" w:rightChars="35" w:right="77"/>
              <w:rPr>
                <w:rFonts w:ascii="楷体" w:eastAsia="楷体" w:hAnsi="楷体" w:cs="宋体" w:hint="eastAsia"/>
                <w:spacing w:val="-2"/>
                <w:szCs w:val="21"/>
              </w:rPr>
            </w:pPr>
            <w:r>
              <w:rPr>
                <w:rFonts w:ascii="楷体" w:eastAsia="楷体" w:hAnsi="楷体" w:cs="宋体" w:hint="eastAsia"/>
                <w:spacing w:val="-2"/>
                <w:szCs w:val="21"/>
              </w:rPr>
              <w:t>若业绩比较基准下限≤R&lt;业绩比较基准上限，管理人对超出业绩比较基准下限的部分，收取40%的超额业绩报酬；</w:t>
            </w:r>
          </w:p>
          <w:p w:rsidR="00F4790A" w:rsidRDefault="00F4790A" w:rsidP="00F4790A">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F4790A" w:rsidRDefault="00F4790A" w:rsidP="00F4790A">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每日暂估超额业绩报酬，仅用于理财产品会计核算，并将扣除“暂估超额业绩报酬”后的理财产品份额净值按照说明书约定向投资者进行披露。理财产品实际的超额业绩报酬以投资周期终止日或产品到期日计提核算的数值为准。计算累计年化收益率和业绩比较基准时，1年按365日计算。</w:t>
            </w:r>
          </w:p>
          <w:p w:rsidR="00F4790A" w:rsidRDefault="00F4790A" w:rsidP="00F4790A">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估值日</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w:t>
            </w:r>
            <w:r w:rsidR="00084718">
              <w:rPr>
                <w:rFonts w:ascii="楷体" w:eastAsia="楷体" w:hAnsi="楷体" w:cs="宋体" w:hint="eastAsia"/>
                <w:spacing w:val="-2"/>
                <w:szCs w:val="21"/>
              </w:rPr>
              <w:t>产品说明书</w:t>
            </w:r>
            <w:r>
              <w:rPr>
                <w:rFonts w:ascii="楷体" w:eastAsia="楷体" w:hAnsi="楷体" w:cs="宋体" w:hint="eastAsia"/>
                <w:spacing w:val="-2"/>
                <w:szCs w:val="21"/>
              </w:rPr>
              <w:t>“十一、产品估值”。</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w:t>
            </w:r>
            <w:r>
              <w:rPr>
                <w:rFonts w:ascii="楷体" w:eastAsia="楷体" w:hAnsi="楷体" w:cs="宋体" w:hint="eastAsia"/>
                <w:spacing w:val="-2"/>
                <w:szCs w:val="21"/>
              </w:rPr>
              <w:lastRenderedPageBreak/>
              <w:t>费用（包括托管费、销售服务费、投资管理费）、运作产品所必须缴纳的税费、提取业绩报酬（如有）后的部分，2个工作日内到达投资者资金账户。详见</w:t>
            </w:r>
            <w:r w:rsidR="00084718">
              <w:rPr>
                <w:rFonts w:ascii="楷体" w:eastAsia="楷体" w:hAnsi="楷体" w:cs="宋体" w:hint="eastAsia"/>
                <w:spacing w:val="-2"/>
                <w:szCs w:val="21"/>
              </w:rPr>
              <w:t>产品说明书</w:t>
            </w:r>
            <w:r>
              <w:rPr>
                <w:rFonts w:ascii="楷体" w:eastAsia="楷体" w:hAnsi="楷体" w:cs="宋体" w:hint="eastAsia"/>
                <w:spacing w:val="-2"/>
                <w:szCs w:val="21"/>
              </w:rPr>
              <w:t>“九、收益分配”。</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信息披露</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w:t>
            </w:r>
            <w:r w:rsidR="00084718">
              <w:rPr>
                <w:rFonts w:ascii="楷体" w:eastAsia="楷体" w:hAnsi="楷体" w:cs="宋体" w:hint="eastAsia"/>
                <w:spacing w:val="-2"/>
                <w:szCs w:val="21"/>
              </w:rPr>
              <w:t>产品说明书</w:t>
            </w:r>
            <w:r>
              <w:rPr>
                <w:rFonts w:ascii="楷体" w:eastAsia="楷体" w:hAnsi="楷体" w:cs="宋体" w:hint="eastAsia"/>
                <w:spacing w:val="-2"/>
                <w:szCs w:val="21"/>
              </w:rPr>
              <w:t>“十六、信息披露”。</w:t>
            </w:r>
          </w:p>
        </w:tc>
      </w:tr>
      <w:tr w:rsidR="00F4790A" w:rsidTr="00F4790A">
        <w:trPr>
          <w:trHeight w:val="397"/>
          <w:jc w:val="center"/>
        </w:trPr>
        <w:tc>
          <w:tcPr>
            <w:tcW w:w="2278" w:type="dxa"/>
            <w:tcBorders>
              <w:top w:val="single" w:sz="4" w:space="0" w:color="auto"/>
              <w:left w:val="single" w:sz="4" w:space="0" w:color="auto"/>
              <w:bottom w:val="single" w:sz="4" w:space="0" w:color="auto"/>
              <w:right w:val="single" w:sz="4" w:space="0" w:color="auto"/>
            </w:tcBorders>
            <w:vAlign w:val="center"/>
            <w:hideMark/>
          </w:tcPr>
          <w:p w:rsidR="00F4790A" w:rsidRDefault="00F4790A">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税款</w:t>
            </w:r>
          </w:p>
        </w:tc>
        <w:tc>
          <w:tcPr>
            <w:tcW w:w="6614" w:type="dxa"/>
            <w:tcBorders>
              <w:top w:val="single" w:sz="4" w:space="0" w:color="auto"/>
              <w:left w:val="single" w:sz="4" w:space="0" w:color="auto"/>
              <w:bottom w:val="single" w:sz="4" w:space="0" w:color="auto"/>
              <w:right w:val="single" w:sz="4" w:space="0" w:color="auto"/>
            </w:tcBorders>
            <w:vAlign w:val="center"/>
            <w:hideMark/>
          </w:tcPr>
          <w:p w:rsidR="00F4790A" w:rsidRDefault="00F4790A" w:rsidP="00F4790A">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本产品运作过程中涉及的各纳税主体，其纳税义务按国家税收法律、法规执行。详见</w:t>
            </w:r>
            <w:r w:rsidR="00084718">
              <w:rPr>
                <w:rFonts w:ascii="楷体" w:eastAsia="楷体" w:hAnsi="楷体" w:cs="宋体" w:hint="eastAsia"/>
                <w:spacing w:val="-2"/>
                <w:szCs w:val="21"/>
              </w:rPr>
              <w:t>产品说明书</w:t>
            </w:r>
            <w:r>
              <w:rPr>
                <w:rFonts w:ascii="楷体" w:eastAsia="楷体" w:hAnsi="楷体" w:cs="宋体" w:hint="eastAsia"/>
                <w:spacing w:val="-2"/>
                <w:szCs w:val="21"/>
              </w:rPr>
              <w:t>“十四、税收规定”。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（更多具体要素请详阅产品说明书）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3.如有其他未尽事宜以私人银行部解释为准。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Pr="0068015B">
        <w:rPr>
          <w:rFonts w:ascii="仿宋_GB2312" w:eastAsia="仿宋_GB2312" w:hAnsi="微软雅黑" w:cs="宋体" w:hint="eastAsia"/>
          <w:color w:val="000000"/>
          <w:sz w:val="32"/>
          <w:szCs w:val="32"/>
        </w:rPr>
        <w:t>恒源</w:t>
      </w:r>
      <w:r w:rsidR="00F4790A">
        <w:rPr>
          <w:rFonts w:ascii="仿宋_GB2312" w:eastAsia="仿宋_GB2312" w:hAnsi="微软雅黑" w:cs="宋体" w:hint="eastAsia"/>
          <w:color w:val="000000"/>
          <w:sz w:val="32"/>
          <w:szCs w:val="32"/>
        </w:rPr>
        <w:t>1年定开9期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Pr="0068015B">
        <w:rPr>
          <w:rFonts w:ascii="仿宋_GB2312" w:eastAsia="仿宋_GB2312" w:hAnsi="微软雅黑" w:cs="宋体" w:hint="eastAsia"/>
          <w:color w:val="000000"/>
          <w:sz w:val="32"/>
          <w:szCs w:val="32"/>
        </w:rPr>
        <w:t>恒源</w:t>
      </w:r>
      <w:r w:rsidR="00F4790A">
        <w:rPr>
          <w:rFonts w:ascii="仿宋_GB2312" w:eastAsia="仿宋_GB2312" w:hAnsi="微软雅黑" w:cs="宋体" w:hint="eastAsia"/>
          <w:color w:val="000000"/>
          <w:sz w:val="32"/>
          <w:szCs w:val="32"/>
        </w:rPr>
        <w:t>1年定开9期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5. </w:t>
      </w:r>
      <w:r w:rsidR="00D447F7">
        <w:rPr>
          <w:rFonts w:ascii="仿宋_GB2312" w:eastAsia="仿宋_GB2312" w:hAnsi="微软雅黑" w:cs="宋体" w:hint="eastAsia"/>
          <w:color w:val="000000"/>
          <w:sz w:val="32"/>
          <w:szCs w:val="32"/>
        </w:rPr>
        <w:t>个人客户</w:t>
      </w:r>
      <w:r>
        <w:rPr>
          <w:rFonts w:ascii="仿宋_GB2312" w:eastAsia="仿宋_GB2312" w:hAnsi="微软雅黑" w:cs="宋体" w:hint="eastAsia"/>
          <w:color w:val="000000"/>
          <w:sz w:val="32"/>
          <w:szCs w:val="32"/>
        </w:rPr>
        <w:t>风险承受能力评估表</w:t>
      </w:r>
    </w:p>
    <w:p w:rsidR="00D447F7" w:rsidRDefault="00D447F7" w:rsidP="00D447F7">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6．机构客户风险承受能力评估表</w:t>
      </w:r>
    </w:p>
    <w:p w:rsidR="00D447F7" w:rsidRPr="00D447F7" w:rsidRDefault="00D447F7">
      <w:pPr>
        <w:adjustRightInd/>
        <w:snapToGrid/>
        <w:spacing w:after="0"/>
        <w:ind w:firstLineChars="500" w:firstLine="1600"/>
        <w:rPr>
          <w:rFonts w:ascii="仿宋_GB2312" w:eastAsia="仿宋_GB2312" w:hAnsi="微软雅黑" w:cs="宋体"/>
          <w:color w:val="000000"/>
          <w:sz w:val="32"/>
          <w:szCs w:val="32"/>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921873">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412933">
        <w:rPr>
          <w:rFonts w:ascii="仿宋_GB2312" w:eastAsia="仿宋_GB2312" w:hAnsi="微软雅黑" w:cs="宋体" w:hint="eastAsia"/>
          <w:color w:val="000000"/>
          <w:sz w:val="32"/>
          <w:szCs w:val="32"/>
        </w:rPr>
        <w:t>5</w:t>
      </w:r>
      <w:r>
        <w:rPr>
          <w:rFonts w:ascii="仿宋_GB2312" w:eastAsia="仿宋_GB2312" w:hAnsi="微软雅黑" w:cs="宋体" w:hint="eastAsia"/>
          <w:color w:val="000000"/>
          <w:sz w:val="32"/>
          <w:szCs w:val="32"/>
        </w:rPr>
        <w:t>月</w:t>
      </w:r>
      <w:bookmarkStart w:id="0" w:name="_GoBack"/>
      <w:bookmarkEnd w:id="0"/>
      <w:r w:rsidR="00F4790A">
        <w:rPr>
          <w:rFonts w:ascii="仿宋_GB2312" w:eastAsia="仿宋_GB2312" w:hAnsi="微软雅黑" w:cs="宋体" w:hint="eastAsia"/>
          <w:color w:val="000000"/>
          <w:sz w:val="32"/>
          <w:szCs w:val="32"/>
        </w:rPr>
        <w:t>22</w:t>
      </w:r>
      <w:r w:rsidR="006A4477">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A50" w:rsidRDefault="00EB7A50" w:rsidP="00141F36">
      <w:pPr>
        <w:spacing w:after="0"/>
      </w:pPr>
      <w:r>
        <w:separator/>
      </w:r>
    </w:p>
  </w:endnote>
  <w:endnote w:type="continuationSeparator" w:id="1">
    <w:p w:rsidR="00EB7A50" w:rsidRDefault="00EB7A50" w:rsidP="00141F3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A50" w:rsidRDefault="00EB7A50" w:rsidP="00141F36">
      <w:pPr>
        <w:spacing w:after="0"/>
      </w:pPr>
      <w:r>
        <w:separator/>
      </w:r>
    </w:p>
  </w:footnote>
  <w:footnote w:type="continuationSeparator" w:id="1">
    <w:p w:rsidR="00EB7A50" w:rsidRDefault="00EB7A50" w:rsidP="00141F3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3490"/>
  </w:hdrShapeDefaults>
  <w:footnotePr>
    <w:footnote w:id="0"/>
    <w:footnote w:id="1"/>
  </w:footnotePr>
  <w:endnotePr>
    <w:endnote w:id="0"/>
    <w:endnote w:id="1"/>
  </w:endnotePr>
  <w:compat>
    <w:useFELayout/>
  </w:compat>
  <w:rsids>
    <w:rsidRoot w:val="00D31D50"/>
    <w:rsid w:val="00002A13"/>
    <w:rsid w:val="00012365"/>
    <w:rsid w:val="00014D89"/>
    <w:rsid w:val="000159FD"/>
    <w:rsid w:val="00020299"/>
    <w:rsid w:val="0002233E"/>
    <w:rsid w:val="00025736"/>
    <w:rsid w:val="000430CA"/>
    <w:rsid w:val="00045358"/>
    <w:rsid w:val="00050465"/>
    <w:rsid w:val="000547BB"/>
    <w:rsid w:val="0006322B"/>
    <w:rsid w:val="000729EB"/>
    <w:rsid w:val="000812F4"/>
    <w:rsid w:val="00084718"/>
    <w:rsid w:val="000936F7"/>
    <w:rsid w:val="000957AC"/>
    <w:rsid w:val="00096791"/>
    <w:rsid w:val="000A5028"/>
    <w:rsid w:val="000E18A2"/>
    <w:rsid w:val="000E1FA9"/>
    <w:rsid w:val="000E7543"/>
    <w:rsid w:val="000F61C9"/>
    <w:rsid w:val="0010440D"/>
    <w:rsid w:val="00110B5C"/>
    <w:rsid w:val="001225F8"/>
    <w:rsid w:val="00134D61"/>
    <w:rsid w:val="00141F36"/>
    <w:rsid w:val="00157799"/>
    <w:rsid w:val="00160908"/>
    <w:rsid w:val="00174CF3"/>
    <w:rsid w:val="00174FC8"/>
    <w:rsid w:val="00176D37"/>
    <w:rsid w:val="00182785"/>
    <w:rsid w:val="001930D1"/>
    <w:rsid w:val="001A556D"/>
    <w:rsid w:val="001B2273"/>
    <w:rsid w:val="001D40A6"/>
    <w:rsid w:val="001F2E15"/>
    <w:rsid w:val="001F377F"/>
    <w:rsid w:val="001F72B5"/>
    <w:rsid w:val="00200C72"/>
    <w:rsid w:val="00201E20"/>
    <w:rsid w:val="00206F8F"/>
    <w:rsid w:val="00207F97"/>
    <w:rsid w:val="00214CF7"/>
    <w:rsid w:val="00216E71"/>
    <w:rsid w:val="002235BC"/>
    <w:rsid w:val="00233CED"/>
    <w:rsid w:val="00236FDA"/>
    <w:rsid w:val="00245C88"/>
    <w:rsid w:val="002513BD"/>
    <w:rsid w:val="00257856"/>
    <w:rsid w:val="00266F77"/>
    <w:rsid w:val="00277323"/>
    <w:rsid w:val="002777A1"/>
    <w:rsid w:val="00283408"/>
    <w:rsid w:val="002866F6"/>
    <w:rsid w:val="0029028F"/>
    <w:rsid w:val="00292F0B"/>
    <w:rsid w:val="002B1948"/>
    <w:rsid w:val="002B1D28"/>
    <w:rsid w:val="002C248B"/>
    <w:rsid w:val="002D44AC"/>
    <w:rsid w:val="002D757D"/>
    <w:rsid w:val="002D7671"/>
    <w:rsid w:val="002E2039"/>
    <w:rsid w:val="002E3ECB"/>
    <w:rsid w:val="002E7145"/>
    <w:rsid w:val="002F07C0"/>
    <w:rsid w:val="003059D5"/>
    <w:rsid w:val="00320D56"/>
    <w:rsid w:val="00322F4C"/>
    <w:rsid w:val="00323B43"/>
    <w:rsid w:val="00347193"/>
    <w:rsid w:val="00352F37"/>
    <w:rsid w:val="00353BA9"/>
    <w:rsid w:val="00355E21"/>
    <w:rsid w:val="00357EB7"/>
    <w:rsid w:val="00361A72"/>
    <w:rsid w:val="00393219"/>
    <w:rsid w:val="00395113"/>
    <w:rsid w:val="003969D9"/>
    <w:rsid w:val="003C0D6B"/>
    <w:rsid w:val="003C1D41"/>
    <w:rsid w:val="003D37D8"/>
    <w:rsid w:val="003D4715"/>
    <w:rsid w:val="003E2BFC"/>
    <w:rsid w:val="003F70AB"/>
    <w:rsid w:val="00410A33"/>
    <w:rsid w:val="00412933"/>
    <w:rsid w:val="00422AD1"/>
    <w:rsid w:val="00426133"/>
    <w:rsid w:val="00431C9E"/>
    <w:rsid w:val="00432428"/>
    <w:rsid w:val="004349C0"/>
    <w:rsid w:val="004358AB"/>
    <w:rsid w:val="00443E90"/>
    <w:rsid w:val="00450005"/>
    <w:rsid w:val="00450C77"/>
    <w:rsid w:val="0045680A"/>
    <w:rsid w:val="00471A3B"/>
    <w:rsid w:val="004749F0"/>
    <w:rsid w:val="00476C3B"/>
    <w:rsid w:val="0049140E"/>
    <w:rsid w:val="004950F4"/>
    <w:rsid w:val="00496E4F"/>
    <w:rsid w:val="004C175A"/>
    <w:rsid w:val="004E539F"/>
    <w:rsid w:val="00510995"/>
    <w:rsid w:val="005168C5"/>
    <w:rsid w:val="005218F6"/>
    <w:rsid w:val="00523BDD"/>
    <w:rsid w:val="0052515C"/>
    <w:rsid w:val="00530F2D"/>
    <w:rsid w:val="00531A94"/>
    <w:rsid w:val="00536DF2"/>
    <w:rsid w:val="00543584"/>
    <w:rsid w:val="00543782"/>
    <w:rsid w:val="0055369F"/>
    <w:rsid w:val="0056630E"/>
    <w:rsid w:val="00566FD9"/>
    <w:rsid w:val="00567122"/>
    <w:rsid w:val="00577BF0"/>
    <w:rsid w:val="00584009"/>
    <w:rsid w:val="005902E6"/>
    <w:rsid w:val="00592EB0"/>
    <w:rsid w:val="005A477A"/>
    <w:rsid w:val="005B1774"/>
    <w:rsid w:val="005B38B5"/>
    <w:rsid w:val="005B45CF"/>
    <w:rsid w:val="005B5DF6"/>
    <w:rsid w:val="005C155D"/>
    <w:rsid w:val="005C31E9"/>
    <w:rsid w:val="005D072F"/>
    <w:rsid w:val="005F0A86"/>
    <w:rsid w:val="005F2B78"/>
    <w:rsid w:val="00606205"/>
    <w:rsid w:val="00607EC0"/>
    <w:rsid w:val="00610019"/>
    <w:rsid w:val="006110FC"/>
    <w:rsid w:val="00611544"/>
    <w:rsid w:val="006128D5"/>
    <w:rsid w:val="006148C9"/>
    <w:rsid w:val="0061606F"/>
    <w:rsid w:val="006170B5"/>
    <w:rsid w:val="006214F4"/>
    <w:rsid w:val="00642C20"/>
    <w:rsid w:val="00677D5A"/>
    <w:rsid w:val="0068015B"/>
    <w:rsid w:val="006854AC"/>
    <w:rsid w:val="006A4477"/>
    <w:rsid w:val="006C44CC"/>
    <w:rsid w:val="006C68D5"/>
    <w:rsid w:val="006E48A4"/>
    <w:rsid w:val="006F7856"/>
    <w:rsid w:val="00701C74"/>
    <w:rsid w:val="0070239F"/>
    <w:rsid w:val="00707600"/>
    <w:rsid w:val="00710225"/>
    <w:rsid w:val="00710B34"/>
    <w:rsid w:val="00714309"/>
    <w:rsid w:val="00714B02"/>
    <w:rsid w:val="007248B8"/>
    <w:rsid w:val="0073205A"/>
    <w:rsid w:val="0074046E"/>
    <w:rsid w:val="00740E8C"/>
    <w:rsid w:val="00741563"/>
    <w:rsid w:val="007415C0"/>
    <w:rsid w:val="00747E0A"/>
    <w:rsid w:val="00766E00"/>
    <w:rsid w:val="007675CD"/>
    <w:rsid w:val="007745AB"/>
    <w:rsid w:val="00783419"/>
    <w:rsid w:val="007865C9"/>
    <w:rsid w:val="00793A91"/>
    <w:rsid w:val="00796629"/>
    <w:rsid w:val="007A6260"/>
    <w:rsid w:val="007C44C4"/>
    <w:rsid w:val="007D35F2"/>
    <w:rsid w:val="008201C5"/>
    <w:rsid w:val="00827FB9"/>
    <w:rsid w:val="008445DB"/>
    <w:rsid w:val="008450A8"/>
    <w:rsid w:val="00846546"/>
    <w:rsid w:val="008507C0"/>
    <w:rsid w:val="0085497C"/>
    <w:rsid w:val="00854BCB"/>
    <w:rsid w:val="0086149C"/>
    <w:rsid w:val="00867E9B"/>
    <w:rsid w:val="00884835"/>
    <w:rsid w:val="008930CD"/>
    <w:rsid w:val="00893277"/>
    <w:rsid w:val="00895EEF"/>
    <w:rsid w:val="00896839"/>
    <w:rsid w:val="00896D1C"/>
    <w:rsid w:val="00897920"/>
    <w:rsid w:val="008A6AC1"/>
    <w:rsid w:val="008B008A"/>
    <w:rsid w:val="008B4334"/>
    <w:rsid w:val="008B450C"/>
    <w:rsid w:val="008B4E39"/>
    <w:rsid w:val="008B6523"/>
    <w:rsid w:val="008B7726"/>
    <w:rsid w:val="008F043E"/>
    <w:rsid w:val="008F2B7A"/>
    <w:rsid w:val="008F5738"/>
    <w:rsid w:val="008F7CA5"/>
    <w:rsid w:val="009039D4"/>
    <w:rsid w:val="00903E35"/>
    <w:rsid w:val="00911DE1"/>
    <w:rsid w:val="00916078"/>
    <w:rsid w:val="00916AFD"/>
    <w:rsid w:val="00921873"/>
    <w:rsid w:val="00946A62"/>
    <w:rsid w:val="00950801"/>
    <w:rsid w:val="00951BFC"/>
    <w:rsid w:val="00953E58"/>
    <w:rsid w:val="00960913"/>
    <w:rsid w:val="0096633A"/>
    <w:rsid w:val="0096677C"/>
    <w:rsid w:val="00971266"/>
    <w:rsid w:val="00985586"/>
    <w:rsid w:val="00986A17"/>
    <w:rsid w:val="00996AC4"/>
    <w:rsid w:val="009A5FF7"/>
    <w:rsid w:val="009A6871"/>
    <w:rsid w:val="009B21F1"/>
    <w:rsid w:val="009B2786"/>
    <w:rsid w:val="009B5628"/>
    <w:rsid w:val="009B6AAD"/>
    <w:rsid w:val="009D1D85"/>
    <w:rsid w:val="009E16F2"/>
    <w:rsid w:val="009E32D5"/>
    <w:rsid w:val="009F6193"/>
    <w:rsid w:val="00A01DF4"/>
    <w:rsid w:val="00A20E78"/>
    <w:rsid w:val="00A215C9"/>
    <w:rsid w:val="00A30CF8"/>
    <w:rsid w:val="00A36E48"/>
    <w:rsid w:val="00A4169B"/>
    <w:rsid w:val="00A54155"/>
    <w:rsid w:val="00A65280"/>
    <w:rsid w:val="00A66244"/>
    <w:rsid w:val="00A6775F"/>
    <w:rsid w:val="00A838DC"/>
    <w:rsid w:val="00A84AE0"/>
    <w:rsid w:val="00A9135E"/>
    <w:rsid w:val="00A9294C"/>
    <w:rsid w:val="00AA23FA"/>
    <w:rsid w:val="00AB6BA4"/>
    <w:rsid w:val="00AB7EEA"/>
    <w:rsid w:val="00AC33B2"/>
    <w:rsid w:val="00AC3E98"/>
    <w:rsid w:val="00AC51A3"/>
    <w:rsid w:val="00AC6774"/>
    <w:rsid w:val="00AD4C9C"/>
    <w:rsid w:val="00AE6487"/>
    <w:rsid w:val="00AF091D"/>
    <w:rsid w:val="00AF3E9A"/>
    <w:rsid w:val="00B01B88"/>
    <w:rsid w:val="00B02F94"/>
    <w:rsid w:val="00B126A7"/>
    <w:rsid w:val="00B21220"/>
    <w:rsid w:val="00B22801"/>
    <w:rsid w:val="00B24A4C"/>
    <w:rsid w:val="00B27E33"/>
    <w:rsid w:val="00B325DB"/>
    <w:rsid w:val="00B4326E"/>
    <w:rsid w:val="00B6409D"/>
    <w:rsid w:val="00B64881"/>
    <w:rsid w:val="00B73241"/>
    <w:rsid w:val="00B73A10"/>
    <w:rsid w:val="00B76003"/>
    <w:rsid w:val="00B941A3"/>
    <w:rsid w:val="00B941AB"/>
    <w:rsid w:val="00BA2412"/>
    <w:rsid w:val="00BA4BCB"/>
    <w:rsid w:val="00BB4E3C"/>
    <w:rsid w:val="00BC7E2B"/>
    <w:rsid w:val="00BC7E3B"/>
    <w:rsid w:val="00BE351A"/>
    <w:rsid w:val="00BF516C"/>
    <w:rsid w:val="00C00041"/>
    <w:rsid w:val="00C15704"/>
    <w:rsid w:val="00C15DFD"/>
    <w:rsid w:val="00C17395"/>
    <w:rsid w:val="00C20169"/>
    <w:rsid w:val="00C23A87"/>
    <w:rsid w:val="00C468C3"/>
    <w:rsid w:val="00C50B0B"/>
    <w:rsid w:val="00C66A8C"/>
    <w:rsid w:val="00C71423"/>
    <w:rsid w:val="00C77D66"/>
    <w:rsid w:val="00C934C7"/>
    <w:rsid w:val="00CA253E"/>
    <w:rsid w:val="00CA70DD"/>
    <w:rsid w:val="00CB16FF"/>
    <w:rsid w:val="00CB29BA"/>
    <w:rsid w:val="00CB2A01"/>
    <w:rsid w:val="00CD21BA"/>
    <w:rsid w:val="00CD328F"/>
    <w:rsid w:val="00CD4295"/>
    <w:rsid w:val="00CD4F0F"/>
    <w:rsid w:val="00CD74BD"/>
    <w:rsid w:val="00CE0BFB"/>
    <w:rsid w:val="00CE0C36"/>
    <w:rsid w:val="00CE411C"/>
    <w:rsid w:val="00CF5224"/>
    <w:rsid w:val="00D0319E"/>
    <w:rsid w:val="00D10241"/>
    <w:rsid w:val="00D20F22"/>
    <w:rsid w:val="00D3062D"/>
    <w:rsid w:val="00D31D50"/>
    <w:rsid w:val="00D42DFD"/>
    <w:rsid w:val="00D447F7"/>
    <w:rsid w:val="00D476F9"/>
    <w:rsid w:val="00D50C56"/>
    <w:rsid w:val="00D51249"/>
    <w:rsid w:val="00D5491D"/>
    <w:rsid w:val="00D57726"/>
    <w:rsid w:val="00D670D0"/>
    <w:rsid w:val="00D67754"/>
    <w:rsid w:val="00D763B7"/>
    <w:rsid w:val="00D80BDE"/>
    <w:rsid w:val="00D871F8"/>
    <w:rsid w:val="00D91C9F"/>
    <w:rsid w:val="00DA521E"/>
    <w:rsid w:val="00DB1998"/>
    <w:rsid w:val="00DB267C"/>
    <w:rsid w:val="00DC08E6"/>
    <w:rsid w:val="00DC5FA6"/>
    <w:rsid w:val="00DD1E41"/>
    <w:rsid w:val="00DD52AA"/>
    <w:rsid w:val="00DE145A"/>
    <w:rsid w:val="00DF18D2"/>
    <w:rsid w:val="00E00192"/>
    <w:rsid w:val="00E05633"/>
    <w:rsid w:val="00E210A0"/>
    <w:rsid w:val="00E328E5"/>
    <w:rsid w:val="00E342C9"/>
    <w:rsid w:val="00E4613A"/>
    <w:rsid w:val="00E51943"/>
    <w:rsid w:val="00E5321F"/>
    <w:rsid w:val="00E6050D"/>
    <w:rsid w:val="00E65FB9"/>
    <w:rsid w:val="00E773E2"/>
    <w:rsid w:val="00E774C6"/>
    <w:rsid w:val="00E807D3"/>
    <w:rsid w:val="00E80FCB"/>
    <w:rsid w:val="00E86AD3"/>
    <w:rsid w:val="00E92031"/>
    <w:rsid w:val="00EA1489"/>
    <w:rsid w:val="00EB3586"/>
    <w:rsid w:val="00EB7A50"/>
    <w:rsid w:val="00EB7ADF"/>
    <w:rsid w:val="00EC780B"/>
    <w:rsid w:val="00ED20C8"/>
    <w:rsid w:val="00EE0CF8"/>
    <w:rsid w:val="00EE50F7"/>
    <w:rsid w:val="00EF297D"/>
    <w:rsid w:val="00EF76FE"/>
    <w:rsid w:val="00F04234"/>
    <w:rsid w:val="00F21AAA"/>
    <w:rsid w:val="00F234C6"/>
    <w:rsid w:val="00F24E77"/>
    <w:rsid w:val="00F4790A"/>
    <w:rsid w:val="00F634A7"/>
    <w:rsid w:val="00F70FA0"/>
    <w:rsid w:val="00F7443F"/>
    <w:rsid w:val="00F805F0"/>
    <w:rsid w:val="00F85BBD"/>
    <w:rsid w:val="00F94858"/>
    <w:rsid w:val="00F94E57"/>
    <w:rsid w:val="00F957A8"/>
    <w:rsid w:val="00F96EC9"/>
    <w:rsid w:val="00FA233C"/>
    <w:rsid w:val="00FA792A"/>
    <w:rsid w:val="00FB39AB"/>
    <w:rsid w:val="00FB64BB"/>
    <w:rsid w:val="00FC1CBF"/>
    <w:rsid w:val="00FC73A4"/>
    <w:rsid w:val="00FD35EB"/>
    <w:rsid w:val="00FE0475"/>
    <w:rsid w:val="00FE20C6"/>
    <w:rsid w:val="00FE31DC"/>
    <w:rsid w:val="00FE613B"/>
    <w:rsid w:val="00FF0EB4"/>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table" w:styleId="a9">
    <w:name w:val="Table Grid"/>
    <w:basedOn w:val="a1"/>
    <w:uiPriority w:val="59"/>
    <w:rsid w:val="00BA4BCB"/>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2"/>
    <w:uiPriority w:val="1"/>
    <w:qFormat/>
    <w:rsid w:val="005902E6"/>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a"/>
    <w:uiPriority w:val="1"/>
    <w:rsid w:val="005902E6"/>
    <w:rPr>
      <w:rFonts w:ascii="宋体" w:eastAsia="宋体" w:hAnsi="Times New Roman"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041310">
      <w:bodyDiv w:val="1"/>
      <w:marLeft w:val="0"/>
      <w:marRight w:val="0"/>
      <w:marTop w:val="0"/>
      <w:marBottom w:val="0"/>
      <w:divBdr>
        <w:top w:val="none" w:sz="0" w:space="0" w:color="auto"/>
        <w:left w:val="none" w:sz="0" w:space="0" w:color="auto"/>
        <w:bottom w:val="none" w:sz="0" w:space="0" w:color="auto"/>
        <w:right w:val="none" w:sz="0" w:space="0" w:color="auto"/>
      </w:divBdr>
    </w:div>
    <w:div w:id="220212518">
      <w:bodyDiv w:val="1"/>
      <w:marLeft w:val="0"/>
      <w:marRight w:val="0"/>
      <w:marTop w:val="0"/>
      <w:marBottom w:val="0"/>
      <w:divBdr>
        <w:top w:val="none" w:sz="0" w:space="0" w:color="auto"/>
        <w:left w:val="none" w:sz="0" w:space="0" w:color="auto"/>
        <w:bottom w:val="none" w:sz="0" w:space="0" w:color="auto"/>
        <w:right w:val="none" w:sz="0" w:space="0" w:color="auto"/>
      </w:divBdr>
    </w:div>
    <w:div w:id="223837345">
      <w:bodyDiv w:val="1"/>
      <w:marLeft w:val="0"/>
      <w:marRight w:val="0"/>
      <w:marTop w:val="0"/>
      <w:marBottom w:val="0"/>
      <w:divBdr>
        <w:top w:val="none" w:sz="0" w:space="0" w:color="auto"/>
        <w:left w:val="none" w:sz="0" w:space="0" w:color="auto"/>
        <w:bottom w:val="none" w:sz="0" w:space="0" w:color="auto"/>
        <w:right w:val="none" w:sz="0" w:space="0" w:color="auto"/>
      </w:divBdr>
    </w:div>
    <w:div w:id="322975417">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14476954">
      <w:bodyDiv w:val="1"/>
      <w:marLeft w:val="0"/>
      <w:marRight w:val="0"/>
      <w:marTop w:val="0"/>
      <w:marBottom w:val="0"/>
      <w:divBdr>
        <w:top w:val="none" w:sz="0" w:space="0" w:color="auto"/>
        <w:left w:val="none" w:sz="0" w:space="0" w:color="auto"/>
        <w:bottom w:val="none" w:sz="0" w:space="0" w:color="auto"/>
        <w:right w:val="none" w:sz="0" w:space="0" w:color="auto"/>
      </w:divBdr>
    </w:div>
    <w:div w:id="633754219">
      <w:bodyDiv w:val="1"/>
      <w:marLeft w:val="0"/>
      <w:marRight w:val="0"/>
      <w:marTop w:val="0"/>
      <w:marBottom w:val="0"/>
      <w:divBdr>
        <w:top w:val="none" w:sz="0" w:space="0" w:color="auto"/>
        <w:left w:val="none" w:sz="0" w:space="0" w:color="auto"/>
        <w:bottom w:val="none" w:sz="0" w:space="0" w:color="auto"/>
        <w:right w:val="none" w:sz="0" w:space="0" w:color="auto"/>
      </w:divBdr>
    </w:div>
    <w:div w:id="691304627">
      <w:bodyDiv w:val="1"/>
      <w:marLeft w:val="0"/>
      <w:marRight w:val="0"/>
      <w:marTop w:val="0"/>
      <w:marBottom w:val="0"/>
      <w:divBdr>
        <w:top w:val="none" w:sz="0" w:space="0" w:color="auto"/>
        <w:left w:val="none" w:sz="0" w:space="0" w:color="auto"/>
        <w:bottom w:val="none" w:sz="0" w:space="0" w:color="auto"/>
        <w:right w:val="none" w:sz="0" w:space="0" w:color="auto"/>
      </w:divBdr>
    </w:div>
    <w:div w:id="702442738">
      <w:bodyDiv w:val="1"/>
      <w:marLeft w:val="0"/>
      <w:marRight w:val="0"/>
      <w:marTop w:val="0"/>
      <w:marBottom w:val="0"/>
      <w:divBdr>
        <w:top w:val="none" w:sz="0" w:space="0" w:color="auto"/>
        <w:left w:val="none" w:sz="0" w:space="0" w:color="auto"/>
        <w:bottom w:val="none" w:sz="0" w:space="0" w:color="auto"/>
        <w:right w:val="none" w:sz="0" w:space="0" w:color="auto"/>
      </w:divBdr>
    </w:div>
    <w:div w:id="738789877">
      <w:bodyDiv w:val="1"/>
      <w:marLeft w:val="0"/>
      <w:marRight w:val="0"/>
      <w:marTop w:val="0"/>
      <w:marBottom w:val="0"/>
      <w:divBdr>
        <w:top w:val="none" w:sz="0" w:space="0" w:color="auto"/>
        <w:left w:val="none" w:sz="0" w:space="0" w:color="auto"/>
        <w:bottom w:val="none" w:sz="0" w:space="0" w:color="auto"/>
        <w:right w:val="none" w:sz="0" w:space="0" w:color="auto"/>
      </w:divBdr>
    </w:div>
    <w:div w:id="740829754">
      <w:bodyDiv w:val="1"/>
      <w:marLeft w:val="0"/>
      <w:marRight w:val="0"/>
      <w:marTop w:val="0"/>
      <w:marBottom w:val="0"/>
      <w:divBdr>
        <w:top w:val="none" w:sz="0" w:space="0" w:color="auto"/>
        <w:left w:val="none" w:sz="0" w:space="0" w:color="auto"/>
        <w:bottom w:val="none" w:sz="0" w:space="0" w:color="auto"/>
        <w:right w:val="none" w:sz="0" w:space="0" w:color="auto"/>
      </w:divBdr>
    </w:div>
    <w:div w:id="772557654">
      <w:bodyDiv w:val="1"/>
      <w:marLeft w:val="0"/>
      <w:marRight w:val="0"/>
      <w:marTop w:val="0"/>
      <w:marBottom w:val="0"/>
      <w:divBdr>
        <w:top w:val="none" w:sz="0" w:space="0" w:color="auto"/>
        <w:left w:val="none" w:sz="0" w:space="0" w:color="auto"/>
        <w:bottom w:val="none" w:sz="0" w:space="0" w:color="auto"/>
        <w:right w:val="none" w:sz="0" w:space="0" w:color="auto"/>
      </w:divBdr>
    </w:div>
    <w:div w:id="788670042">
      <w:bodyDiv w:val="1"/>
      <w:marLeft w:val="0"/>
      <w:marRight w:val="0"/>
      <w:marTop w:val="0"/>
      <w:marBottom w:val="0"/>
      <w:divBdr>
        <w:top w:val="none" w:sz="0" w:space="0" w:color="auto"/>
        <w:left w:val="none" w:sz="0" w:space="0" w:color="auto"/>
        <w:bottom w:val="none" w:sz="0" w:space="0" w:color="auto"/>
        <w:right w:val="none" w:sz="0" w:space="0" w:color="auto"/>
      </w:divBdr>
    </w:div>
    <w:div w:id="789251317">
      <w:bodyDiv w:val="1"/>
      <w:marLeft w:val="0"/>
      <w:marRight w:val="0"/>
      <w:marTop w:val="0"/>
      <w:marBottom w:val="0"/>
      <w:divBdr>
        <w:top w:val="none" w:sz="0" w:space="0" w:color="auto"/>
        <w:left w:val="none" w:sz="0" w:space="0" w:color="auto"/>
        <w:bottom w:val="none" w:sz="0" w:space="0" w:color="auto"/>
        <w:right w:val="none" w:sz="0" w:space="0" w:color="auto"/>
      </w:divBdr>
    </w:div>
    <w:div w:id="806312309">
      <w:bodyDiv w:val="1"/>
      <w:marLeft w:val="0"/>
      <w:marRight w:val="0"/>
      <w:marTop w:val="0"/>
      <w:marBottom w:val="0"/>
      <w:divBdr>
        <w:top w:val="none" w:sz="0" w:space="0" w:color="auto"/>
        <w:left w:val="none" w:sz="0" w:space="0" w:color="auto"/>
        <w:bottom w:val="none" w:sz="0" w:space="0" w:color="auto"/>
        <w:right w:val="none" w:sz="0" w:space="0" w:color="auto"/>
      </w:divBdr>
    </w:div>
    <w:div w:id="901135849">
      <w:bodyDiv w:val="1"/>
      <w:marLeft w:val="0"/>
      <w:marRight w:val="0"/>
      <w:marTop w:val="0"/>
      <w:marBottom w:val="0"/>
      <w:divBdr>
        <w:top w:val="none" w:sz="0" w:space="0" w:color="auto"/>
        <w:left w:val="none" w:sz="0" w:space="0" w:color="auto"/>
        <w:bottom w:val="none" w:sz="0" w:space="0" w:color="auto"/>
        <w:right w:val="none" w:sz="0" w:space="0" w:color="auto"/>
      </w:divBdr>
    </w:div>
    <w:div w:id="914825454">
      <w:bodyDiv w:val="1"/>
      <w:marLeft w:val="0"/>
      <w:marRight w:val="0"/>
      <w:marTop w:val="0"/>
      <w:marBottom w:val="0"/>
      <w:divBdr>
        <w:top w:val="none" w:sz="0" w:space="0" w:color="auto"/>
        <w:left w:val="none" w:sz="0" w:space="0" w:color="auto"/>
        <w:bottom w:val="none" w:sz="0" w:space="0" w:color="auto"/>
        <w:right w:val="none" w:sz="0" w:space="0" w:color="auto"/>
      </w:divBdr>
    </w:div>
    <w:div w:id="929511403">
      <w:bodyDiv w:val="1"/>
      <w:marLeft w:val="0"/>
      <w:marRight w:val="0"/>
      <w:marTop w:val="0"/>
      <w:marBottom w:val="0"/>
      <w:divBdr>
        <w:top w:val="none" w:sz="0" w:space="0" w:color="auto"/>
        <w:left w:val="none" w:sz="0" w:space="0" w:color="auto"/>
        <w:bottom w:val="none" w:sz="0" w:space="0" w:color="auto"/>
        <w:right w:val="none" w:sz="0" w:space="0" w:color="auto"/>
      </w:divBdr>
    </w:div>
    <w:div w:id="1065181998">
      <w:bodyDiv w:val="1"/>
      <w:marLeft w:val="0"/>
      <w:marRight w:val="0"/>
      <w:marTop w:val="0"/>
      <w:marBottom w:val="0"/>
      <w:divBdr>
        <w:top w:val="none" w:sz="0" w:space="0" w:color="auto"/>
        <w:left w:val="none" w:sz="0" w:space="0" w:color="auto"/>
        <w:bottom w:val="none" w:sz="0" w:space="0" w:color="auto"/>
        <w:right w:val="none" w:sz="0" w:space="0" w:color="auto"/>
      </w:divBdr>
    </w:div>
    <w:div w:id="1123305622">
      <w:bodyDiv w:val="1"/>
      <w:marLeft w:val="0"/>
      <w:marRight w:val="0"/>
      <w:marTop w:val="0"/>
      <w:marBottom w:val="0"/>
      <w:divBdr>
        <w:top w:val="none" w:sz="0" w:space="0" w:color="auto"/>
        <w:left w:val="none" w:sz="0" w:space="0" w:color="auto"/>
        <w:bottom w:val="none" w:sz="0" w:space="0" w:color="auto"/>
        <w:right w:val="none" w:sz="0" w:space="0" w:color="auto"/>
      </w:divBdr>
    </w:div>
    <w:div w:id="1196044906">
      <w:bodyDiv w:val="1"/>
      <w:marLeft w:val="0"/>
      <w:marRight w:val="0"/>
      <w:marTop w:val="0"/>
      <w:marBottom w:val="0"/>
      <w:divBdr>
        <w:top w:val="none" w:sz="0" w:space="0" w:color="auto"/>
        <w:left w:val="none" w:sz="0" w:space="0" w:color="auto"/>
        <w:bottom w:val="none" w:sz="0" w:space="0" w:color="auto"/>
        <w:right w:val="none" w:sz="0" w:space="0" w:color="auto"/>
      </w:divBdr>
    </w:div>
    <w:div w:id="1312177544">
      <w:bodyDiv w:val="1"/>
      <w:marLeft w:val="0"/>
      <w:marRight w:val="0"/>
      <w:marTop w:val="0"/>
      <w:marBottom w:val="0"/>
      <w:divBdr>
        <w:top w:val="none" w:sz="0" w:space="0" w:color="auto"/>
        <w:left w:val="none" w:sz="0" w:space="0" w:color="auto"/>
        <w:bottom w:val="none" w:sz="0" w:space="0" w:color="auto"/>
        <w:right w:val="none" w:sz="0" w:space="0" w:color="auto"/>
      </w:divBdr>
    </w:div>
    <w:div w:id="1340425281">
      <w:bodyDiv w:val="1"/>
      <w:marLeft w:val="0"/>
      <w:marRight w:val="0"/>
      <w:marTop w:val="0"/>
      <w:marBottom w:val="0"/>
      <w:divBdr>
        <w:top w:val="none" w:sz="0" w:space="0" w:color="auto"/>
        <w:left w:val="none" w:sz="0" w:space="0" w:color="auto"/>
        <w:bottom w:val="none" w:sz="0" w:space="0" w:color="auto"/>
        <w:right w:val="none" w:sz="0" w:space="0" w:color="auto"/>
      </w:divBdr>
    </w:div>
    <w:div w:id="1351681714">
      <w:bodyDiv w:val="1"/>
      <w:marLeft w:val="0"/>
      <w:marRight w:val="0"/>
      <w:marTop w:val="0"/>
      <w:marBottom w:val="0"/>
      <w:divBdr>
        <w:top w:val="none" w:sz="0" w:space="0" w:color="auto"/>
        <w:left w:val="none" w:sz="0" w:space="0" w:color="auto"/>
        <w:bottom w:val="none" w:sz="0" w:space="0" w:color="auto"/>
        <w:right w:val="none" w:sz="0" w:space="0" w:color="auto"/>
      </w:divBdr>
    </w:div>
    <w:div w:id="1518345697">
      <w:bodyDiv w:val="1"/>
      <w:marLeft w:val="0"/>
      <w:marRight w:val="0"/>
      <w:marTop w:val="0"/>
      <w:marBottom w:val="0"/>
      <w:divBdr>
        <w:top w:val="none" w:sz="0" w:space="0" w:color="auto"/>
        <w:left w:val="none" w:sz="0" w:space="0" w:color="auto"/>
        <w:bottom w:val="none" w:sz="0" w:space="0" w:color="auto"/>
        <w:right w:val="none" w:sz="0" w:space="0" w:color="auto"/>
      </w:divBdr>
    </w:div>
    <w:div w:id="1519544660">
      <w:bodyDiv w:val="1"/>
      <w:marLeft w:val="0"/>
      <w:marRight w:val="0"/>
      <w:marTop w:val="0"/>
      <w:marBottom w:val="0"/>
      <w:divBdr>
        <w:top w:val="none" w:sz="0" w:space="0" w:color="auto"/>
        <w:left w:val="none" w:sz="0" w:space="0" w:color="auto"/>
        <w:bottom w:val="none" w:sz="0" w:space="0" w:color="auto"/>
        <w:right w:val="none" w:sz="0" w:space="0" w:color="auto"/>
      </w:divBdr>
    </w:div>
    <w:div w:id="1558934229">
      <w:bodyDiv w:val="1"/>
      <w:marLeft w:val="0"/>
      <w:marRight w:val="0"/>
      <w:marTop w:val="0"/>
      <w:marBottom w:val="0"/>
      <w:divBdr>
        <w:top w:val="none" w:sz="0" w:space="0" w:color="auto"/>
        <w:left w:val="none" w:sz="0" w:space="0" w:color="auto"/>
        <w:bottom w:val="none" w:sz="0" w:space="0" w:color="auto"/>
        <w:right w:val="none" w:sz="0" w:space="0" w:color="auto"/>
      </w:divBdr>
    </w:div>
    <w:div w:id="1570455964">
      <w:bodyDiv w:val="1"/>
      <w:marLeft w:val="0"/>
      <w:marRight w:val="0"/>
      <w:marTop w:val="0"/>
      <w:marBottom w:val="0"/>
      <w:divBdr>
        <w:top w:val="none" w:sz="0" w:space="0" w:color="auto"/>
        <w:left w:val="none" w:sz="0" w:space="0" w:color="auto"/>
        <w:bottom w:val="none" w:sz="0" w:space="0" w:color="auto"/>
        <w:right w:val="none" w:sz="0" w:space="0" w:color="auto"/>
      </w:divBdr>
    </w:div>
    <w:div w:id="1612316887">
      <w:bodyDiv w:val="1"/>
      <w:marLeft w:val="0"/>
      <w:marRight w:val="0"/>
      <w:marTop w:val="0"/>
      <w:marBottom w:val="0"/>
      <w:divBdr>
        <w:top w:val="none" w:sz="0" w:space="0" w:color="auto"/>
        <w:left w:val="none" w:sz="0" w:space="0" w:color="auto"/>
        <w:bottom w:val="none" w:sz="0" w:space="0" w:color="auto"/>
        <w:right w:val="none" w:sz="0" w:space="0" w:color="auto"/>
      </w:divBdr>
    </w:div>
    <w:div w:id="1626813943">
      <w:bodyDiv w:val="1"/>
      <w:marLeft w:val="0"/>
      <w:marRight w:val="0"/>
      <w:marTop w:val="0"/>
      <w:marBottom w:val="0"/>
      <w:divBdr>
        <w:top w:val="none" w:sz="0" w:space="0" w:color="auto"/>
        <w:left w:val="none" w:sz="0" w:space="0" w:color="auto"/>
        <w:bottom w:val="none" w:sz="0" w:space="0" w:color="auto"/>
        <w:right w:val="none" w:sz="0" w:space="0" w:color="auto"/>
      </w:divBdr>
    </w:div>
    <w:div w:id="1645088936">
      <w:bodyDiv w:val="1"/>
      <w:marLeft w:val="0"/>
      <w:marRight w:val="0"/>
      <w:marTop w:val="0"/>
      <w:marBottom w:val="0"/>
      <w:divBdr>
        <w:top w:val="none" w:sz="0" w:space="0" w:color="auto"/>
        <w:left w:val="none" w:sz="0" w:space="0" w:color="auto"/>
        <w:bottom w:val="none" w:sz="0" w:space="0" w:color="auto"/>
        <w:right w:val="none" w:sz="0" w:space="0" w:color="auto"/>
      </w:divBdr>
    </w:div>
    <w:div w:id="1658848886">
      <w:bodyDiv w:val="1"/>
      <w:marLeft w:val="0"/>
      <w:marRight w:val="0"/>
      <w:marTop w:val="0"/>
      <w:marBottom w:val="0"/>
      <w:divBdr>
        <w:top w:val="none" w:sz="0" w:space="0" w:color="auto"/>
        <w:left w:val="none" w:sz="0" w:space="0" w:color="auto"/>
        <w:bottom w:val="none" w:sz="0" w:space="0" w:color="auto"/>
        <w:right w:val="none" w:sz="0" w:space="0" w:color="auto"/>
      </w:divBdr>
    </w:div>
    <w:div w:id="1675918732">
      <w:bodyDiv w:val="1"/>
      <w:marLeft w:val="0"/>
      <w:marRight w:val="0"/>
      <w:marTop w:val="0"/>
      <w:marBottom w:val="0"/>
      <w:divBdr>
        <w:top w:val="none" w:sz="0" w:space="0" w:color="auto"/>
        <w:left w:val="none" w:sz="0" w:space="0" w:color="auto"/>
        <w:bottom w:val="none" w:sz="0" w:space="0" w:color="auto"/>
        <w:right w:val="none" w:sz="0" w:space="0" w:color="auto"/>
      </w:divBdr>
    </w:div>
    <w:div w:id="1697121018">
      <w:bodyDiv w:val="1"/>
      <w:marLeft w:val="0"/>
      <w:marRight w:val="0"/>
      <w:marTop w:val="0"/>
      <w:marBottom w:val="0"/>
      <w:divBdr>
        <w:top w:val="none" w:sz="0" w:space="0" w:color="auto"/>
        <w:left w:val="none" w:sz="0" w:space="0" w:color="auto"/>
        <w:bottom w:val="none" w:sz="0" w:space="0" w:color="auto"/>
        <w:right w:val="none" w:sz="0" w:space="0" w:color="auto"/>
      </w:divBdr>
    </w:div>
    <w:div w:id="1724525622">
      <w:bodyDiv w:val="1"/>
      <w:marLeft w:val="0"/>
      <w:marRight w:val="0"/>
      <w:marTop w:val="0"/>
      <w:marBottom w:val="0"/>
      <w:divBdr>
        <w:top w:val="none" w:sz="0" w:space="0" w:color="auto"/>
        <w:left w:val="none" w:sz="0" w:space="0" w:color="auto"/>
        <w:bottom w:val="none" w:sz="0" w:space="0" w:color="auto"/>
        <w:right w:val="none" w:sz="0" w:space="0" w:color="auto"/>
      </w:divBdr>
    </w:div>
    <w:div w:id="1735197445">
      <w:bodyDiv w:val="1"/>
      <w:marLeft w:val="0"/>
      <w:marRight w:val="0"/>
      <w:marTop w:val="0"/>
      <w:marBottom w:val="0"/>
      <w:divBdr>
        <w:top w:val="none" w:sz="0" w:space="0" w:color="auto"/>
        <w:left w:val="none" w:sz="0" w:space="0" w:color="auto"/>
        <w:bottom w:val="none" w:sz="0" w:space="0" w:color="auto"/>
        <w:right w:val="none" w:sz="0" w:space="0" w:color="auto"/>
      </w:divBdr>
    </w:div>
    <w:div w:id="1810901276">
      <w:bodyDiv w:val="1"/>
      <w:marLeft w:val="0"/>
      <w:marRight w:val="0"/>
      <w:marTop w:val="0"/>
      <w:marBottom w:val="0"/>
      <w:divBdr>
        <w:top w:val="none" w:sz="0" w:space="0" w:color="auto"/>
        <w:left w:val="none" w:sz="0" w:space="0" w:color="auto"/>
        <w:bottom w:val="none" w:sz="0" w:space="0" w:color="auto"/>
        <w:right w:val="none" w:sz="0" w:space="0" w:color="auto"/>
      </w:divBdr>
    </w:div>
    <w:div w:id="1839929617">
      <w:bodyDiv w:val="1"/>
      <w:marLeft w:val="0"/>
      <w:marRight w:val="0"/>
      <w:marTop w:val="0"/>
      <w:marBottom w:val="0"/>
      <w:divBdr>
        <w:top w:val="none" w:sz="0" w:space="0" w:color="auto"/>
        <w:left w:val="none" w:sz="0" w:space="0" w:color="auto"/>
        <w:bottom w:val="none" w:sz="0" w:space="0" w:color="auto"/>
        <w:right w:val="none" w:sz="0" w:space="0" w:color="auto"/>
      </w:divBdr>
    </w:div>
    <w:div w:id="2036349327">
      <w:bodyDiv w:val="1"/>
      <w:marLeft w:val="0"/>
      <w:marRight w:val="0"/>
      <w:marTop w:val="0"/>
      <w:marBottom w:val="0"/>
      <w:divBdr>
        <w:top w:val="none" w:sz="0" w:space="0" w:color="auto"/>
        <w:left w:val="none" w:sz="0" w:space="0" w:color="auto"/>
        <w:bottom w:val="none" w:sz="0" w:space="0" w:color="auto"/>
        <w:right w:val="none" w:sz="0" w:space="0" w:color="auto"/>
      </w:divBdr>
    </w:div>
    <w:div w:id="209967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5</Pages>
  <Words>682</Words>
  <Characters>3890</Characters>
  <Application>Microsoft Office Word</Application>
  <DocSecurity>0</DocSecurity>
  <Lines>32</Lines>
  <Paragraphs>9</Paragraphs>
  <ScaleCrop>false</ScaleCrop>
  <Company/>
  <LinksUpToDate>false</LinksUpToDate>
  <CharactersWithSpaces>4563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333</cp:revision>
  <cp:lastPrinted>2021-06-03T04:20:00Z</cp:lastPrinted>
  <dcterms:created xsi:type="dcterms:W3CDTF">2008-09-11T17:20:00Z</dcterms:created>
  <dcterms:modified xsi:type="dcterms:W3CDTF">2024-05-22T03:00:00Z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