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楷体" w:hAnsi="楷体" w:eastAsia="楷体"/>
          <w:b/>
          <w:sz w:val="36"/>
          <w:szCs w:val="36"/>
        </w:rPr>
      </w:pPr>
      <w:r>
        <w:rPr>
          <w:rFonts w:hint="eastAsia" w:ascii="楷体" w:hAnsi="楷体" w:eastAsia="楷体"/>
          <w:b/>
          <w:sz w:val="36"/>
          <w:szCs w:val="36"/>
        </w:rPr>
        <w:t>苏银理财有限责任公司理财产品投资协议书</w:t>
      </w:r>
    </w:p>
    <w:p>
      <w:pPr>
        <w:jc w:val="center"/>
        <w:rPr>
          <w:rFonts w:ascii="楷体" w:hAnsi="楷体" w:eastAsia="楷体"/>
          <w:b/>
          <w:sz w:val="28"/>
          <w:szCs w:val="28"/>
        </w:rPr>
      </w:pPr>
      <w:r>
        <w:rPr>
          <w:rFonts w:hint="eastAsia" w:ascii="楷体" w:hAnsi="楷体" w:eastAsia="楷体"/>
          <w:b/>
          <w:sz w:val="28"/>
          <w:szCs w:val="28"/>
        </w:rPr>
        <w:t>理财非存款、产品有风险、投资须谨慎</w:t>
      </w:r>
    </w:p>
    <w:p>
      <w:pPr>
        <w:ind w:firstLine="482" w:firstLineChars="200"/>
        <w:rPr>
          <w:rFonts w:ascii="楷体" w:hAnsi="楷体" w:eastAsia="楷体"/>
          <w:b/>
          <w:sz w:val="24"/>
          <w:szCs w:val="24"/>
        </w:rPr>
      </w:pPr>
      <w:r>
        <w:rPr>
          <w:rFonts w:hint="eastAsia" w:ascii="楷体" w:hAnsi="楷体" w:eastAsia="楷体"/>
          <w:b/>
          <w:sz w:val="24"/>
          <w:szCs w:val="24"/>
        </w:rPr>
        <w:t>一、重要声明</w:t>
      </w:r>
    </w:p>
    <w:p>
      <w:pPr>
        <w:ind w:firstLine="480" w:firstLineChars="200"/>
        <w:rPr>
          <w:rFonts w:ascii="楷体" w:hAnsi="楷体" w:eastAsia="楷体"/>
          <w:sz w:val="24"/>
          <w:szCs w:val="24"/>
        </w:rPr>
      </w:pPr>
      <w:r>
        <w:rPr>
          <w:rFonts w:hint="eastAsia" w:ascii="楷体" w:hAnsi="楷体" w:eastAsia="楷体"/>
          <w:sz w:val="24"/>
          <w:szCs w:val="24"/>
        </w:rPr>
        <w:t>本投资协议书与</w:t>
      </w:r>
      <w:r>
        <w:rPr>
          <w:rFonts w:hint="eastAsia" w:ascii="楷体" w:hAnsi="楷体" w:eastAsia="楷体"/>
          <w:sz w:val="24"/>
          <w:szCs w:val="24"/>
          <w:lang w:val="en-US" w:eastAsia="zh-CN"/>
        </w:rPr>
        <w:t>理财产品（代理）销售协议书</w:t>
      </w:r>
      <w:r>
        <w:rPr>
          <w:rFonts w:hint="eastAsia" w:ascii="楷体" w:hAnsi="楷体" w:eastAsia="楷体"/>
          <w:sz w:val="24"/>
          <w:szCs w:val="24"/>
        </w:rPr>
        <w:t>、理财产品说明书、风险揭示书、投资者权益须知等销售文件构成完整的不可分割的理财产品合同。苏银理财有限责任公司（以下简称“苏银理财”）作为理财产品管理人建议投资者在购买对应期次理财产品（以下简称“本理财产品”）前认真阅读相关理财产品合同或咨询专业理财经理。投资者签署本投资协议（含电子渠道确认）则被视为已详细阅读过本投资协议及完整理财产品合同，并充分理解合同条款和潜在风险，自愿购买本理财产品，并遵守本理财产品合同中的各项规定。</w:t>
      </w:r>
    </w:p>
    <w:p>
      <w:pPr>
        <w:ind w:firstLine="482" w:firstLineChars="200"/>
        <w:rPr>
          <w:rFonts w:ascii="楷体" w:hAnsi="楷体" w:eastAsia="楷体"/>
          <w:b/>
          <w:sz w:val="24"/>
          <w:szCs w:val="24"/>
          <w:u w:val="single"/>
        </w:rPr>
      </w:pPr>
      <w:r>
        <w:rPr>
          <w:rFonts w:hint="eastAsia" w:ascii="楷体" w:hAnsi="楷体" w:eastAsia="楷体"/>
          <w:b/>
          <w:sz w:val="24"/>
          <w:szCs w:val="24"/>
          <w:u w:val="single"/>
        </w:rPr>
        <w:t>本理财产品不保证本金和收益。受各种市场波动因素影响，本理财产品可能存在包括但不限于政策风险、信用风险、市场风险、流动性风险、管理风险、操作风险、产品不成立风险、兑付延期风险、提前终止风险、信息传递风险、代销风险、标的资产的特别投资风险及其他风险，具体风险因素由苏银理财在理财产品风险揭示书中揭示。请您充分认识投资风险，谨慎投资。</w:t>
      </w:r>
    </w:p>
    <w:p>
      <w:pPr>
        <w:ind w:firstLine="482" w:firstLineChars="200"/>
        <w:rPr>
          <w:rFonts w:ascii="楷体" w:hAnsi="楷体" w:eastAsia="楷体"/>
          <w:b/>
          <w:sz w:val="24"/>
          <w:szCs w:val="24"/>
        </w:rPr>
      </w:pPr>
      <w:r>
        <w:rPr>
          <w:rFonts w:hint="eastAsia" w:ascii="楷体" w:hAnsi="楷体" w:eastAsia="楷体"/>
          <w:b/>
          <w:sz w:val="24"/>
          <w:szCs w:val="24"/>
        </w:rPr>
        <w:t>二、理财产品投资者的权利义务</w:t>
      </w:r>
    </w:p>
    <w:p>
      <w:pPr>
        <w:ind w:firstLine="480" w:firstLineChars="200"/>
        <w:rPr>
          <w:rFonts w:ascii="楷体" w:hAnsi="楷体" w:eastAsia="楷体"/>
          <w:sz w:val="24"/>
          <w:szCs w:val="24"/>
        </w:rPr>
      </w:pPr>
      <w:r>
        <w:rPr>
          <w:rFonts w:hint="eastAsia" w:ascii="楷体" w:hAnsi="楷体" w:eastAsia="楷体"/>
          <w:sz w:val="24"/>
          <w:szCs w:val="24"/>
        </w:rPr>
        <w:t>投资者购买本理财产品的行为即视为对理财产品合同的承认和接受，理财产品投资者自取得依据理财产品合同发行的理财产品份额，即成为理财产品投资者和理财产品合同当事人。理财产品投资者作为当事人并不以在理财产品合同上书面签章或签字为必要条件。</w:t>
      </w:r>
    </w:p>
    <w:p>
      <w:pPr>
        <w:ind w:firstLine="480" w:firstLineChars="200"/>
        <w:rPr>
          <w:rFonts w:ascii="楷体" w:hAnsi="楷体" w:eastAsia="楷体"/>
          <w:sz w:val="24"/>
          <w:szCs w:val="24"/>
        </w:rPr>
      </w:pPr>
      <w:r>
        <w:rPr>
          <w:rFonts w:hint="eastAsia" w:ascii="楷体" w:hAnsi="楷体" w:eastAsia="楷体"/>
          <w:sz w:val="24"/>
          <w:szCs w:val="24"/>
        </w:rPr>
        <w:t>（一）理财产品投资者的权利：</w:t>
      </w:r>
    </w:p>
    <w:p>
      <w:pPr>
        <w:numPr>
          <w:ilvl w:val="0"/>
          <w:numId w:val="1"/>
        </w:numPr>
        <w:adjustRightInd w:val="0"/>
        <w:snapToGrid w:val="0"/>
        <w:ind w:left="0" w:firstLine="480" w:firstLineChars="200"/>
        <w:rPr>
          <w:rFonts w:ascii="楷体" w:hAnsi="楷体" w:eastAsia="楷体"/>
          <w:sz w:val="24"/>
          <w:szCs w:val="24"/>
        </w:rPr>
      </w:pPr>
      <w:r>
        <w:rPr>
          <w:rFonts w:hint="eastAsia" w:ascii="楷体" w:hAnsi="楷体" w:eastAsia="楷体"/>
          <w:sz w:val="24"/>
          <w:szCs w:val="24"/>
        </w:rPr>
        <w:t>按理财产品合同的约定取得理财收益；</w:t>
      </w:r>
    </w:p>
    <w:p>
      <w:pPr>
        <w:numPr>
          <w:ilvl w:val="0"/>
          <w:numId w:val="1"/>
        </w:numPr>
        <w:adjustRightInd w:val="0"/>
        <w:snapToGrid w:val="0"/>
        <w:ind w:left="0" w:firstLine="480" w:firstLineChars="200"/>
        <w:rPr>
          <w:rFonts w:ascii="楷体" w:hAnsi="楷体" w:eastAsia="楷体"/>
          <w:sz w:val="24"/>
          <w:szCs w:val="24"/>
        </w:rPr>
      </w:pPr>
      <w:r>
        <w:rPr>
          <w:rFonts w:hint="eastAsia" w:ascii="楷体" w:hAnsi="楷体" w:eastAsia="楷体"/>
          <w:sz w:val="24"/>
          <w:szCs w:val="24"/>
        </w:rPr>
        <w:t>按理财产品合同的约定查询获得公开披露的理财产品信息资料；</w:t>
      </w:r>
    </w:p>
    <w:p>
      <w:pPr>
        <w:numPr>
          <w:ilvl w:val="0"/>
          <w:numId w:val="1"/>
        </w:numPr>
        <w:adjustRightInd w:val="0"/>
        <w:snapToGrid w:val="0"/>
        <w:ind w:left="0" w:firstLine="480" w:firstLineChars="200"/>
        <w:rPr>
          <w:rFonts w:ascii="楷体" w:hAnsi="楷体" w:eastAsia="楷体"/>
          <w:sz w:val="24"/>
          <w:szCs w:val="24"/>
        </w:rPr>
      </w:pPr>
      <w:r>
        <w:rPr>
          <w:rFonts w:hint="eastAsia" w:ascii="楷体" w:hAnsi="楷体" w:eastAsia="楷体"/>
          <w:sz w:val="24"/>
          <w:szCs w:val="24"/>
        </w:rPr>
        <w:t>产品终止后对清算后的理财产品资产净值按理财产品持有份额比例参与分配；</w:t>
      </w:r>
    </w:p>
    <w:p>
      <w:pPr>
        <w:numPr>
          <w:ilvl w:val="0"/>
          <w:numId w:val="1"/>
        </w:numPr>
        <w:adjustRightInd w:val="0"/>
        <w:snapToGrid w:val="0"/>
        <w:ind w:left="0" w:firstLine="480" w:firstLineChars="200"/>
        <w:rPr>
          <w:rFonts w:ascii="楷体" w:hAnsi="楷体" w:eastAsia="楷体"/>
          <w:sz w:val="24"/>
          <w:szCs w:val="24"/>
        </w:rPr>
      </w:pPr>
      <w:r>
        <w:rPr>
          <w:rFonts w:hint="eastAsia" w:ascii="楷体" w:hAnsi="楷体" w:eastAsia="楷体"/>
          <w:sz w:val="24"/>
          <w:szCs w:val="24"/>
        </w:rPr>
        <w:t>要求理财产品管理人或理财产品托管人及时行使法律法规、理财产品合同所规定的义务；</w:t>
      </w:r>
    </w:p>
    <w:p>
      <w:pPr>
        <w:numPr>
          <w:ilvl w:val="0"/>
          <w:numId w:val="1"/>
        </w:numPr>
        <w:adjustRightInd w:val="0"/>
        <w:snapToGrid w:val="0"/>
        <w:ind w:left="0" w:firstLine="480" w:firstLineChars="200"/>
        <w:rPr>
          <w:rFonts w:ascii="楷体" w:hAnsi="楷体" w:eastAsia="楷体"/>
          <w:sz w:val="24"/>
          <w:szCs w:val="24"/>
        </w:rPr>
      </w:pPr>
      <w:r>
        <w:rPr>
          <w:rFonts w:hint="eastAsia" w:ascii="楷体" w:hAnsi="楷体" w:eastAsia="楷体"/>
          <w:sz w:val="24"/>
          <w:szCs w:val="24"/>
        </w:rPr>
        <w:t>对理财产品管理人、理财产品托管人损害其合法权益而要求予以赔偿；</w:t>
      </w:r>
    </w:p>
    <w:p>
      <w:pPr>
        <w:numPr>
          <w:ilvl w:val="0"/>
          <w:numId w:val="1"/>
        </w:numPr>
        <w:adjustRightInd w:val="0"/>
        <w:snapToGrid w:val="0"/>
        <w:ind w:left="0" w:firstLine="480" w:firstLineChars="200"/>
        <w:rPr>
          <w:rFonts w:ascii="楷体" w:hAnsi="楷体" w:eastAsia="楷体"/>
          <w:sz w:val="24"/>
          <w:szCs w:val="24"/>
        </w:rPr>
      </w:pPr>
      <w:r>
        <w:rPr>
          <w:rFonts w:hint="eastAsia" w:ascii="楷体" w:hAnsi="楷体" w:eastAsia="楷体"/>
          <w:sz w:val="24"/>
          <w:szCs w:val="24"/>
        </w:rPr>
        <w:t>法律法规、理财产品合同规定的其它权利。</w:t>
      </w:r>
    </w:p>
    <w:p>
      <w:pPr>
        <w:adjustRightInd w:val="0"/>
        <w:snapToGrid w:val="0"/>
        <w:ind w:firstLine="480" w:firstLineChars="200"/>
        <w:rPr>
          <w:rFonts w:ascii="楷体" w:hAnsi="楷体" w:eastAsia="楷体"/>
          <w:sz w:val="24"/>
          <w:szCs w:val="24"/>
        </w:rPr>
      </w:pPr>
      <w:r>
        <w:rPr>
          <w:rFonts w:hint="eastAsia" w:ascii="楷体" w:hAnsi="楷体" w:eastAsia="楷体"/>
          <w:sz w:val="24"/>
          <w:szCs w:val="24"/>
        </w:rPr>
        <w:t>（二）理财产品投资者的义务：</w:t>
      </w:r>
    </w:p>
    <w:p>
      <w:pPr>
        <w:numPr>
          <w:ilvl w:val="0"/>
          <w:numId w:val="2"/>
        </w:numPr>
        <w:adjustRightInd w:val="0"/>
        <w:snapToGrid w:val="0"/>
        <w:ind w:left="0" w:firstLine="480" w:firstLineChars="200"/>
        <w:rPr>
          <w:rFonts w:ascii="楷体" w:hAnsi="楷体" w:eastAsia="楷体"/>
          <w:sz w:val="24"/>
          <w:szCs w:val="24"/>
        </w:rPr>
      </w:pPr>
      <w:r>
        <w:rPr>
          <w:rFonts w:hint="eastAsia" w:ascii="楷体" w:hAnsi="楷体" w:eastAsia="楷体"/>
          <w:sz w:val="24"/>
          <w:szCs w:val="24"/>
        </w:rPr>
        <w:t>遵守有关法律法规和理财产品合同的约定；</w:t>
      </w:r>
    </w:p>
    <w:p>
      <w:pPr>
        <w:numPr>
          <w:ilvl w:val="0"/>
          <w:numId w:val="2"/>
        </w:numPr>
        <w:adjustRightInd w:val="0"/>
        <w:snapToGrid w:val="0"/>
        <w:ind w:left="0" w:firstLine="480" w:firstLineChars="200"/>
        <w:rPr>
          <w:rFonts w:ascii="楷体" w:hAnsi="楷体" w:eastAsia="楷体"/>
          <w:sz w:val="24"/>
          <w:szCs w:val="24"/>
        </w:rPr>
      </w:pPr>
      <w:r>
        <w:rPr>
          <w:rFonts w:hint="eastAsia" w:ascii="楷体" w:hAnsi="楷体" w:eastAsia="楷体"/>
          <w:sz w:val="24"/>
          <w:szCs w:val="24"/>
        </w:rPr>
        <w:t>缴纳理财产品认购、申购和赎回等事宜涉及的款项及规定的费用；</w:t>
      </w:r>
    </w:p>
    <w:p>
      <w:pPr>
        <w:numPr>
          <w:ilvl w:val="0"/>
          <w:numId w:val="2"/>
        </w:numPr>
        <w:adjustRightInd w:val="0"/>
        <w:snapToGrid w:val="0"/>
        <w:ind w:left="0" w:firstLine="480" w:firstLineChars="200"/>
        <w:rPr>
          <w:rFonts w:ascii="楷体" w:hAnsi="楷体" w:eastAsia="楷体"/>
          <w:sz w:val="24"/>
          <w:szCs w:val="24"/>
        </w:rPr>
      </w:pPr>
      <w:r>
        <w:rPr>
          <w:rFonts w:hint="eastAsia" w:ascii="楷体" w:hAnsi="楷体" w:eastAsia="楷体"/>
          <w:sz w:val="24"/>
          <w:szCs w:val="24"/>
        </w:rPr>
        <w:t>以其对理财产品的投资额为限承担本理财产品亏损或者终止的有限责任；</w:t>
      </w:r>
    </w:p>
    <w:p>
      <w:pPr>
        <w:numPr>
          <w:ilvl w:val="0"/>
          <w:numId w:val="2"/>
        </w:numPr>
        <w:adjustRightInd w:val="0"/>
        <w:snapToGrid w:val="0"/>
        <w:ind w:left="0" w:firstLine="480" w:firstLineChars="200"/>
        <w:rPr>
          <w:rFonts w:ascii="楷体" w:hAnsi="楷体" w:eastAsia="楷体"/>
          <w:sz w:val="24"/>
          <w:szCs w:val="24"/>
        </w:rPr>
      </w:pPr>
      <w:r>
        <w:rPr>
          <w:rFonts w:hint="eastAsia" w:ascii="楷体" w:hAnsi="楷体" w:eastAsia="楷体"/>
          <w:sz w:val="24"/>
          <w:szCs w:val="24"/>
        </w:rPr>
        <w:t>不从事任何有损本理财产品及本理财产品其他理财产品合同当事人合法权益的活动；</w:t>
      </w:r>
    </w:p>
    <w:p>
      <w:pPr>
        <w:numPr>
          <w:ilvl w:val="0"/>
          <w:numId w:val="2"/>
        </w:numPr>
        <w:adjustRightInd w:val="0"/>
        <w:snapToGrid w:val="0"/>
        <w:ind w:left="0" w:firstLine="480" w:firstLineChars="200"/>
        <w:rPr>
          <w:rFonts w:ascii="楷体" w:hAnsi="楷体" w:eastAsia="楷体"/>
          <w:sz w:val="24"/>
          <w:szCs w:val="24"/>
        </w:rPr>
      </w:pPr>
      <w:r>
        <w:rPr>
          <w:rFonts w:hint="eastAsia" w:ascii="楷体" w:hAnsi="楷体" w:eastAsia="楷体"/>
          <w:sz w:val="24"/>
          <w:szCs w:val="24"/>
        </w:rPr>
        <w:t>返还其在理财投资过程中取得的不当得利；</w:t>
      </w:r>
    </w:p>
    <w:p>
      <w:pPr>
        <w:numPr>
          <w:ilvl w:val="0"/>
          <w:numId w:val="2"/>
        </w:numPr>
        <w:adjustRightInd w:val="0"/>
        <w:snapToGrid w:val="0"/>
        <w:ind w:left="0" w:firstLine="480" w:firstLineChars="200"/>
        <w:rPr>
          <w:rFonts w:ascii="楷体" w:hAnsi="楷体" w:eastAsia="楷体"/>
          <w:sz w:val="24"/>
          <w:szCs w:val="24"/>
        </w:rPr>
      </w:pPr>
      <w:r>
        <w:rPr>
          <w:rFonts w:hint="eastAsia" w:ascii="楷体" w:hAnsi="楷体" w:eastAsia="楷体"/>
          <w:sz w:val="24"/>
          <w:szCs w:val="24"/>
        </w:rPr>
        <w:t>法律法规以用理财产品合同所规定的其它义务。</w:t>
      </w:r>
    </w:p>
    <w:p>
      <w:pPr>
        <w:ind w:firstLine="482" w:firstLineChars="200"/>
        <w:rPr>
          <w:rFonts w:ascii="楷体" w:hAnsi="楷体" w:eastAsia="楷体"/>
          <w:b/>
          <w:sz w:val="24"/>
          <w:szCs w:val="24"/>
        </w:rPr>
      </w:pPr>
      <w:r>
        <w:rPr>
          <w:rFonts w:hint="eastAsia" w:ascii="楷体" w:hAnsi="楷体" w:eastAsia="楷体"/>
          <w:b/>
          <w:sz w:val="24"/>
          <w:szCs w:val="24"/>
        </w:rPr>
        <w:t>三、理财产品管理人的权利义务</w:t>
      </w:r>
    </w:p>
    <w:p>
      <w:pPr>
        <w:ind w:firstLine="480" w:firstLineChars="200"/>
        <w:rPr>
          <w:rFonts w:ascii="楷体" w:hAnsi="楷体" w:eastAsia="楷体"/>
          <w:sz w:val="24"/>
          <w:szCs w:val="24"/>
        </w:rPr>
      </w:pPr>
      <w:r>
        <w:rPr>
          <w:rFonts w:hint="eastAsia" w:ascii="楷体" w:hAnsi="楷体" w:eastAsia="楷体"/>
          <w:sz w:val="24"/>
          <w:szCs w:val="24"/>
        </w:rPr>
        <w:t>（一）理财产品管理人的权利：</w:t>
      </w:r>
    </w:p>
    <w:p>
      <w:pPr>
        <w:numPr>
          <w:ilvl w:val="0"/>
          <w:numId w:val="3"/>
        </w:numPr>
        <w:adjustRightInd w:val="0"/>
        <w:snapToGrid w:val="0"/>
        <w:ind w:left="0" w:firstLine="480" w:firstLineChars="200"/>
        <w:rPr>
          <w:rFonts w:ascii="楷体" w:hAnsi="楷体" w:eastAsia="楷体"/>
          <w:sz w:val="24"/>
          <w:szCs w:val="24"/>
        </w:rPr>
      </w:pPr>
      <w:r>
        <w:rPr>
          <w:rFonts w:hint="eastAsia" w:ascii="楷体" w:hAnsi="楷体" w:eastAsia="楷体"/>
          <w:sz w:val="24"/>
          <w:szCs w:val="24"/>
        </w:rPr>
        <w:t>自理财产品合同生效之日起，苏银理财依照法律法规和理财产品合同独立管理理财资产；</w:t>
      </w:r>
    </w:p>
    <w:p>
      <w:pPr>
        <w:numPr>
          <w:ilvl w:val="0"/>
          <w:numId w:val="3"/>
        </w:numPr>
        <w:adjustRightInd w:val="0"/>
        <w:snapToGrid w:val="0"/>
        <w:ind w:left="0" w:firstLine="480" w:firstLineChars="200"/>
        <w:rPr>
          <w:rFonts w:ascii="楷体" w:hAnsi="楷体" w:eastAsia="楷体"/>
          <w:sz w:val="24"/>
          <w:szCs w:val="24"/>
        </w:rPr>
      </w:pPr>
      <w:r>
        <w:rPr>
          <w:rFonts w:hint="eastAsia" w:ascii="楷体" w:hAnsi="楷体" w:eastAsia="楷体"/>
          <w:sz w:val="24"/>
          <w:szCs w:val="24"/>
        </w:rPr>
        <w:t>根据法律法规和理财产品合同的约定，制订、修改并公布有关理财募集、认购、申购、赎回、非交易过户、冻结、收益分配等方面的业务规则；</w:t>
      </w:r>
    </w:p>
    <w:p>
      <w:pPr>
        <w:numPr>
          <w:ilvl w:val="0"/>
          <w:numId w:val="3"/>
        </w:numPr>
        <w:adjustRightInd w:val="0"/>
        <w:snapToGrid w:val="0"/>
        <w:ind w:left="0" w:firstLine="480" w:firstLineChars="200"/>
        <w:rPr>
          <w:rFonts w:ascii="楷体" w:hAnsi="楷体" w:eastAsia="楷体"/>
          <w:sz w:val="24"/>
          <w:szCs w:val="24"/>
        </w:rPr>
      </w:pPr>
      <w:r>
        <w:rPr>
          <w:rFonts w:hint="eastAsia" w:ascii="楷体" w:hAnsi="楷体" w:eastAsia="楷体"/>
          <w:sz w:val="24"/>
          <w:szCs w:val="24"/>
        </w:rPr>
        <w:t>根据法律法规和理财产品合同的约定决定本理财产品的相关费率结构和收费方式，获得理财产品管理费及其它事先批准或公告的合理费用以及法律法规规定的其它费用；</w:t>
      </w:r>
    </w:p>
    <w:p>
      <w:pPr>
        <w:numPr>
          <w:ilvl w:val="0"/>
          <w:numId w:val="3"/>
        </w:numPr>
        <w:adjustRightInd w:val="0"/>
        <w:snapToGrid w:val="0"/>
        <w:ind w:left="0" w:firstLine="480" w:firstLineChars="200"/>
        <w:rPr>
          <w:rFonts w:ascii="楷体" w:hAnsi="楷体" w:eastAsia="楷体"/>
          <w:sz w:val="24"/>
          <w:szCs w:val="24"/>
        </w:rPr>
      </w:pPr>
      <w:r>
        <w:rPr>
          <w:rFonts w:hint="eastAsia" w:ascii="楷体" w:hAnsi="楷体" w:eastAsia="楷体"/>
          <w:sz w:val="24"/>
          <w:szCs w:val="24"/>
        </w:rPr>
        <w:t>依据法律法规和理财产品合同的约定监督理财产品托管人，如认为理财产品托管人违反了法律法规或理财产品合同约定，对理财产品资产、其它理财产品合同当事人的利益造成重大损失的，应及时呈报监管机构，以及采取其它必要措施以保护本理财产品及相关理财产品合同当事人的利益；</w:t>
      </w:r>
    </w:p>
    <w:p>
      <w:pPr>
        <w:numPr>
          <w:ilvl w:val="0"/>
          <w:numId w:val="3"/>
        </w:numPr>
        <w:adjustRightInd w:val="0"/>
        <w:snapToGrid w:val="0"/>
        <w:ind w:left="0" w:firstLine="480" w:firstLineChars="200"/>
        <w:rPr>
          <w:rFonts w:ascii="楷体" w:hAnsi="楷体" w:eastAsia="楷体"/>
          <w:sz w:val="24"/>
          <w:szCs w:val="24"/>
        </w:rPr>
      </w:pPr>
      <w:r>
        <w:rPr>
          <w:rFonts w:hint="eastAsia" w:ascii="楷体" w:hAnsi="楷体" w:eastAsia="楷体"/>
          <w:sz w:val="24"/>
          <w:szCs w:val="24"/>
        </w:rPr>
        <w:t>在法律法规允许的前提下，为理财产品的利益依法为理财产品进行融资；</w:t>
      </w:r>
    </w:p>
    <w:p>
      <w:pPr>
        <w:numPr>
          <w:ilvl w:val="0"/>
          <w:numId w:val="3"/>
        </w:numPr>
        <w:adjustRightInd w:val="0"/>
        <w:snapToGrid w:val="0"/>
        <w:ind w:left="0" w:firstLine="480" w:firstLineChars="200"/>
        <w:rPr>
          <w:rFonts w:ascii="楷体" w:hAnsi="楷体" w:eastAsia="楷体"/>
          <w:sz w:val="24"/>
          <w:szCs w:val="24"/>
        </w:rPr>
      </w:pPr>
      <w:r>
        <w:rPr>
          <w:rFonts w:hint="eastAsia" w:ascii="楷体" w:hAnsi="楷体" w:eastAsia="楷体"/>
          <w:sz w:val="24"/>
          <w:szCs w:val="24"/>
        </w:rPr>
        <w:t>依据法律法规和理财产品合同的约定，制订理财产品收益的分配方案；</w:t>
      </w:r>
    </w:p>
    <w:p>
      <w:pPr>
        <w:numPr>
          <w:ilvl w:val="0"/>
          <w:numId w:val="3"/>
        </w:numPr>
        <w:adjustRightInd w:val="0"/>
        <w:snapToGrid w:val="0"/>
        <w:ind w:left="0" w:firstLine="480" w:firstLineChars="200"/>
        <w:rPr>
          <w:rFonts w:ascii="楷体" w:hAnsi="楷体" w:eastAsia="楷体"/>
          <w:sz w:val="24"/>
          <w:szCs w:val="24"/>
        </w:rPr>
      </w:pPr>
      <w:r>
        <w:rPr>
          <w:rFonts w:hint="eastAsia" w:ascii="楷体" w:hAnsi="楷体" w:eastAsia="楷体"/>
          <w:sz w:val="24"/>
          <w:szCs w:val="24"/>
        </w:rPr>
        <w:t>按照法律法规，代表理财产品对被投资企业行使股东权利，代表理财产品行使因投资于其它证券所产生的权利；</w:t>
      </w:r>
    </w:p>
    <w:p>
      <w:pPr>
        <w:numPr>
          <w:ilvl w:val="0"/>
          <w:numId w:val="3"/>
        </w:numPr>
        <w:adjustRightInd w:val="0"/>
        <w:snapToGrid w:val="0"/>
        <w:ind w:left="0" w:firstLine="480" w:firstLineChars="200"/>
        <w:rPr>
          <w:rFonts w:ascii="楷体" w:hAnsi="楷体" w:eastAsia="楷体"/>
          <w:sz w:val="24"/>
          <w:szCs w:val="24"/>
        </w:rPr>
      </w:pPr>
      <w:r>
        <w:rPr>
          <w:rFonts w:hint="eastAsia" w:ascii="楷体" w:hAnsi="楷体" w:eastAsia="楷体"/>
          <w:sz w:val="24"/>
          <w:szCs w:val="24"/>
        </w:rPr>
        <w:t>以苏银理财名义，代表理财份额持有人利益行使诉讼权利或者实施其他法律行为；</w:t>
      </w:r>
    </w:p>
    <w:p>
      <w:pPr>
        <w:numPr>
          <w:ilvl w:val="0"/>
          <w:numId w:val="3"/>
        </w:numPr>
        <w:adjustRightInd w:val="0"/>
        <w:snapToGrid w:val="0"/>
        <w:ind w:left="0" w:firstLine="480" w:firstLineChars="200"/>
        <w:rPr>
          <w:rFonts w:ascii="楷体" w:hAnsi="楷体" w:eastAsia="楷体"/>
          <w:sz w:val="24"/>
          <w:szCs w:val="24"/>
        </w:rPr>
      </w:pPr>
      <w:r>
        <w:rPr>
          <w:rFonts w:hint="eastAsia" w:ascii="楷体" w:hAnsi="楷体" w:eastAsia="楷体"/>
          <w:sz w:val="24"/>
          <w:szCs w:val="24"/>
        </w:rPr>
        <w:t>选择、更换律师、审计师、证券经纪商或其他为理财产品提供服务的外部机构并确定有关费率；</w:t>
      </w:r>
    </w:p>
    <w:p>
      <w:pPr>
        <w:adjustRightInd w:val="0"/>
        <w:snapToGrid w:val="0"/>
        <w:ind w:firstLine="480" w:firstLineChars="200"/>
        <w:rPr>
          <w:rFonts w:ascii="楷体" w:hAnsi="楷体" w:eastAsia="楷体"/>
          <w:sz w:val="24"/>
          <w:szCs w:val="24"/>
        </w:rPr>
      </w:pPr>
      <w:r>
        <w:rPr>
          <w:rFonts w:hint="eastAsia" w:ascii="楷体" w:hAnsi="楷体" w:eastAsia="楷体"/>
          <w:sz w:val="24"/>
          <w:szCs w:val="24"/>
        </w:rPr>
        <w:t>10.法律法规、理财产品合同以及依据理财产品合同制订的其它法律文件所规定的其它权利。</w:t>
      </w:r>
    </w:p>
    <w:p>
      <w:pPr>
        <w:ind w:firstLine="600" w:firstLineChars="250"/>
        <w:rPr>
          <w:rFonts w:ascii="楷体" w:hAnsi="楷体" w:eastAsia="楷体"/>
          <w:sz w:val="24"/>
          <w:szCs w:val="24"/>
        </w:rPr>
      </w:pPr>
      <w:r>
        <w:rPr>
          <w:rFonts w:hint="eastAsia" w:ascii="楷体" w:hAnsi="楷体" w:eastAsia="楷体"/>
          <w:sz w:val="24"/>
          <w:szCs w:val="24"/>
        </w:rPr>
        <w:t>（二）理财产品管理人的义务：</w:t>
      </w:r>
    </w:p>
    <w:p>
      <w:pPr>
        <w:numPr>
          <w:ilvl w:val="0"/>
          <w:numId w:val="4"/>
        </w:numPr>
        <w:adjustRightInd w:val="0"/>
        <w:snapToGrid w:val="0"/>
        <w:ind w:left="0" w:firstLine="480" w:firstLineChars="200"/>
        <w:rPr>
          <w:rFonts w:ascii="楷体" w:hAnsi="楷体" w:eastAsia="楷体"/>
          <w:sz w:val="24"/>
          <w:szCs w:val="24"/>
        </w:rPr>
      </w:pPr>
      <w:r>
        <w:rPr>
          <w:rFonts w:hint="eastAsia" w:ascii="楷体" w:hAnsi="楷体" w:eastAsia="楷体"/>
          <w:sz w:val="24"/>
          <w:szCs w:val="24"/>
        </w:rPr>
        <w:t>遵守法律法规和理财产品合同的约定；</w:t>
      </w:r>
    </w:p>
    <w:p>
      <w:pPr>
        <w:numPr>
          <w:ilvl w:val="0"/>
          <w:numId w:val="4"/>
        </w:numPr>
        <w:adjustRightInd w:val="0"/>
        <w:snapToGrid w:val="0"/>
        <w:ind w:left="0" w:firstLine="480" w:firstLineChars="200"/>
        <w:rPr>
          <w:rFonts w:ascii="楷体" w:hAnsi="楷体" w:eastAsia="楷体"/>
          <w:sz w:val="24"/>
          <w:szCs w:val="24"/>
        </w:rPr>
      </w:pPr>
      <w:r>
        <w:rPr>
          <w:rFonts w:hint="eastAsia" w:ascii="楷体" w:hAnsi="楷体" w:eastAsia="楷体"/>
          <w:sz w:val="24"/>
          <w:szCs w:val="24"/>
        </w:rPr>
        <w:t>恪尽职守，依照诚实信用、勤勉尽责的原则，谨慎、有效管理和运用理财资产；</w:t>
      </w:r>
    </w:p>
    <w:p>
      <w:pPr>
        <w:numPr>
          <w:ilvl w:val="0"/>
          <w:numId w:val="4"/>
        </w:numPr>
        <w:adjustRightInd w:val="0"/>
        <w:snapToGrid w:val="0"/>
        <w:ind w:left="0" w:firstLine="480" w:firstLineChars="200"/>
        <w:rPr>
          <w:rFonts w:ascii="楷体" w:hAnsi="楷体" w:eastAsia="楷体"/>
          <w:sz w:val="24"/>
          <w:szCs w:val="24"/>
        </w:rPr>
      </w:pPr>
      <w:r>
        <w:rPr>
          <w:rFonts w:hint="eastAsia" w:ascii="楷体" w:hAnsi="楷体" w:eastAsia="楷体"/>
          <w:sz w:val="24"/>
          <w:szCs w:val="24"/>
        </w:rPr>
        <w:t>充分考虑本理财产品的特点，设置相应的部门并配备足够的具有专业资格的人员进行理财投资分析、决策，以专业化的经营方式管理和运作理财资产，防范和减少风险；</w:t>
      </w:r>
    </w:p>
    <w:p>
      <w:pPr>
        <w:numPr>
          <w:ilvl w:val="0"/>
          <w:numId w:val="4"/>
        </w:numPr>
        <w:adjustRightInd w:val="0"/>
        <w:snapToGrid w:val="0"/>
        <w:ind w:left="0" w:firstLine="480" w:firstLineChars="200"/>
        <w:rPr>
          <w:rFonts w:ascii="楷体" w:hAnsi="楷体" w:eastAsia="楷体"/>
          <w:sz w:val="24"/>
          <w:szCs w:val="24"/>
        </w:rPr>
      </w:pPr>
      <w:r>
        <w:rPr>
          <w:rFonts w:hint="eastAsia" w:ascii="楷体" w:hAnsi="楷体" w:eastAsia="楷体"/>
          <w:sz w:val="24"/>
          <w:szCs w:val="24"/>
        </w:rPr>
        <w:t>按照法律、行政法规、监管规定和理财产品投资协议、销售协议的约定，办理理财产品的认（申）购、赎回，不得擅自拒绝接受投资者的认（申）购、赎回申请。暂停或者开放认（申）购、赎回等业务的，应当按照相关规定和投资协议、销售协议约定说明具体原因和依据。</w:t>
      </w:r>
    </w:p>
    <w:p>
      <w:pPr>
        <w:numPr>
          <w:ilvl w:val="0"/>
          <w:numId w:val="4"/>
        </w:numPr>
        <w:adjustRightInd w:val="0"/>
        <w:snapToGrid w:val="0"/>
        <w:ind w:left="0" w:firstLine="480" w:firstLineChars="200"/>
        <w:rPr>
          <w:rFonts w:ascii="楷体" w:hAnsi="楷体" w:eastAsia="楷体"/>
          <w:sz w:val="24"/>
          <w:szCs w:val="24"/>
        </w:rPr>
      </w:pPr>
      <w:r>
        <w:rPr>
          <w:rFonts w:hint="eastAsia" w:ascii="楷体" w:hAnsi="楷体" w:eastAsia="楷体"/>
          <w:sz w:val="24"/>
          <w:szCs w:val="24"/>
        </w:rPr>
        <w:t>按照法律法规、监管规定、理财产品投资协议书、理财产品说明书、理财产品（代理）销售协议书等的约定收取销售费用，并如实核算、记账；未经载明，不得对不同投资者适用不同费率。</w:t>
      </w:r>
    </w:p>
    <w:p>
      <w:pPr>
        <w:numPr>
          <w:ilvl w:val="0"/>
          <w:numId w:val="4"/>
        </w:numPr>
        <w:adjustRightInd w:val="0"/>
        <w:snapToGrid w:val="0"/>
        <w:ind w:left="0" w:firstLine="480" w:firstLineChars="200"/>
        <w:rPr>
          <w:rFonts w:ascii="楷体" w:hAnsi="楷体" w:eastAsia="楷体"/>
          <w:sz w:val="24"/>
          <w:szCs w:val="24"/>
        </w:rPr>
      </w:pPr>
      <w:r>
        <w:rPr>
          <w:rFonts w:hint="eastAsia" w:ascii="楷体" w:hAnsi="楷体" w:eastAsia="楷体"/>
          <w:sz w:val="24"/>
          <w:szCs w:val="24"/>
        </w:rPr>
        <w:t>建立健全内部控制制度，保证苏银理财的固有财产和理财财产相互独立，对所管理的不同理财财产分别管理、分别记账，进行投资；</w:t>
      </w:r>
    </w:p>
    <w:p>
      <w:pPr>
        <w:numPr>
          <w:ilvl w:val="0"/>
          <w:numId w:val="4"/>
        </w:numPr>
        <w:adjustRightInd w:val="0"/>
        <w:snapToGrid w:val="0"/>
        <w:ind w:left="0" w:firstLine="480" w:firstLineChars="200"/>
        <w:rPr>
          <w:rFonts w:ascii="楷体" w:hAnsi="楷体" w:eastAsia="楷体"/>
          <w:sz w:val="24"/>
          <w:szCs w:val="24"/>
        </w:rPr>
      </w:pPr>
      <w:r>
        <w:rPr>
          <w:rFonts w:hint="eastAsia" w:ascii="楷体" w:hAnsi="楷体" w:eastAsia="楷体"/>
          <w:sz w:val="24"/>
          <w:szCs w:val="24"/>
        </w:rPr>
        <w:t>除依据法律法规和理财产品合同的约定外，不得利用理财资产为苏银理财自身及任何第三方谋取利益；</w:t>
      </w:r>
    </w:p>
    <w:p>
      <w:pPr>
        <w:numPr>
          <w:ilvl w:val="0"/>
          <w:numId w:val="4"/>
        </w:numPr>
        <w:adjustRightInd w:val="0"/>
        <w:snapToGrid w:val="0"/>
        <w:ind w:left="0" w:firstLine="480" w:firstLineChars="200"/>
        <w:rPr>
          <w:rFonts w:ascii="楷体" w:hAnsi="楷体" w:eastAsia="楷体"/>
          <w:sz w:val="24"/>
          <w:szCs w:val="24"/>
        </w:rPr>
      </w:pPr>
      <w:r>
        <w:rPr>
          <w:rFonts w:hint="eastAsia" w:ascii="楷体" w:hAnsi="楷体" w:eastAsia="楷体"/>
          <w:sz w:val="24"/>
          <w:szCs w:val="24"/>
        </w:rPr>
        <w:t>除依据法律法规和理财产品合同的约定外，苏银理财不得委托第三人管理、运作理财资产；</w:t>
      </w:r>
    </w:p>
    <w:p>
      <w:pPr>
        <w:numPr>
          <w:ilvl w:val="0"/>
          <w:numId w:val="4"/>
        </w:numPr>
        <w:adjustRightInd w:val="0"/>
        <w:snapToGrid w:val="0"/>
        <w:ind w:left="0" w:firstLine="480" w:firstLineChars="200"/>
        <w:rPr>
          <w:rFonts w:ascii="楷体" w:hAnsi="楷体" w:eastAsia="楷体"/>
          <w:sz w:val="24"/>
          <w:szCs w:val="24"/>
        </w:rPr>
      </w:pPr>
      <w:r>
        <w:rPr>
          <w:rFonts w:hint="eastAsia" w:ascii="楷体" w:hAnsi="楷体" w:eastAsia="楷体"/>
          <w:sz w:val="24"/>
          <w:szCs w:val="24"/>
        </w:rPr>
        <w:t>依照法律、行政法规、规章规定和理财产品合同约定，接受理财产品托管人对理财产品投资运作的监督；</w:t>
      </w:r>
    </w:p>
    <w:p>
      <w:pPr>
        <w:adjustRightInd w:val="0"/>
        <w:snapToGrid w:val="0"/>
        <w:ind w:firstLine="480" w:firstLineChars="200"/>
        <w:jc w:val="left"/>
        <w:rPr>
          <w:rFonts w:ascii="楷体" w:hAnsi="楷体" w:eastAsia="楷体"/>
          <w:sz w:val="24"/>
          <w:szCs w:val="24"/>
        </w:rPr>
      </w:pPr>
      <w:r>
        <w:rPr>
          <w:rFonts w:hint="eastAsia" w:ascii="楷体" w:hAnsi="楷体" w:eastAsia="楷体"/>
          <w:sz w:val="24"/>
          <w:szCs w:val="24"/>
        </w:rPr>
        <w:t>10.取所有必要措施对理财产品托管人违反法律法规、理财产品合同和托管协议的行为进行纠正；</w:t>
      </w:r>
    </w:p>
    <w:p>
      <w:pPr>
        <w:adjustRightInd w:val="0"/>
        <w:snapToGrid w:val="0"/>
        <w:ind w:firstLine="480" w:firstLineChars="200"/>
        <w:jc w:val="left"/>
        <w:rPr>
          <w:rFonts w:ascii="楷体" w:hAnsi="楷体" w:eastAsia="楷体"/>
          <w:sz w:val="24"/>
          <w:szCs w:val="24"/>
        </w:rPr>
      </w:pPr>
      <w:r>
        <w:rPr>
          <w:rFonts w:hint="eastAsia" w:ascii="楷体" w:hAnsi="楷体" w:eastAsia="楷体"/>
          <w:sz w:val="24"/>
          <w:szCs w:val="24"/>
        </w:rPr>
        <w:t>11.按规定计算并披露理财产品的资产净值和份额净值；</w:t>
      </w:r>
    </w:p>
    <w:p>
      <w:pPr>
        <w:tabs>
          <w:tab w:val="left" w:pos="993"/>
        </w:tabs>
        <w:adjustRightInd w:val="0"/>
        <w:snapToGrid w:val="0"/>
        <w:ind w:firstLine="480" w:firstLineChars="200"/>
        <w:rPr>
          <w:rFonts w:ascii="楷体" w:hAnsi="楷体" w:eastAsia="楷体"/>
          <w:sz w:val="24"/>
          <w:szCs w:val="24"/>
        </w:rPr>
      </w:pPr>
      <w:r>
        <w:rPr>
          <w:rFonts w:hint="eastAsia" w:ascii="楷体" w:hAnsi="楷体" w:eastAsia="楷体"/>
          <w:sz w:val="24"/>
          <w:szCs w:val="24"/>
        </w:rPr>
        <w:t>12.严格按照法律法规和理财产品合同的约定履行信息披露及报告义务；</w:t>
      </w:r>
    </w:p>
    <w:p>
      <w:pPr>
        <w:tabs>
          <w:tab w:val="left" w:pos="993"/>
        </w:tabs>
        <w:adjustRightInd w:val="0"/>
        <w:snapToGrid w:val="0"/>
        <w:ind w:firstLine="480" w:firstLineChars="200"/>
        <w:rPr>
          <w:rFonts w:ascii="楷体" w:hAnsi="楷体" w:eastAsia="楷体"/>
          <w:sz w:val="24"/>
          <w:szCs w:val="24"/>
        </w:rPr>
      </w:pPr>
      <w:r>
        <w:rPr>
          <w:rFonts w:hint="eastAsia" w:ascii="楷体" w:hAnsi="楷体" w:eastAsia="楷体"/>
          <w:sz w:val="24"/>
          <w:szCs w:val="24"/>
        </w:rPr>
        <w:t>13.根据相关法律、法规严格履行投资者信息保密责任，除监管机构或司法机关等有权机构外，不得对其他第三方提供任何投资者信息；</w:t>
      </w:r>
    </w:p>
    <w:p>
      <w:pPr>
        <w:tabs>
          <w:tab w:val="left" w:pos="993"/>
        </w:tabs>
        <w:adjustRightInd w:val="0"/>
        <w:snapToGrid w:val="0"/>
        <w:ind w:firstLine="480" w:firstLineChars="200"/>
        <w:rPr>
          <w:rFonts w:ascii="楷体" w:hAnsi="楷体" w:eastAsia="楷体"/>
          <w:sz w:val="24"/>
          <w:szCs w:val="24"/>
        </w:rPr>
      </w:pPr>
      <w:r>
        <w:rPr>
          <w:rFonts w:hint="eastAsia" w:ascii="楷体" w:hAnsi="楷体" w:eastAsia="楷体"/>
          <w:sz w:val="24"/>
          <w:szCs w:val="24"/>
        </w:rPr>
        <w:t>14.依据理财产品合同规定制订理财收益分配方案并向本理财产品的理财份额持有人分配理财收益；</w:t>
      </w:r>
    </w:p>
    <w:p>
      <w:pPr>
        <w:tabs>
          <w:tab w:val="left" w:pos="993"/>
        </w:tabs>
        <w:adjustRightInd w:val="0"/>
        <w:snapToGrid w:val="0"/>
        <w:ind w:firstLine="480" w:firstLineChars="200"/>
        <w:rPr>
          <w:rFonts w:ascii="楷体" w:hAnsi="楷体" w:eastAsia="楷体"/>
          <w:sz w:val="24"/>
          <w:szCs w:val="24"/>
        </w:rPr>
      </w:pPr>
      <w:r>
        <w:rPr>
          <w:rFonts w:hint="eastAsia" w:ascii="楷体" w:hAnsi="楷体" w:eastAsia="楷体"/>
          <w:sz w:val="24"/>
          <w:szCs w:val="24"/>
        </w:rPr>
        <w:t>15.监督理财产品托管人按法律法规和理财产品合同规定履行自己的义务。理财产品托管人因过错造成理财资产损失时，苏银理财应为理财利益向理财产品托管人追索，除法律法规另有规定外，不承担连带责任；</w:t>
      </w:r>
    </w:p>
    <w:p>
      <w:pPr>
        <w:tabs>
          <w:tab w:val="left" w:pos="993"/>
        </w:tabs>
        <w:adjustRightInd w:val="0"/>
        <w:snapToGrid w:val="0"/>
        <w:ind w:firstLine="480" w:firstLineChars="200"/>
        <w:rPr>
          <w:rFonts w:ascii="楷体" w:hAnsi="楷体" w:eastAsia="楷体"/>
          <w:sz w:val="24"/>
          <w:szCs w:val="24"/>
        </w:rPr>
      </w:pPr>
      <w:r>
        <w:rPr>
          <w:rFonts w:hint="eastAsia" w:ascii="楷体" w:hAnsi="楷体" w:eastAsia="楷体"/>
          <w:sz w:val="24"/>
          <w:szCs w:val="24"/>
        </w:rPr>
        <w:t>16.不从事任何有损本理财产品其它当事人合法权益的活动。</w:t>
      </w:r>
    </w:p>
    <w:p>
      <w:pPr>
        <w:ind w:firstLine="482" w:firstLineChars="200"/>
        <w:rPr>
          <w:rFonts w:ascii="楷体" w:hAnsi="楷体" w:eastAsia="楷体"/>
          <w:b/>
          <w:sz w:val="24"/>
          <w:szCs w:val="24"/>
        </w:rPr>
      </w:pPr>
      <w:r>
        <w:rPr>
          <w:rFonts w:hint="eastAsia" w:ascii="楷体" w:hAnsi="楷体" w:eastAsia="楷体"/>
          <w:b/>
          <w:sz w:val="24"/>
          <w:szCs w:val="24"/>
        </w:rPr>
        <w:t>四、理财产品投资</w:t>
      </w:r>
    </w:p>
    <w:p>
      <w:pPr>
        <w:numPr>
          <w:ilvl w:val="0"/>
          <w:numId w:val="5"/>
        </w:numPr>
        <w:tabs>
          <w:tab w:val="left" w:pos="993"/>
        </w:tabs>
        <w:ind w:left="0" w:firstLine="482" w:firstLineChars="200"/>
        <w:outlineLvl w:val="2"/>
        <w:rPr>
          <w:rFonts w:ascii="楷体" w:hAnsi="楷体" w:eastAsia="楷体" w:cs="Calibri"/>
          <w:b/>
          <w:sz w:val="24"/>
          <w:szCs w:val="24"/>
        </w:rPr>
      </w:pPr>
      <w:r>
        <w:rPr>
          <w:rFonts w:hint="eastAsia" w:ascii="楷体" w:hAnsi="楷体" w:eastAsia="楷体" w:cs="Calibri"/>
          <w:b/>
          <w:sz w:val="24"/>
          <w:szCs w:val="24"/>
        </w:rPr>
        <w:t>投资范围和比例</w:t>
      </w:r>
    </w:p>
    <w:p>
      <w:pPr>
        <w:ind w:firstLine="480" w:firstLineChars="200"/>
        <w:rPr>
          <w:rFonts w:ascii="楷体" w:hAnsi="楷体" w:eastAsia="楷体"/>
          <w:sz w:val="24"/>
          <w:szCs w:val="24"/>
          <w:highlight w:val="none"/>
        </w:rPr>
      </w:pPr>
      <w:r>
        <w:rPr>
          <w:rFonts w:hint="eastAsia" w:ascii="楷体" w:hAnsi="楷体" w:eastAsia="楷体"/>
          <w:sz w:val="24"/>
          <w:szCs w:val="24"/>
          <w:highlight w:val="none"/>
        </w:rPr>
        <w:t>本理财产品将募集资金100%投资于法律法规及银行业监督管理机构允许投资的金融工具，包括现金，期限在一年以内（含一年）的银行存款、债券回购、中央银行票据、同业存单；剩余期限在</w:t>
      </w:r>
      <w:r>
        <w:rPr>
          <w:rFonts w:ascii="楷体" w:hAnsi="楷体" w:eastAsia="楷体"/>
          <w:sz w:val="24"/>
          <w:szCs w:val="24"/>
          <w:highlight w:val="none"/>
        </w:rPr>
        <w:t>397天以内（含397天）的债券、</w:t>
      </w:r>
      <w:r>
        <w:rPr>
          <w:rFonts w:hint="eastAsia" w:ascii="楷体" w:hAnsi="楷体" w:eastAsia="楷体"/>
          <w:sz w:val="24"/>
          <w:szCs w:val="24"/>
          <w:highlight w:val="none"/>
        </w:rPr>
        <w:t>在银行间市场和证券交易所市场发行的资产支持证券，以及银行业监督管理机构认可的其他具有良好流动性的货币市场工具。管理人可直接或间接通过各类资管计划投资于上述资产。</w:t>
      </w:r>
    </w:p>
    <w:p>
      <w:pPr>
        <w:ind w:firstLine="480" w:firstLineChars="200"/>
        <w:rPr>
          <w:rFonts w:ascii="楷体" w:hAnsi="楷体" w:eastAsia="楷体"/>
          <w:sz w:val="24"/>
          <w:szCs w:val="24"/>
        </w:rPr>
      </w:pPr>
      <w:r>
        <w:rPr>
          <w:rFonts w:hint="eastAsia" w:ascii="楷体" w:hAnsi="楷体" w:eastAsia="楷体"/>
          <w:sz w:val="24"/>
          <w:szCs w:val="24"/>
        </w:rPr>
        <w:t>非因管理人主观因素导致突破前述比例限制的，管理人将在流动性受限资产可出售、可转让或者恢复交易的</w:t>
      </w:r>
      <w:r>
        <w:rPr>
          <w:rFonts w:ascii="楷体" w:hAnsi="楷体" w:eastAsia="楷体"/>
          <w:sz w:val="24"/>
          <w:szCs w:val="24"/>
        </w:rPr>
        <w:t>15个交易日</w:t>
      </w:r>
      <w:r>
        <w:rPr>
          <w:rFonts w:hint="eastAsia" w:ascii="楷体" w:hAnsi="楷体" w:eastAsia="楷体"/>
          <w:sz w:val="24"/>
          <w:szCs w:val="24"/>
        </w:rPr>
        <w:t>内调整至符合相关要求。相关法律法规和监管部门对以上投资范围和配置比例有另行规定的，按照监管最新规定执行。</w:t>
      </w:r>
    </w:p>
    <w:p>
      <w:pPr>
        <w:numPr>
          <w:ilvl w:val="0"/>
          <w:numId w:val="5"/>
        </w:numPr>
        <w:tabs>
          <w:tab w:val="left" w:pos="993"/>
        </w:tabs>
        <w:ind w:left="0" w:firstLine="482" w:firstLineChars="200"/>
        <w:outlineLvl w:val="2"/>
        <w:rPr>
          <w:rFonts w:ascii="楷体" w:hAnsi="楷体" w:eastAsia="楷体" w:cs="Calibri"/>
          <w:b/>
          <w:sz w:val="24"/>
          <w:szCs w:val="24"/>
        </w:rPr>
      </w:pPr>
      <w:r>
        <w:rPr>
          <w:rFonts w:hint="eastAsia" w:ascii="楷体" w:hAnsi="楷体" w:eastAsia="楷体" w:cs="Calibri"/>
          <w:b/>
          <w:sz w:val="24"/>
          <w:szCs w:val="24"/>
        </w:rPr>
        <w:t>投资限制</w:t>
      </w:r>
    </w:p>
    <w:p>
      <w:pPr>
        <w:ind w:firstLine="482" w:firstLineChars="200"/>
        <w:rPr>
          <w:rFonts w:ascii="楷体" w:hAnsi="楷体" w:eastAsia="楷体" w:cs="Calibri"/>
          <w:b/>
          <w:sz w:val="24"/>
          <w:szCs w:val="24"/>
          <w:u w:val="single"/>
        </w:rPr>
      </w:pPr>
      <w:r>
        <w:rPr>
          <w:rFonts w:ascii="楷体" w:hAnsi="楷体" w:eastAsia="楷体" w:cs="Calibri"/>
          <w:b/>
          <w:sz w:val="24"/>
          <w:szCs w:val="24"/>
          <w:u w:val="single"/>
        </w:rPr>
        <w:t>1</w:t>
      </w:r>
      <w:r>
        <w:rPr>
          <w:rFonts w:hint="eastAsia" w:ascii="楷体" w:hAnsi="楷体" w:eastAsia="楷体" w:cs="Calibri"/>
          <w:b/>
          <w:sz w:val="24"/>
          <w:szCs w:val="24"/>
          <w:u w:val="single"/>
        </w:rPr>
        <w:t>．本理财产品的投资集中度要求如下：</w:t>
      </w:r>
    </w:p>
    <w:p>
      <w:pPr>
        <w:ind w:firstLine="480" w:firstLineChars="200"/>
        <w:rPr>
          <w:rFonts w:ascii="楷体" w:hAnsi="楷体" w:eastAsia="楷体" w:cs="Calibri"/>
          <w:sz w:val="24"/>
          <w:szCs w:val="24"/>
        </w:rPr>
      </w:pPr>
      <w:r>
        <w:rPr>
          <w:rFonts w:hint="eastAsia" w:ascii="楷体" w:hAnsi="楷体" w:eastAsia="楷体" w:cs="Calibri"/>
          <w:sz w:val="24"/>
          <w:szCs w:val="24"/>
        </w:rPr>
        <w:t>（1）本理财产品投资于单只证券或单只公募证券投资基金的市值不超过本产品净资产的10%。投资于国债、地方政府债、央票、政府机构债、政策性银行债的除外。</w:t>
      </w:r>
    </w:p>
    <w:p>
      <w:pPr>
        <w:ind w:firstLine="480" w:firstLineChars="200"/>
        <w:rPr>
          <w:rFonts w:ascii="楷体" w:hAnsi="楷体" w:eastAsia="楷体" w:cs="Calibri"/>
          <w:sz w:val="24"/>
          <w:szCs w:val="24"/>
        </w:rPr>
      </w:pPr>
      <w:r>
        <w:rPr>
          <w:rFonts w:hint="eastAsia" w:ascii="楷体" w:hAnsi="楷体" w:eastAsia="楷体" w:cs="Calibri"/>
          <w:sz w:val="24"/>
          <w:szCs w:val="24"/>
        </w:rPr>
        <w:t>（2）管理人发行的全部公募理财产品投资单只证券或者单只证券投资基金的市值不得超过该证券市值或者证券投资基金市值的30%。</w:t>
      </w:r>
    </w:p>
    <w:p>
      <w:pPr>
        <w:ind w:firstLine="480" w:firstLineChars="200"/>
        <w:rPr>
          <w:rFonts w:ascii="楷体" w:hAnsi="楷体" w:eastAsia="楷体" w:cs="Calibri"/>
          <w:sz w:val="24"/>
          <w:szCs w:val="24"/>
        </w:rPr>
      </w:pPr>
      <w:r>
        <w:rPr>
          <w:rFonts w:hint="eastAsia" w:ascii="楷体" w:hAnsi="楷体" w:eastAsia="楷体" w:cs="Calibri"/>
          <w:sz w:val="24"/>
          <w:szCs w:val="24"/>
        </w:rPr>
        <w:t>（3）本理财产品投资于同一机构发行的债券及其作为原始权益人的资产支持证券的比例合计不得超过本理财产品资产净值的10%，投资于国债、中央银行票据、政策性金融债券的除外。</w:t>
      </w:r>
    </w:p>
    <w:p>
      <w:pPr>
        <w:ind w:firstLine="480" w:firstLineChars="200"/>
        <w:rPr>
          <w:rFonts w:ascii="楷体" w:hAnsi="楷体" w:eastAsia="楷体" w:cs="Calibri"/>
          <w:sz w:val="24"/>
          <w:szCs w:val="24"/>
        </w:rPr>
      </w:pPr>
      <w:r>
        <w:rPr>
          <w:rFonts w:hint="eastAsia" w:ascii="楷体" w:hAnsi="楷体" w:eastAsia="楷体" w:cs="Calibri"/>
          <w:sz w:val="24"/>
          <w:szCs w:val="24"/>
        </w:rPr>
        <w:t>（4）本理财产品投资于所有主体信用评级低于AAA的机构发行的金融工具的比例合计不得超过本理财产品资产净值的10%，其中单一机构发行的金融工具的比例合计不得超过本理财产品资产净值的2%；本款所称金融工具包括债券、银行存款、同业存单、相关机构作为原始权益人的资产支持证券及银保监会认可的其他金融工具。</w:t>
      </w:r>
    </w:p>
    <w:p>
      <w:pPr>
        <w:ind w:firstLine="480" w:firstLineChars="200"/>
        <w:rPr>
          <w:rFonts w:ascii="楷体" w:hAnsi="楷体" w:eastAsia="楷体" w:cs="Calibri"/>
          <w:sz w:val="24"/>
          <w:szCs w:val="24"/>
        </w:rPr>
      </w:pPr>
      <w:r>
        <w:rPr>
          <w:rFonts w:hint="eastAsia" w:ascii="楷体" w:hAnsi="楷体" w:eastAsia="楷体" w:cs="Calibri"/>
          <w:sz w:val="24"/>
          <w:szCs w:val="24"/>
        </w:rPr>
        <w:t>（5）本理财产品投资于有固定期限银行存款的比例合计不得超过本理财产品资产净值的30%，投资于有存款期限，根据协议可提前支取的银行存款除外；本理财产品投资于主体信用评级为AAA的同一商业银行的银行存款、同业存单占本理财产品资产净值的比例合计不得超过20%。</w:t>
      </w:r>
    </w:p>
    <w:p>
      <w:pPr>
        <w:ind w:firstLine="480" w:firstLineChars="200"/>
        <w:rPr>
          <w:rFonts w:ascii="楷体" w:hAnsi="楷体" w:eastAsia="楷体" w:cs="Calibri"/>
          <w:sz w:val="24"/>
          <w:szCs w:val="24"/>
        </w:rPr>
      </w:pPr>
      <w:r>
        <w:rPr>
          <w:rFonts w:hint="eastAsia" w:ascii="楷体" w:hAnsi="楷体" w:eastAsia="楷体" w:cs="Calibri"/>
          <w:sz w:val="24"/>
          <w:szCs w:val="24"/>
        </w:rPr>
        <w:t>（6）管理人管理的全部现金管理类产品投资于同一商业银行的存款、同业存单和债券，不得超过该商业银行最近一个季度末净资产的10%。</w:t>
      </w:r>
    </w:p>
    <w:p>
      <w:pPr>
        <w:ind w:firstLine="480" w:firstLineChars="200"/>
        <w:rPr>
          <w:rFonts w:ascii="楷体" w:hAnsi="楷体" w:eastAsia="楷体" w:cs="Calibri"/>
          <w:sz w:val="24"/>
          <w:szCs w:val="24"/>
        </w:rPr>
      </w:pPr>
      <w:r>
        <w:rPr>
          <w:rFonts w:hint="eastAsia" w:ascii="楷体" w:hAnsi="楷体" w:eastAsia="楷体" w:cs="Calibri"/>
          <w:sz w:val="24"/>
          <w:szCs w:val="24"/>
        </w:rPr>
        <w:t>因非管理人主观因素致使不符合上述第（1）项、第（2）项比例限制的，管理人将在流动性受限资产可出售、可转让或者恢复交易的10个交易日内调整至符合相关要求。</w:t>
      </w:r>
    </w:p>
    <w:p>
      <w:pPr>
        <w:ind w:firstLine="480" w:firstLineChars="200"/>
        <w:rPr>
          <w:rFonts w:ascii="楷体" w:hAnsi="楷体" w:eastAsia="楷体" w:cs="Calibri"/>
          <w:sz w:val="24"/>
          <w:szCs w:val="24"/>
        </w:rPr>
      </w:pPr>
      <w:r>
        <w:rPr>
          <w:rFonts w:hint="eastAsia" w:ascii="楷体" w:hAnsi="楷体" w:eastAsia="楷体" w:cs="Calibri"/>
          <w:sz w:val="24"/>
          <w:szCs w:val="24"/>
        </w:rPr>
        <w:t>因非管理人主观因素导致突破上述第（3）项至第（6）项比例限制的，管理人应当在10个交易日内调整至符合要求，银保监会规定的特殊情形除外。</w:t>
      </w:r>
    </w:p>
    <w:p>
      <w:pPr>
        <w:ind w:firstLine="480" w:firstLineChars="200"/>
        <w:rPr>
          <w:rFonts w:ascii="楷体" w:hAnsi="楷体" w:eastAsia="楷体" w:cs="Calibri"/>
          <w:sz w:val="24"/>
          <w:szCs w:val="24"/>
        </w:rPr>
      </w:pPr>
      <w:r>
        <w:rPr>
          <w:rFonts w:hint="eastAsia" w:ascii="楷体" w:hAnsi="楷体" w:eastAsia="楷体" w:cs="Calibri"/>
          <w:sz w:val="24"/>
          <w:szCs w:val="24"/>
        </w:rPr>
        <w:t>本理财产品拟投资于主体信用评级低于AA＋的商业银行的银行存款与同业存单的，应当经管理人董事会审议批准，相关交易应当事先告知托管人，并作为重大事项履行信息披露程序。</w:t>
      </w:r>
    </w:p>
    <w:p>
      <w:pPr>
        <w:ind w:firstLine="482" w:firstLineChars="200"/>
        <w:rPr>
          <w:rFonts w:ascii="楷体" w:hAnsi="楷体" w:eastAsia="楷体" w:cs="Calibri"/>
          <w:b/>
          <w:sz w:val="24"/>
          <w:szCs w:val="24"/>
          <w:u w:val="single"/>
        </w:rPr>
      </w:pPr>
      <w:r>
        <w:rPr>
          <w:rFonts w:ascii="楷体" w:hAnsi="楷体" w:eastAsia="楷体" w:cs="Calibri"/>
          <w:b/>
          <w:sz w:val="24"/>
          <w:szCs w:val="24"/>
          <w:u w:val="single"/>
        </w:rPr>
        <w:t>2</w:t>
      </w:r>
      <w:r>
        <w:rPr>
          <w:rFonts w:hint="eastAsia" w:ascii="楷体" w:hAnsi="楷体" w:eastAsia="楷体" w:cs="Calibri"/>
          <w:b/>
          <w:sz w:val="24"/>
          <w:szCs w:val="24"/>
          <w:u w:val="single"/>
        </w:rPr>
        <w:t>．本理财产品不得投资以下金融工具：</w:t>
      </w:r>
    </w:p>
    <w:p>
      <w:pPr>
        <w:ind w:firstLine="480" w:firstLineChars="200"/>
        <w:rPr>
          <w:rFonts w:ascii="楷体" w:hAnsi="楷体" w:eastAsia="楷体" w:cs="Calibri"/>
          <w:sz w:val="24"/>
          <w:szCs w:val="24"/>
        </w:rPr>
      </w:pPr>
      <w:r>
        <w:rPr>
          <w:rFonts w:hint="eastAsia" w:ascii="楷体" w:hAnsi="楷体" w:eastAsia="楷体" w:cs="Calibri"/>
          <w:sz w:val="24"/>
          <w:szCs w:val="24"/>
        </w:rPr>
        <w:t>（1）股票；</w:t>
      </w:r>
    </w:p>
    <w:p>
      <w:pPr>
        <w:ind w:firstLine="480" w:firstLineChars="200"/>
        <w:rPr>
          <w:rFonts w:ascii="楷体" w:hAnsi="楷体" w:eastAsia="楷体" w:cs="Calibri"/>
          <w:sz w:val="24"/>
          <w:szCs w:val="24"/>
        </w:rPr>
      </w:pPr>
      <w:r>
        <w:rPr>
          <w:rFonts w:hint="eastAsia" w:ascii="楷体" w:hAnsi="楷体" w:eastAsia="楷体" w:cs="Calibri"/>
          <w:sz w:val="24"/>
          <w:szCs w:val="24"/>
        </w:rPr>
        <w:t>（2）可转换债券、可交换债券；</w:t>
      </w:r>
    </w:p>
    <w:p>
      <w:pPr>
        <w:ind w:firstLine="480" w:firstLineChars="200"/>
        <w:rPr>
          <w:rFonts w:ascii="楷体" w:hAnsi="楷体" w:eastAsia="楷体" w:cs="Calibri"/>
          <w:sz w:val="24"/>
          <w:szCs w:val="24"/>
        </w:rPr>
      </w:pPr>
      <w:r>
        <w:rPr>
          <w:rFonts w:hint="eastAsia" w:ascii="楷体" w:hAnsi="楷体" w:eastAsia="楷体" w:cs="Calibri"/>
          <w:sz w:val="24"/>
          <w:szCs w:val="24"/>
        </w:rPr>
        <w:t>（3）以定期存款利率为基准利率的浮动利率债券，已进入最后一个利率调整期的除外；</w:t>
      </w:r>
    </w:p>
    <w:p>
      <w:pPr>
        <w:ind w:firstLine="480" w:firstLineChars="200"/>
        <w:rPr>
          <w:rFonts w:ascii="楷体" w:hAnsi="楷体" w:eastAsia="楷体" w:cs="Calibri"/>
          <w:sz w:val="24"/>
          <w:szCs w:val="24"/>
        </w:rPr>
      </w:pPr>
      <w:r>
        <w:rPr>
          <w:rFonts w:hint="eastAsia" w:ascii="楷体" w:hAnsi="楷体" w:eastAsia="楷体" w:cs="Calibri"/>
          <w:sz w:val="24"/>
          <w:szCs w:val="24"/>
        </w:rPr>
        <w:t>（4）信用等级在AA＋以下的债券、资产支持证券；</w:t>
      </w:r>
    </w:p>
    <w:p>
      <w:pPr>
        <w:ind w:firstLine="480" w:firstLineChars="200"/>
        <w:rPr>
          <w:rFonts w:ascii="楷体" w:hAnsi="楷体" w:eastAsia="楷体" w:cs="Calibri"/>
          <w:sz w:val="24"/>
          <w:szCs w:val="24"/>
        </w:rPr>
      </w:pPr>
      <w:r>
        <w:rPr>
          <w:rFonts w:hint="eastAsia" w:ascii="楷体" w:hAnsi="楷体" w:eastAsia="楷体" w:cs="Calibri"/>
          <w:sz w:val="24"/>
          <w:szCs w:val="24"/>
        </w:rPr>
        <w:t>（5）银保监会、中国人民银行禁止投资的其他金融工具。</w:t>
      </w:r>
    </w:p>
    <w:p>
      <w:pPr>
        <w:ind w:firstLine="480" w:firstLineChars="200"/>
        <w:rPr>
          <w:rFonts w:ascii="楷体" w:hAnsi="楷体" w:eastAsia="楷体" w:cs="Calibri"/>
          <w:sz w:val="24"/>
          <w:szCs w:val="24"/>
        </w:rPr>
      </w:pPr>
      <w:r>
        <w:rPr>
          <w:rFonts w:hint="eastAsia" w:ascii="楷体" w:hAnsi="楷体" w:eastAsia="楷体" w:cs="Calibri"/>
          <w:sz w:val="24"/>
          <w:szCs w:val="24"/>
        </w:rPr>
        <w:t>前述债券的信用等级应当主要参照最近一个会计年度的主体信用评级，如果对发行人同时有两家以上境内评级机构评级的，应当选择使用评级较低、违约概率较大的外部评级结果，并结合管理人内部评级进行独立判断和认定。</w:t>
      </w:r>
    </w:p>
    <w:p>
      <w:pPr>
        <w:ind w:firstLine="482" w:firstLineChars="200"/>
        <w:rPr>
          <w:rFonts w:ascii="楷体" w:hAnsi="楷体" w:eastAsia="楷体" w:cs="Calibri"/>
          <w:b/>
          <w:sz w:val="24"/>
          <w:szCs w:val="24"/>
          <w:u w:val="single"/>
        </w:rPr>
      </w:pPr>
      <w:r>
        <w:rPr>
          <w:rFonts w:ascii="楷体" w:hAnsi="楷体" w:eastAsia="楷体" w:cs="Calibri"/>
          <w:b/>
          <w:sz w:val="24"/>
          <w:szCs w:val="24"/>
          <w:u w:val="single"/>
        </w:rPr>
        <w:t>3</w:t>
      </w:r>
      <w:r>
        <w:rPr>
          <w:rFonts w:hint="eastAsia" w:ascii="楷体" w:hAnsi="楷体" w:eastAsia="楷体" w:cs="Calibri"/>
          <w:b/>
          <w:sz w:val="24"/>
          <w:szCs w:val="24"/>
          <w:u w:val="single"/>
        </w:rPr>
        <w:t>．本产品应当确保持有足够的具有良好流动性的资产，并符合以下要求：</w:t>
      </w:r>
    </w:p>
    <w:p>
      <w:pPr>
        <w:ind w:firstLine="480" w:firstLineChars="200"/>
        <w:rPr>
          <w:rFonts w:ascii="楷体" w:hAnsi="楷体" w:eastAsia="楷体" w:cs="Calibri"/>
          <w:sz w:val="24"/>
          <w:szCs w:val="24"/>
        </w:rPr>
      </w:pPr>
      <w:r>
        <w:rPr>
          <w:rFonts w:hint="eastAsia" w:ascii="楷体" w:hAnsi="楷体" w:eastAsia="楷体" w:cs="Calibri"/>
          <w:sz w:val="24"/>
          <w:szCs w:val="24"/>
        </w:rPr>
        <w:t>（1）本理财产品持有不低于本理财产品资产净值5%的现金、国债、中央银行票据、政策性金融债券。</w:t>
      </w:r>
    </w:p>
    <w:p>
      <w:pPr>
        <w:ind w:firstLine="480" w:firstLineChars="200"/>
        <w:rPr>
          <w:rFonts w:ascii="楷体" w:hAnsi="楷体" w:eastAsia="楷体" w:cs="Calibri"/>
          <w:sz w:val="24"/>
          <w:szCs w:val="24"/>
        </w:rPr>
      </w:pPr>
      <w:r>
        <w:rPr>
          <w:rFonts w:hint="eastAsia" w:ascii="楷体" w:hAnsi="楷体" w:eastAsia="楷体" w:cs="Calibri"/>
          <w:sz w:val="24"/>
          <w:szCs w:val="24"/>
        </w:rPr>
        <w:t>（2）本理财产品持有不低于本理财产品资产净值10%的现金、国债、中央银行票据、政策性金融债券以及五个交易日内到期的其他金融工具。</w:t>
      </w:r>
    </w:p>
    <w:p>
      <w:pPr>
        <w:ind w:firstLine="480" w:firstLineChars="200"/>
        <w:rPr>
          <w:rFonts w:ascii="楷体" w:hAnsi="楷体" w:eastAsia="楷体" w:cs="Calibri"/>
          <w:sz w:val="24"/>
          <w:szCs w:val="24"/>
        </w:rPr>
      </w:pPr>
      <w:r>
        <w:rPr>
          <w:rFonts w:hint="eastAsia" w:ascii="楷体" w:hAnsi="楷体" w:eastAsia="楷体" w:cs="Calibri"/>
          <w:sz w:val="24"/>
          <w:szCs w:val="24"/>
        </w:rPr>
        <w:t>（3）本理财产品投资到期日在10个交易日以上的债券买入返售、银行定期存款（含协议约定有条件提前支取的银行存款），以及资产支持证券、因发行人债务违约无法进行转让或者交易的债券等由于法律法规、合同或者操作障碍等原因无法以合理价格予以变现的流动性受限资产，合计不得超过该产品资产净值的10%。</w:t>
      </w:r>
    </w:p>
    <w:p>
      <w:pPr>
        <w:ind w:firstLine="480" w:firstLineChars="200"/>
        <w:rPr>
          <w:rFonts w:ascii="楷体" w:hAnsi="楷体" w:eastAsia="楷体" w:cs="Calibri"/>
          <w:sz w:val="24"/>
          <w:szCs w:val="24"/>
        </w:rPr>
      </w:pPr>
      <w:r>
        <w:rPr>
          <w:rFonts w:hint="eastAsia" w:ascii="楷体" w:hAnsi="楷体" w:eastAsia="楷体" w:cs="Calibri"/>
          <w:sz w:val="24"/>
          <w:szCs w:val="24"/>
        </w:rPr>
        <w:t>（4）本理财产品的杠杆水平不得超过120%，发生巨额赎回、连续3个交易日累计赎回20%以上或者连续5个交易日累计赎回30%以上的情形除外。</w:t>
      </w:r>
    </w:p>
    <w:p>
      <w:pPr>
        <w:ind w:firstLine="480" w:firstLineChars="200"/>
        <w:rPr>
          <w:rFonts w:ascii="楷体" w:hAnsi="楷体" w:eastAsia="楷体" w:cs="Calibri"/>
          <w:sz w:val="24"/>
          <w:szCs w:val="24"/>
        </w:rPr>
      </w:pPr>
      <w:r>
        <w:rPr>
          <w:rFonts w:hint="eastAsia" w:ascii="楷体" w:hAnsi="楷体" w:eastAsia="楷体" w:cs="Calibri"/>
          <w:sz w:val="24"/>
          <w:szCs w:val="24"/>
        </w:rPr>
        <w:t>因非管理人主观因素导致突破上述第（2）项、第（4）项比例限制的，管理人应当在10个交易日内调整至符合要求；因非管理人主观因素导致突破上述第（3）项比例限制的，管理人不得主动新增流动性受限资产的投资。</w:t>
      </w:r>
    </w:p>
    <w:p>
      <w:pPr>
        <w:ind w:firstLine="480" w:firstLineChars="200"/>
        <w:rPr>
          <w:rFonts w:ascii="楷体" w:hAnsi="楷体" w:eastAsia="楷体" w:cs="Calibri"/>
          <w:sz w:val="24"/>
          <w:szCs w:val="24"/>
        </w:rPr>
      </w:pPr>
      <w:r>
        <w:rPr>
          <w:rFonts w:hint="eastAsia" w:ascii="楷体" w:hAnsi="楷体" w:eastAsia="楷体" w:cs="Calibri"/>
          <w:sz w:val="24"/>
          <w:szCs w:val="24"/>
        </w:rPr>
        <w:t>4</w:t>
      </w:r>
      <w:r>
        <w:rPr>
          <w:rFonts w:ascii="楷体" w:hAnsi="楷体" w:eastAsia="楷体" w:cs="Calibri"/>
          <w:sz w:val="24"/>
          <w:szCs w:val="24"/>
        </w:rPr>
        <w:t>.</w:t>
      </w:r>
      <w:r>
        <w:rPr>
          <w:rFonts w:hint="eastAsia"/>
        </w:rPr>
        <w:t xml:space="preserve"> </w:t>
      </w:r>
      <w:r>
        <w:rPr>
          <w:rFonts w:hint="eastAsia" w:ascii="楷体" w:hAnsi="楷体" w:eastAsia="楷体" w:cs="Calibri"/>
          <w:sz w:val="24"/>
          <w:szCs w:val="24"/>
        </w:rPr>
        <w:t>本理财产品投资不存在活跃交易市场并且需要采用估值技术确定公允价值的资产比例不得达到或超过本理财产品净资产50%。非因管理人主观因素导致突破前款规定比例限制的,本理财产品不得新增投资上述资产。</w:t>
      </w:r>
    </w:p>
    <w:p>
      <w:pPr>
        <w:ind w:firstLine="482" w:firstLineChars="200"/>
        <w:rPr>
          <w:rFonts w:ascii="楷体" w:hAnsi="楷体" w:eastAsia="楷体" w:cs="Calibri"/>
          <w:b/>
          <w:sz w:val="24"/>
          <w:szCs w:val="24"/>
          <w:u w:val="single"/>
        </w:rPr>
      </w:pPr>
      <w:r>
        <w:rPr>
          <w:rFonts w:hint="eastAsia" w:ascii="楷体" w:hAnsi="楷体" w:eastAsia="楷体" w:cs="Calibri"/>
          <w:b/>
          <w:sz w:val="24"/>
          <w:szCs w:val="24"/>
          <w:u w:val="single"/>
        </w:rPr>
        <w:t>5</w:t>
      </w:r>
      <w:r>
        <w:rPr>
          <w:rFonts w:ascii="楷体" w:hAnsi="楷体" w:eastAsia="楷体" w:cs="Calibri"/>
          <w:b/>
          <w:sz w:val="24"/>
          <w:szCs w:val="24"/>
          <w:u w:val="single"/>
        </w:rPr>
        <w:t>.</w:t>
      </w:r>
      <w:r>
        <w:rPr>
          <w:rFonts w:hint="eastAsia"/>
          <w:b/>
          <w:u w:val="single"/>
        </w:rPr>
        <w:t xml:space="preserve"> </w:t>
      </w:r>
      <w:r>
        <w:rPr>
          <w:rFonts w:hint="eastAsia" w:ascii="楷体" w:hAnsi="楷体" w:eastAsia="楷体" w:cs="Calibri"/>
          <w:b/>
          <w:sz w:val="24"/>
          <w:szCs w:val="24"/>
          <w:u w:val="single"/>
        </w:rPr>
        <w:t>在开放日前一工作日内，本理财产品7个工作日可变现资产的可变现价值应当不低于本产品净资产的10%。</w:t>
      </w:r>
    </w:p>
    <w:p>
      <w:pPr>
        <w:ind w:firstLine="480" w:firstLineChars="200"/>
        <w:rPr>
          <w:rFonts w:ascii="楷体" w:hAnsi="楷体" w:eastAsia="楷体" w:cs="Calibri"/>
          <w:sz w:val="24"/>
          <w:szCs w:val="24"/>
        </w:rPr>
      </w:pPr>
      <w:r>
        <w:rPr>
          <w:rFonts w:hint="eastAsia" w:ascii="楷体" w:hAnsi="楷体" w:eastAsia="楷体" w:cs="Calibri"/>
          <w:sz w:val="24"/>
          <w:szCs w:val="24"/>
        </w:rPr>
        <w:t>6</w:t>
      </w:r>
      <w:r>
        <w:rPr>
          <w:rFonts w:ascii="楷体" w:hAnsi="楷体" w:eastAsia="楷体" w:cs="Calibri"/>
          <w:sz w:val="24"/>
          <w:szCs w:val="24"/>
        </w:rPr>
        <w:t>.</w:t>
      </w:r>
      <w:r>
        <w:rPr>
          <w:rFonts w:hint="eastAsia"/>
        </w:rPr>
        <w:t xml:space="preserve"> </w:t>
      </w:r>
      <w:r>
        <w:rPr>
          <w:rFonts w:hint="eastAsia" w:ascii="楷体" w:hAnsi="楷体" w:eastAsia="楷体" w:cs="Calibri"/>
          <w:b/>
          <w:sz w:val="24"/>
          <w:szCs w:val="24"/>
          <w:u w:val="single"/>
        </w:rPr>
        <w:t>本理财产品投资组合的平均剩余期限不得超过120天，平均剩余存续期限不得超过240天。</w:t>
      </w:r>
    </w:p>
    <w:p>
      <w:pPr>
        <w:ind w:firstLine="480" w:firstLineChars="200"/>
        <w:rPr>
          <w:rFonts w:ascii="楷体" w:hAnsi="楷体" w:eastAsia="楷体" w:cs="Calibri"/>
          <w:sz w:val="24"/>
          <w:szCs w:val="24"/>
        </w:rPr>
      </w:pPr>
      <w:r>
        <w:rPr>
          <w:rFonts w:hint="eastAsia" w:ascii="楷体" w:hAnsi="楷体" w:eastAsia="楷体" w:cs="Calibri"/>
          <w:sz w:val="24"/>
          <w:szCs w:val="24"/>
        </w:rPr>
        <w:t>本理财产品</w:t>
      </w:r>
      <w:r>
        <w:rPr>
          <w:rFonts w:hint="eastAsia" w:ascii="楷体" w:hAnsi="楷体" w:eastAsia="楷体" w:cs="Calibri"/>
          <w:b/>
          <w:sz w:val="24"/>
          <w:szCs w:val="24"/>
        </w:rPr>
        <w:t>投资组合平均剩余期限</w:t>
      </w:r>
      <w:r>
        <w:rPr>
          <w:rFonts w:hint="eastAsia" w:ascii="楷体" w:hAnsi="楷体" w:eastAsia="楷体" w:cs="Calibri"/>
          <w:sz w:val="24"/>
          <w:szCs w:val="24"/>
        </w:rPr>
        <w:t>的计算公式为：</w:t>
      </w:r>
    </w:p>
    <w:p>
      <w:pPr>
        <w:ind w:firstLine="480" w:firstLineChars="200"/>
        <w:rPr>
          <w:rFonts w:ascii="楷体" w:hAnsi="楷体" w:eastAsia="楷体" w:cs="Calibri"/>
          <w:sz w:val="24"/>
          <w:szCs w:val="24"/>
        </w:rPr>
      </w:pPr>
      <w:r>
        <w:rPr>
          <w:rFonts w:hint="eastAsia" w:ascii="楷体" w:hAnsi="楷体" w:eastAsia="楷体" w:cs="Calibri"/>
          <w:sz w:val="24"/>
          <w:szCs w:val="24"/>
        </w:rPr>
        <w:t>（∑本理财产品的资产×剩余期限—∑本理财产品的负债×剩余期限＋债券卖出回购×剩余期限）/（本理财产品的资产—本理财产品的负债＋债券卖出回购）</w:t>
      </w:r>
    </w:p>
    <w:p>
      <w:pPr>
        <w:ind w:firstLine="480" w:firstLineChars="200"/>
        <w:rPr>
          <w:rFonts w:ascii="楷体" w:hAnsi="楷体" w:eastAsia="楷体" w:cs="Calibri"/>
          <w:sz w:val="24"/>
          <w:szCs w:val="24"/>
        </w:rPr>
      </w:pPr>
      <w:r>
        <w:rPr>
          <w:rFonts w:hint="eastAsia" w:ascii="楷体" w:hAnsi="楷体" w:eastAsia="楷体" w:cs="Calibri"/>
          <w:sz w:val="24"/>
          <w:szCs w:val="24"/>
        </w:rPr>
        <w:t>本理财产品</w:t>
      </w:r>
      <w:r>
        <w:rPr>
          <w:rFonts w:hint="eastAsia" w:ascii="楷体" w:hAnsi="楷体" w:eastAsia="楷体" w:cs="Calibri"/>
          <w:b/>
          <w:sz w:val="24"/>
          <w:szCs w:val="24"/>
        </w:rPr>
        <w:t>投资组合平均剩余存续期限</w:t>
      </w:r>
      <w:r>
        <w:rPr>
          <w:rFonts w:hint="eastAsia" w:ascii="楷体" w:hAnsi="楷体" w:eastAsia="楷体" w:cs="Calibri"/>
          <w:sz w:val="24"/>
          <w:szCs w:val="24"/>
        </w:rPr>
        <w:t>的计算公式为：</w:t>
      </w:r>
    </w:p>
    <w:p>
      <w:pPr>
        <w:ind w:firstLine="480" w:firstLineChars="200"/>
        <w:rPr>
          <w:rFonts w:ascii="楷体" w:hAnsi="楷体" w:eastAsia="楷体" w:cs="Calibri"/>
          <w:sz w:val="24"/>
          <w:szCs w:val="24"/>
        </w:rPr>
      </w:pPr>
      <w:r>
        <w:rPr>
          <w:rFonts w:hint="eastAsia" w:ascii="楷体" w:hAnsi="楷体" w:eastAsia="楷体" w:cs="Calibri"/>
          <w:sz w:val="24"/>
          <w:szCs w:val="24"/>
        </w:rPr>
        <w:t>（∑本理财产品的资产×剩余存续期限—∑本理财产品的负债×剩余存续期限＋债券卖出回购×剩余存续期限）/（本理财产品的资产—本理财产品的负债＋债券卖出回购）</w:t>
      </w:r>
    </w:p>
    <w:p>
      <w:pPr>
        <w:ind w:firstLine="480" w:firstLineChars="200"/>
        <w:rPr>
          <w:rFonts w:ascii="楷体" w:hAnsi="楷体" w:eastAsia="楷体" w:cs="Calibri"/>
          <w:sz w:val="24"/>
          <w:szCs w:val="24"/>
        </w:rPr>
      </w:pPr>
      <w:r>
        <w:rPr>
          <w:rFonts w:hint="eastAsia" w:ascii="楷体" w:hAnsi="楷体" w:eastAsia="楷体" w:cs="Calibri"/>
          <w:sz w:val="24"/>
          <w:szCs w:val="24"/>
        </w:rPr>
        <w:t>投资组合中债券的剩余期限和剩余存续期限是指计算日至债券到期日为止所剩余的天数，以下情况除外：</w:t>
      </w:r>
    </w:p>
    <w:p>
      <w:pPr>
        <w:ind w:firstLine="480" w:firstLineChars="200"/>
        <w:rPr>
          <w:rFonts w:ascii="楷体" w:hAnsi="楷体" w:eastAsia="楷体" w:cs="Calibri"/>
          <w:sz w:val="24"/>
          <w:szCs w:val="24"/>
        </w:rPr>
      </w:pPr>
      <w:r>
        <w:rPr>
          <w:rFonts w:hint="eastAsia" w:ascii="楷体" w:hAnsi="楷体" w:eastAsia="楷体" w:cs="Calibri"/>
          <w:sz w:val="24"/>
          <w:szCs w:val="24"/>
        </w:rPr>
        <w:t>允许投资的可变利率或者浮动利率债券的剩余期限以计算日至下一个利率调整日的实际剩余天数计算。</w:t>
      </w:r>
    </w:p>
    <w:p>
      <w:pPr>
        <w:ind w:firstLine="480" w:firstLineChars="200"/>
        <w:rPr>
          <w:rFonts w:ascii="楷体" w:hAnsi="楷体" w:eastAsia="楷体" w:cs="Calibri"/>
          <w:sz w:val="24"/>
          <w:szCs w:val="24"/>
        </w:rPr>
      </w:pPr>
      <w:r>
        <w:rPr>
          <w:rFonts w:hint="eastAsia" w:ascii="楷体" w:hAnsi="楷体" w:eastAsia="楷体" w:cs="Calibri"/>
          <w:sz w:val="24"/>
          <w:szCs w:val="24"/>
        </w:rPr>
        <w:t>允许投资的可变利率或者浮动利率债券的剩余存续期限以计算日至债券到期日的实际剩余天数计算。</w:t>
      </w:r>
    </w:p>
    <w:p>
      <w:pPr>
        <w:ind w:firstLine="482" w:firstLineChars="200"/>
        <w:rPr>
          <w:rFonts w:ascii="楷体" w:hAnsi="楷体" w:eastAsia="楷体" w:cs="Calibri"/>
          <w:sz w:val="24"/>
          <w:szCs w:val="24"/>
        </w:rPr>
      </w:pPr>
      <w:r>
        <w:rPr>
          <w:rFonts w:hint="eastAsia" w:ascii="楷体" w:hAnsi="楷体" w:eastAsia="楷体" w:cs="Calibri"/>
          <w:b/>
          <w:sz w:val="24"/>
          <w:szCs w:val="24"/>
          <w:u w:val="single"/>
        </w:rPr>
        <w:t>7</w:t>
      </w:r>
      <w:r>
        <w:rPr>
          <w:rFonts w:ascii="楷体" w:hAnsi="楷体" w:eastAsia="楷体" w:cs="Calibri"/>
          <w:b/>
          <w:sz w:val="24"/>
          <w:szCs w:val="24"/>
          <w:u w:val="single"/>
        </w:rPr>
        <w:t>.</w:t>
      </w:r>
      <w:r>
        <w:rPr>
          <w:rFonts w:hint="eastAsia" w:ascii="楷体" w:hAnsi="楷体" w:eastAsia="楷体" w:cs="Calibri"/>
          <w:b/>
          <w:sz w:val="24"/>
          <w:szCs w:val="24"/>
          <w:u w:val="single"/>
        </w:rPr>
        <w:t>管理人应根据投资者集中度情况对投资组合实施调整，并遵守以下要求</w:t>
      </w:r>
      <w:r>
        <w:rPr>
          <w:rFonts w:hint="eastAsia" w:ascii="楷体" w:hAnsi="楷体" w:eastAsia="楷体" w:cs="Calibri"/>
          <w:sz w:val="24"/>
          <w:szCs w:val="24"/>
        </w:rPr>
        <w:t>：</w:t>
      </w:r>
    </w:p>
    <w:p>
      <w:pPr>
        <w:ind w:firstLine="480" w:firstLineChars="200"/>
        <w:rPr>
          <w:rFonts w:ascii="楷体" w:hAnsi="楷体" w:eastAsia="楷体" w:cs="Calibri"/>
          <w:sz w:val="24"/>
          <w:szCs w:val="24"/>
        </w:rPr>
      </w:pPr>
      <w:r>
        <w:rPr>
          <w:rFonts w:hint="eastAsia" w:ascii="楷体" w:hAnsi="楷体" w:eastAsia="楷体" w:cs="Calibri"/>
          <w:sz w:val="24"/>
          <w:szCs w:val="24"/>
        </w:rPr>
        <w:t>（1）当前1</w:t>
      </w:r>
      <w:r>
        <w:rPr>
          <w:rFonts w:ascii="楷体" w:hAnsi="楷体" w:eastAsia="楷体" w:cs="Calibri"/>
          <w:sz w:val="24"/>
          <w:szCs w:val="24"/>
        </w:rPr>
        <w:t>0</w:t>
      </w:r>
      <w:r>
        <w:rPr>
          <w:rFonts w:hint="eastAsia" w:ascii="楷体" w:hAnsi="楷体" w:eastAsia="楷体" w:cs="Calibri"/>
          <w:sz w:val="24"/>
          <w:szCs w:val="24"/>
        </w:rPr>
        <w:t>名投资者的持有份额合计超过本理财产品总份额的</w:t>
      </w:r>
      <w:r>
        <w:rPr>
          <w:rFonts w:hint="eastAsia" w:ascii="楷体" w:hAnsi="楷体" w:eastAsia="楷体" w:cs="Calibri"/>
          <w:b/>
          <w:sz w:val="24"/>
          <w:szCs w:val="24"/>
          <w:u w:val="single"/>
        </w:rPr>
        <w:t>50%</w:t>
      </w:r>
      <w:r>
        <w:rPr>
          <w:rFonts w:hint="eastAsia" w:ascii="楷体" w:hAnsi="楷体" w:eastAsia="楷体" w:cs="Calibri"/>
          <w:sz w:val="24"/>
          <w:szCs w:val="24"/>
        </w:rPr>
        <w:t>时，投资组合的平均剩余期限不得超过60天，平均剩余存续期限不得超过120天，投资组合中现金、国债、中央银行票据、政策性金融债券以及5个交易日内到期的其他金融工具占本理财产品资产净值的</w:t>
      </w:r>
      <w:r>
        <w:rPr>
          <w:rFonts w:hint="eastAsia" w:ascii="楷体" w:hAnsi="楷体" w:eastAsia="楷体" w:cs="Calibri"/>
          <w:b/>
          <w:sz w:val="24"/>
          <w:szCs w:val="24"/>
          <w:u w:val="single"/>
        </w:rPr>
        <w:t>比例合计不得低于30%</w:t>
      </w:r>
      <w:r>
        <w:rPr>
          <w:rFonts w:hint="eastAsia" w:ascii="楷体" w:hAnsi="楷体" w:eastAsia="楷体" w:cs="Calibri"/>
          <w:sz w:val="24"/>
          <w:szCs w:val="24"/>
        </w:rPr>
        <w:t>。</w:t>
      </w:r>
    </w:p>
    <w:p>
      <w:pPr>
        <w:ind w:firstLine="480" w:firstLineChars="200"/>
        <w:rPr>
          <w:rFonts w:ascii="楷体" w:hAnsi="楷体" w:eastAsia="楷体" w:cs="Calibri"/>
          <w:sz w:val="24"/>
          <w:szCs w:val="24"/>
        </w:rPr>
      </w:pPr>
      <w:r>
        <w:rPr>
          <w:rFonts w:hint="eastAsia" w:ascii="楷体" w:hAnsi="楷体" w:eastAsia="楷体" w:cs="Calibri"/>
          <w:sz w:val="24"/>
          <w:szCs w:val="24"/>
        </w:rPr>
        <w:t>（2）当前10名投资者的持有份额合计超过本理财产品总份额的</w:t>
      </w:r>
      <w:r>
        <w:rPr>
          <w:rFonts w:hint="eastAsia" w:ascii="楷体" w:hAnsi="楷体" w:eastAsia="楷体" w:cs="Calibri"/>
          <w:b/>
          <w:sz w:val="24"/>
          <w:szCs w:val="24"/>
          <w:u w:val="single"/>
        </w:rPr>
        <w:t>20%</w:t>
      </w:r>
      <w:r>
        <w:rPr>
          <w:rFonts w:hint="eastAsia" w:ascii="楷体" w:hAnsi="楷体" w:eastAsia="楷体" w:cs="Calibri"/>
          <w:sz w:val="24"/>
          <w:szCs w:val="24"/>
        </w:rPr>
        <w:t>时，投资组合的平均剩余期限不得超过90天，平均剩余存续期限不得超过180天，投资组合中现金、国债、中央银行票据、政策性金融债券以及5个交易日内到期的其他金融工具占本理财产品资产净值的</w:t>
      </w:r>
      <w:r>
        <w:rPr>
          <w:rFonts w:hint="eastAsia" w:ascii="楷体" w:hAnsi="楷体" w:eastAsia="楷体" w:cs="Calibri"/>
          <w:b/>
          <w:sz w:val="24"/>
          <w:szCs w:val="24"/>
          <w:u w:val="single"/>
        </w:rPr>
        <w:t>比例合计不得低于20%</w:t>
      </w:r>
      <w:r>
        <w:rPr>
          <w:rFonts w:hint="eastAsia" w:ascii="楷体" w:hAnsi="楷体" w:eastAsia="楷体" w:cs="Calibri"/>
          <w:sz w:val="24"/>
          <w:szCs w:val="24"/>
        </w:rPr>
        <w:t>。</w:t>
      </w:r>
    </w:p>
    <w:p>
      <w:pPr>
        <w:ind w:firstLine="480" w:firstLineChars="200"/>
        <w:rPr>
          <w:rFonts w:ascii="楷体" w:hAnsi="楷体" w:eastAsia="楷体" w:cs="Calibri"/>
          <w:sz w:val="24"/>
          <w:szCs w:val="24"/>
        </w:rPr>
      </w:pPr>
      <w:r>
        <w:rPr>
          <w:rFonts w:hint="eastAsia" w:ascii="楷体" w:hAnsi="楷体" w:eastAsia="楷体" w:cs="Calibri"/>
          <w:sz w:val="24"/>
          <w:szCs w:val="24"/>
        </w:rPr>
        <w:t>非因管理人主观因素导致突破上述第（1）项、第（2）项比例限制的，管理人应当在10个交易日内调整至符合要求，银保监会规定的特殊情形除外。</w:t>
      </w:r>
    </w:p>
    <w:p>
      <w:pPr>
        <w:ind w:firstLine="480" w:firstLineChars="200"/>
        <w:rPr>
          <w:rFonts w:ascii="楷体" w:hAnsi="楷体" w:eastAsia="楷体" w:cs="Calibri"/>
          <w:b/>
          <w:sz w:val="24"/>
          <w:szCs w:val="24"/>
        </w:rPr>
      </w:pPr>
      <w:r>
        <w:rPr>
          <w:rFonts w:ascii="楷体" w:hAnsi="楷体" w:eastAsia="楷体" w:cs="Calibri"/>
          <w:sz w:val="24"/>
          <w:szCs w:val="24"/>
        </w:rPr>
        <w:t>8.</w:t>
      </w:r>
      <w:r>
        <w:rPr>
          <w:rFonts w:hint="eastAsia"/>
        </w:rPr>
        <w:t xml:space="preserve"> </w:t>
      </w:r>
      <w:r>
        <w:rPr>
          <w:rFonts w:hint="eastAsia" w:ascii="楷体" w:hAnsi="楷体" w:eastAsia="楷体" w:cs="Calibri"/>
          <w:sz w:val="24"/>
          <w:szCs w:val="24"/>
        </w:rPr>
        <w:t>如法律法规或监管政策对上述限制有最新规定的， 可参照法律法规或监管政策的规定调整。</w:t>
      </w:r>
    </w:p>
    <w:p>
      <w:pPr>
        <w:numPr>
          <w:ilvl w:val="0"/>
          <w:numId w:val="5"/>
        </w:numPr>
        <w:tabs>
          <w:tab w:val="left" w:pos="993"/>
        </w:tabs>
        <w:ind w:left="0" w:firstLine="482" w:firstLineChars="200"/>
        <w:outlineLvl w:val="2"/>
        <w:rPr>
          <w:rFonts w:ascii="楷体" w:hAnsi="楷体" w:eastAsia="楷体" w:cs="Calibri"/>
          <w:b/>
          <w:sz w:val="24"/>
          <w:szCs w:val="24"/>
        </w:rPr>
      </w:pPr>
      <w:r>
        <w:rPr>
          <w:rFonts w:hint="eastAsia" w:ascii="楷体" w:hAnsi="楷体" w:eastAsia="楷体" w:cs="Calibri"/>
          <w:b/>
          <w:sz w:val="24"/>
          <w:szCs w:val="24"/>
        </w:rPr>
        <w:t>杠杆水平限制</w:t>
      </w:r>
    </w:p>
    <w:p>
      <w:pPr>
        <w:ind w:firstLine="482" w:firstLineChars="200"/>
        <w:rPr>
          <w:rFonts w:ascii="楷体" w:hAnsi="楷体" w:eastAsia="楷体"/>
          <w:sz w:val="24"/>
          <w:szCs w:val="24"/>
        </w:rPr>
      </w:pPr>
      <w:r>
        <w:rPr>
          <w:rFonts w:hint="eastAsia" w:ascii="楷体" w:hAnsi="楷体" w:eastAsia="楷体"/>
          <w:b/>
          <w:sz w:val="24"/>
          <w:szCs w:val="24"/>
          <w:u w:val="single"/>
        </w:rPr>
        <w:t>本理财产品资产总值/理财产品资产净值不超过</w:t>
      </w:r>
      <w:r>
        <w:rPr>
          <w:rFonts w:ascii="楷体" w:hAnsi="楷体" w:eastAsia="楷体"/>
          <w:b/>
          <w:sz w:val="24"/>
          <w:szCs w:val="24"/>
          <w:u w:val="single"/>
        </w:rPr>
        <w:t>120</w:t>
      </w:r>
      <w:r>
        <w:rPr>
          <w:rFonts w:hint="eastAsia" w:ascii="楷体" w:hAnsi="楷体" w:eastAsia="楷体"/>
          <w:b/>
          <w:sz w:val="24"/>
          <w:szCs w:val="24"/>
          <w:u w:val="single"/>
        </w:rPr>
        <w:t>%</w:t>
      </w:r>
      <w:r>
        <w:rPr>
          <w:rFonts w:hint="eastAsia" w:ascii="楷体" w:hAnsi="楷体" w:eastAsia="楷体"/>
          <w:sz w:val="24"/>
          <w:szCs w:val="24"/>
        </w:rPr>
        <w:t>（如监管有最新规定的参照监管规定调整）。</w:t>
      </w:r>
    </w:p>
    <w:p>
      <w:pPr>
        <w:numPr>
          <w:ilvl w:val="0"/>
          <w:numId w:val="5"/>
        </w:numPr>
        <w:tabs>
          <w:tab w:val="left" w:pos="993"/>
        </w:tabs>
        <w:ind w:left="0" w:firstLine="482" w:firstLineChars="200"/>
        <w:outlineLvl w:val="2"/>
        <w:rPr>
          <w:rFonts w:ascii="楷体" w:hAnsi="楷体" w:eastAsia="楷体" w:cs="Calibri"/>
          <w:b/>
          <w:sz w:val="24"/>
          <w:szCs w:val="24"/>
        </w:rPr>
      </w:pPr>
      <w:r>
        <w:rPr>
          <w:rFonts w:hint="eastAsia" w:ascii="楷体" w:hAnsi="楷体" w:eastAsia="楷体" w:cs="Calibri"/>
          <w:b/>
          <w:sz w:val="24"/>
          <w:szCs w:val="24"/>
        </w:rPr>
        <w:t>投资范围调整</w:t>
      </w:r>
    </w:p>
    <w:p>
      <w:pPr>
        <w:ind w:firstLine="480" w:firstLineChars="200"/>
        <w:rPr>
          <w:rFonts w:ascii="楷体" w:hAnsi="楷体" w:eastAsia="楷体"/>
          <w:sz w:val="24"/>
          <w:szCs w:val="24"/>
        </w:rPr>
      </w:pPr>
      <w:r>
        <w:rPr>
          <w:rFonts w:hint="eastAsia" w:ascii="楷体" w:hAnsi="楷体" w:eastAsia="楷体"/>
          <w:sz w:val="24"/>
          <w:szCs w:val="24"/>
        </w:rPr>
        <w:t>若法律法规、国家监管政策或市场情况发生变化，苏银理财在不改变产品类型的情况下，可对本说明书中已约定的投资范围、投资品种、投资比例以及收费项目、条件、标准和方式进行调整。该调整事项将于生效前</w:t>
      </w:r>
      <w:r>
        <w:rPr>
          <w:rFonts w:ascii="楷体" w:hAnsi="楷体" w:eastAsia="楷体"/>
          <w:sz w:val="24"/>
          <w:szCs w:val="24"/>
        </w:rPr>
        <w:t>2</w:t>
      </w:r>
      <w:r>
        <w:rPr>
          <w:rFonts w:hint="eastAsia" w:ascii="楷体" w:hAnsi="楷体" w:eastAsia="楷体"/>
          <w:sz w:val="24"/>
          <w:szCs w:val="24"/>
        </w:rPr>
        <w:t>个工作日按本理财产品说明书约定的信息披露方式予以披露。若本理财产品的投资者不接受上述调整，则应及时通过销售机构赎回本产品（高风险类型的理财产品超出比例范围投资较低风险资产的情况除外）；若本理财产品投资者未赎回本产品，则视为本理财产品投资者对相关调整无异议并继续持有本理财产品。</w:t>
      </w:r>
    </w:p>
    <w:p>
      <w:pPr>
        <w:ind w:firstLine="482" w:firstLineChars="200"/>
        <w:rPr>
          <w:rFonts w:ascii="楷体" w:hAnsi="楷体" w:eastAsia="楷体"/>
          <w:b/>
          <w:sz w:val="24"/>
          <w:szCs w:val="24"/>
        </w:rPr>
      </w:pPr>
      <w:r>
        <w:rPr>
          <w:rFonts w:hint="eastAsia" w:ascii="楷体" w:hAnsi="楷体" w:eastAsia="楷体"/>
          <w:b/>
          <w:sz w:val="24"/>
          <w:szCs w:val="24"/>
        </w:rPr>
        <w:t>五、免责</w:t>
      </w:r>
    </w:p>
    <w:p>
      <w:pPr>
        <w:ind w:firstLine="420"/>
        <w:rPr>
          <w:rFonts w:ascii="楷体" w:hAnsi="楷体" w:eastAsia="楷体"/>
          <w:sz w:val="24"/>
          <w:szCs w:val="24"/>
        </w:rPr>
      </w:pPr>
      <w:r>
        <w:rPr>
          <w:rFonts w:hint="eastAsia" w:ascii="楷体" w:hAnsi="楷体" w:eastAsia="楷体"/>
          <w:sz w:val="24"/>
          <w:szCs w:val="24"/>
        </w:rPr>
        <w:t>1.由于地震、火灾、战争等不可抗力导致的交易中断、延误等风险及损失，苏银理财不承担责任，但应在条件允许的情况下通知投资者，并采取一切必要的补救措施以减小不可抗力造成的损失。</w:t>
      </w:r>
    </w:p>
    <w:p>
      <w:pPr>
        <w:ind w:firstLine="420"/>
        <w:rPr>
          <w:rFonts w:ascii="楷体" w:hAnsi="楷体" w:eastAsia="楷体"/>
          <w:sz w:val="24"/>
          <w:szCs w:val="24"/>
        </w:rPr>
      </w:pPr>
      <w:r>
        <w:rPr>
          <w:rFonts w:hint="eastAsia" w:ascii="楷体" w:hAnsi="楷体" w:eastAsia="楷体"/>
          <w:sz w:val="24"/>
          <w:szCs w:val="24"/>
        </w:rPr>
        <w:t>2.由于国家的有关法律、法规、规章、政策的改变、紧急措施的出台而导致的风险，苏银理财不承担责任。</w:t>
      </w:r>
    </w:p>
    <w:p>
      <w:pPr>
        <w:ind w:firstLine="420"/>
        <w:rPr>
          <w:rFonts w:ascii="楷体" w:hAnsi="楷体" w:eastAsia="楷体"/>
          <w:sz w:val="24"/>
          <w:szCs w:val="24"/>
        </w:rPr>
      </w:pPr>
      <w:r>
        <w:rPr>
          <w:rFonts w:hint="eastAsia" w:ascii="楷体" w:hAnsi="楷体" w:eastAsia="楷体"/>
          <w:sz w:val="24"/>
          <w:szCs w:val="24"/>
        </w:rPr>
        <w:t>3.苏银理财依照恪尽职守、诚实信用、谨慎勤勉的原则管理和运用理财产品财产，</w:t>
      </w:r>
      <w:r>
        <w:rPr>
          <w:rFonts w:hint="eastAsia" w:ascii="楷体" w:hAnsi="楷体" w:eastAsia="楷体"/>
          <w:b/>
          <w:bCs/>
          <w:sz w:val="24"/>
          <w:szCs w:val="24"/>
        </w:rPr>
        <w:t>但不保证理财产品财产中的认（申）购资金本金不受损失，也不保证一定盈利及最低收益。</w:t>
      </w:r>
      <w:r>
        <w:rPr>
          <w:rFonts w:hint="eastAsia" w:ascii="楷体" w:hAnsi="楷体" w:eastAsia="楷体"/>
          <w:sz w:val="24"/>
          <w:szCs w:val="24"/>
        </w:rPr>
        <w:t>本理财产品运作过程中，苏银理财依据产品合同约定管理和运用理财产品财产所产生的风险，由理财产品财产及投资者承担。投资者应充分知晓投资运营的相关风险，具体风险详见风险揭示书及理财产品说明书的具体约定，其风险应由投资者自担。</w:t>
      </w:r>
    </w:p>
    <w:p>
      <w:pPr>
        <w:ind w:firstLine="420"/>
        <w:rPr>
          <w:rFonts w:ascii="楷体" w:hAnsi="楷体" w:eastAsia="楷体"/>
          <w:sz w:val="24"/>
          <w:szCs w:val="24"/>
        </w:rPr>
      </w:pPr>
      <w:r>
        <w:rPr>
          <w:rFonts w:hint="eastAsia" w:ascii="楷体" w:hAnsi="楷体" w:eastAsia="楷体"/>
          <w:sz w:val="24"/>
          <w:szCs w:val="24"/>
        </w:rPr>
        <w:t>4</w:t>
      </w:r>
      <w:r>
        <w:rPr>
          <w:rFonts w:ascii="楷体" w:hAnsi="楷体" w:eastAsia="楷体"/>
          <w:sz w:val="24"/>
          <w:szCs w:val="24"/>
        </w:rPr>
        <w:t>.</w:t>
      </w:r>
      <w:r>
        <w:rPr>
          <w:rFonts w:hint="eastAsia"/>
        </w:rPr>
        <w:t xml:space="preserve"> </w:t>
      </w:r>
      <w:r>
        <w:rPr>
          <w:rFonts w:hint="eastAsia" w:ascii="楷体" w:hAnsi="楷体" w:eastAsia="楷体"/>
          <w:sz w:val="24"/>
          <w:szCs w:val="24"/>
        </w:rPr>
        <w:t>非因苏银理财原因（包括但不限于理财产品投资者遗失本协议、理财产品合同被盗用、投资者资金账户被司法机关等有权部门冻结、扣划及其他投资者自身原因、投资标的固有风险等原因）造成的损失，苏银理财不承担责任。</w:t>
      </w:r>
    </w:p>
    <w:p>
      <w:pPr>
        <w:ind w:firstLine="482" w:firstLineChars="200"/>
        <w:rPr>
          <w:rFonts w:ascii="楷体" w:hAnsi="楷体" w:eastAsia="楷体"/>
          <w:b/>
          <w:sz w:val="24"/>
          <w:szCs w:val="24"/>
        </w:rPr>
      </w:pPr>
      <w:r>
        <w:rPr>
          <w:rFonts w:hint="eastAsia" w:ascii="楷体" w:hAnsi="楷体" w:eastAsia="楷体"/>
          <w:b/>
          <w:sz w:val="24"/>
          <w:szCs w:val="24"/>
        </w:rPr>
        <w:t>六、协议的生效、变更及终止</w:t>
      </w:r>
    </w:p>
    <w:p>
      <w:pPr>
        <w:ind w:firstLine="420"/>
        <w:rPr>
          <w:rFonts w:ascii="楷体" w:hAnsi="楷体" w:eastAsia="楷体"/>
          <w:sz w:val="24"/>
          <w:szCs w:val="24"/>
        </w:rPr>
      </w:pPr>
      <w:r>
        <w:rPr>
          <w:rFonts w:hint="eastAsia" w:ascii="楷体" w:hAnsi="楷体" w:eastAsia="楷体"/>
          <w:sz w:val="24"/>
          <w:szCs w:val="24"/>
        </w:rPr>
        <w:t>1.本投资协议自投资者成功缴纳购买资金并经苏银理财系统确认购买份额后成立并生效。</w:t>
      </w:r>
    </w:p>
    <w:p>
      <w:pPr>
        <w:ind w:firstLine="420"/>
        <w:rPr>
          <w:rStyle w:val="19"/>
        </w:rPr>
      </w:pPr>
      <w:r>
        <w:rPr>
          <w:rFonts w:hint="eastAsia" w:ascii="楷体" w:hAnsi="楷体" w:eastAsia="楷体"/>
          <w:sz w:val="24"/>
          <w:szCs w:val="24"/>
        </w:rPr>
        <w:t>2.投资者在办理理财产品的购买、赎回等交易后，需通过销售机构营业网点或网上销售平台查询相关交易的确认情况，最终以苏银理财确认的产品购买金额或赎回份额作为理财产品合同的生效或终止依据。</w:t>
      </w:r>
    </w:p>
    <w:p>
      <w:pPr>
        <w:ind w:firstLine="420"/>
        <w:rPr>
          <w:rFonts w:ascii="楷体" w:hAnsi="楷体" w:eastAsia="楷体"/>
          <w:sz w:val="24"/>
          <w:szCs w:val="24"/>
        </w:rPr>
      </w:pPr>
      <w:r>
        <w:rPr>
          <w:rFonts w:hint="eastAsia" w:ascii="楷体" w:hAnsi="楷体" w:eastAsia="楷体"/>
          <w:sz w:val="24"/>
          <w:szCs w:val="24"/>
        </w:rPr>
        <w:t>3.除按《理财产品说明书》约定乙方或甲方享有的提前终止权外，甲方有违约行为时，乙方有权提前终止本协议。</w:t>
      </w:r>
    </w:p>
    <w:p>
      <w:pPr>
        <w:ind w:firstLine="420"/>
        <w:rPr>
          <w:rFonts w:ascii="楷体" w:hAnsi="楷体" w:eastAsia="楷体"/>
          <w:sz w:val="24"/>
          <w:szCs w:val="24"/>
        </w:rPr>
      </w:pPr>
      <w:r>
        <w:rPr>
          <w:rFonts w:hint="eastAsia" w:ascii="楷体" w:hAnsi="楷体" w:eastAsia="楷体"/>
          <w:sz w:val="24"/>
          <w:szCs w:val="24"/>
        </w:rPr>
        <w:t>4.乙方或销售机构发现或有合理理由怀疑甲方或其资金存在洗钱、恐怖融资、逃税等嫌疑，乙方有权提前终止本协议，造成甲方损失的，乙方不承担责任。</w:t>
      </w:r>
    </w:p>
    <w:p>
      <w:pPr>
        <w:ind w:firstLine="420"/>
        <w:rPr>
          <w:rFonts w:ascii="楷体" w:hAnsi="楷体" w:eastAsia="楷体"/>
          <w:sz w:val="24"/>
          <w:szCs w:val="24"/>
        </w:rPr>
      </w:pPr>
      <w:r>
        <w:rPr>
          <w:rFonts w:hint="eastAsia" w:ascii="楷体" w:hAnsi="楷体" w:eastAsia="楷体"/>
          <w:sz w:val="24"/>
          <w:szCs w:val="24"/>
        </w:rPr>
        <w:t>5.本协议及《理财产品说明书》、《理财产品（代理）销售协议书》项下各方权利义务履行完毕之日，本协议自动终止。</w:t>
      </w:r>
    </w:p>
    <w:p>
      <w:pPr>
        <w:ind w:firstLine="420"/>
        <w:rPr>
          <w:rFonts w:ascii="楷体" w:hAnsi="楷体" w:eastAsia="楷体"/>
          <w:sz w:val="24"/>
          <w:szCs w:val="24"/>
        </w:rPr>
      </w:pPr>
      <w:r>
        <w:rPr>
          <w:rFonts w:hint="eastAsia" w:ascii="楷体" w:hAnsi="楷体" w:eastAsia="楷体"/>
          <w:sz w:val="24"/>
          <w:szCs w:val="24"/>
        </w:rPr>
        <w:t>七、本合同的订立、生效、履行、解释、修改和终止等事项均适用中华人民共和国（不包括香港特别行政区、澳门特别行政区和台湾地区）法律。因本合同引起的或与本合同有关的任何争议，应当首先通过双方之间的友好协商解决；协商不成的，双方均有权提交理财产品管理人所在地有管辖权的人民法院诉讼解决。</w:t>
      </w:r>
    </w:p>
    <w:p>
      <w:pPr>
        <w:ind w:firstLine="420"/>
        <w:rPr>
          <w:rFonts w:ascii="楷体" w:hAnsi="楷体" w:eastAsia="楷体"/>
          <w:sz w:val="24"/>
          <w:szCs w:val="24"/>
        </w:rPr>
      </w:pPr>
      <w:r>
        <w:rPr>
          <w:rFonts w:hint="eastAsia" w:ascii="楷体" w:hAnsi="楷体" w:eastAsia="楷体"/>
          <w:sz w:val="24"/>
          <w:szCs w:val="24"/>
        </w:rPr>
        <w:t>八、本投资协议书未尽事宜，以理财产品说明书、风险揭示书、理财产品（代理）销售协议书、投资者权益须知的约定内容为准。</w:t>
      </w:r>
    </w:p>
    <w:p>
      <w:pPr>
        <w:ind w:firstLine="420"/>
        <w:rPr>
          <w:rFonts w:ascii="楷体" w:hAnsi="楷体" w:eastAsia="楷体"/>
          <w:sz w:val="24"/>
          <w:szCs w:val="24"/>
        </w:rPr>
      </w:pPr>
    </w:p>
    <w:p>
      <w:pPr>
        <w:rPr>
          <w:rFonts w:ascii="楷体" w:hAnsi="楷体" w:eastAsia="楷体"/>
          <w:sz w:val="24"/>
          <w:szCs w:val="24"/>
        </w:rPr>
      </w:pPr>
      <w:r>
        <w:rPr>
          <w:rFonts w:ascii="楷体" w:hAnsi="楷体" w:eastAsia="楷体"/>
          <w:sz w:val="24"/>
          <w:szCs w:val="24"/>
        </w:rPr>
        <w:t>甲方</w:t>
      </w:r>
      <w:r>
        <w:rPr>
          <w:rFonts w:hint="eastAsia" w:ascii="楷体" w:hAnsi="楷体" w:eastAsia="楷体"/>
          <w:sz w:val="24"/>
          <w:szCs w:val="24"/>
        </w:rPr>
        <w:t xml:space="preserve">（个人客户签字）：      </w:t>
      </w:r>
      <w:r>
        <w:rPr>
          <w:rFonts w:ascii="楷体" w:hAnsi="楷体" w:eastAsia="楷体"/>
          <w:sz w:val="24"/>
          <w:szCs w:val="24"/>
        </w:rPr>
        <w:t>甲方</w:t>
      </w:r>
      <w:r>
        <w:rPr>
          <w:rFonts w:hint="eastAsia" w:ascii="楷体" w:hAnsi="楷体" w:eastAsia="楷体"/>
          <w:sz w:val="24"/>
          <w:szCs w:val="24"/>
        </w:rPr>
        <w:t>（机构客户盖章）：</w:t>
      </w:r>
    </w:p>
    <w:p>
      <w:pPr>
        <w:rPr>
          <w:rFonts w:ascii="楷体" w:hAnsi="楷体" w:eastAsia="楷体"/>
          <w:sz w:val="24"/>
          <w:szCs w:val="24"/>
        </w:rPr>
      </w:pPr>
    </w:p>
    <w:p>
      <w:pPr>
        <w:rPr>
          <w:rFonts w:ascii="楷体" w:hAnsi="楷体" w:eastAsia="楷体"/>
          <w:sz w:val="24"/>
          <w:szCs w:val="24"/>
        </w:rPr>
      </w:pPr>
    </w:p>
    <w:p>
      <w:pPr>
        <w:rPr>
          <w:rFonts w:ascii="楷体" w:hAnsi="楷体" w:eastAsia="楷体"/>
          <w:sz w:val="24"/>
          <w:szCs w:val="24"/>
        </w:rPr>
      </w:pPr>
    </w:p>
    <w:p>
      <w:pPr>
        <w:rPr>
          <w:rFonts w:ascii="楷体" w:hAnsi="楷体" w:eastAsia="楷体"/>
          <w:sz w:val="24"/>
          <w:szCs w:val="24"/>
        </w:rPr>
      </w:pPr>
      <w:r>
        <w:rPr>
          <w:rFonts w:hint="eastAsia" w:ascii="楷体" w:hAnsi="楷体" w:eastAsia="楷体"/>
        </w:rPr>
        <w:t xml:space="preserve">                               </w:t>
      </w:r>
      <w:r>
        <w:rPr>
          <w:rFonts w:hint="eastAsia" w:ascii="楷体" w:hAnsi="楷体" w:eastAsia="楷体"/>
          <w:sz w:val="24"/>
          <w:szCs w:val="24"/>
        </w:rPr>
        <w:t>机构客户法定代表人或授权代表（签字或盖章）</w:t>
      </w:r>
    </w:p>
    <w:p>
      <w:pPr>
        <w:rPr>
          <w:rFonts w:ascii="楷体" w:hAnsi="楷体" w:eastAsia="楷体"/>
          <w:sz w:val="24"/>
          <w:szCs w:val="24"/>
        </w:rPr>
      </w:pPr>
    </w:p>
    <w:p>
      <w:pPr>
        <w:rPr>
          <w:rFonts w:ascii="楷体" w:hAnsi="楷体" w:eastAsia="楷体"/>
          <w:sz w:val="24"/>
          <w:szCs w:val="24"/>
        </w:rPr>
      </w:pPr>
    </w:p>
    <w:p>
      <w:pPr>
        <w:rPr>
          <w:rFonts w:ascii="楷体" w:hAnsi="楷体" w:eastAsia="楷体"/>
        </w:rPr>
      </w:pPr>
    </w:p>
    <w:p>
      <w:pPr>
        <w:rPr>
          <w:rFonts w:ascii="楷体" w:hAnsi="楷体" w:eastAsia="楷体"/>
          <w:sz w:val="24"/>
          <w:szCs w:val="24"/>
        </w:rPr>
      </w:pPr>
      <w:r>
        <w:rPr>
          <w:rFonts w:ascii="楷体" w:hAnsi="楷体" w:eastAsia="楷体"/>
          <w:sz w:val="24"/>
          <w:szCs w:val="24"/>
        </w:rPr>
        <w:t>乙方</w:t>
      </w:r>
      <w:r>
        <w:rPr>
          <w:rFonts w:hint="eastAsia" w:ascii="楷体" w:hAnsi="楷体" w:eastAsia="楷体"/>
          <w:sz w:val="24"/>
          <w:szCs w:val="24"/>
        </w:rPr>
        <w:t>：苏银</w:t>
      </w:r>
      <w:r>
        <w:rPr>
          <w:rFonts w:ascii="楷体" w:hAnsi="楷体" w:eastAsia="楷体"/>
          <w:sz w:val="24"/>
          <w:szCs w:val="24"/>
        </w:rPr>
        <w:t>理财有限责任公司</w:t>
      </w:r>
    </w:p>
    <w:p>
      <w:pPr>
        <w:rPr>
          <w:rFonts w:ascii="楷体" w:hAnsi="楷体" w:eastAsia="楷体"/>
          <w:sz w:val="24"/>
          <w:szCs w:val="24"/>
        </w:rPr>
      </w:pPr>
    </w:p>
    <w:p>
      <w:pPr>
        <w:rPr>
          <w:rFonts w:ascii="楷体" w:hAnsi="楷体" w:eastAsia="楷体"/>
        </w:rPr>
      </w:pPr>
    </w:p>
    <w:p>
      <w:pPr>
        <w:rPr>
          <w:rFonts w:ascii="楷体" w:hAnsi="楷体" w:eastAsia="楷体"/>
          <w:sz w:val="24"/>
          <w:szCs w:val="24"/>
        </w:rPr>
      </w:pPr>
    </w:p>
    <w:p>
      <w:pPr>
        <w:rPr>
          <w:rFonts w:ascii="楷体" w:hAnsi="楷体" w:eastAsia="楷体"/>
          <w:sz w:val="24"/>
          <w:szCs w:val="24"/>
        </w:rPr>
      </w:pPr>
    </w:p>
    <w:p>
      <w:pPr>
        <w:rPr>
          <w:rFonts w:ascii="楷体" w:hAnsi="楷体" w:eastAsia="楷体"/>
          <w:sz w:val="24"/>
          <w:szCs w:val="24"/>
        </w:rPr>
      </w:pPr>
    </w:p>
    <w:p>
      <w:pPr>
        <w:autoSpaceDE w:val="0"/>
        <w:autoSpaceDN w:val="0"/>
        <w:adjustRightInd w:val="0"/>
        <w:rPr>
          <w:rFonts w:ascii="楷体" w:hAnsi="楷体" w:eastAsia="楷体"/>
          <w:sz w:val="24"/>
          <w:szCs w:val="24"/>
        </w:rPr>
      </w:pPr>
      <w:r>
        <w:rPr>
          <w:rFonts w:ascii="楷体" w:hAnsi="楷体" w:eastAsia="楷体"/>
          <w:sz w:val="24"/>
          <w:szCs w:val="24"/>
        </w:rPr>
        <w:t>签署日期：</w:t>
      </w:r>
      <w:r>
        <w:rPr>
          <w:rFonts w:hint="eastAsia" w:ascii="楷体" w:hAnsi="楷体" w:eastAsia="楷体"/>
          <w:sz w:val="24"/>
          <w:szCs w:val="24"/>
        </w:rPr>
        <w:t xml:space="preserve">      </w:t>
      </w:r>
      <w:r>
        <w:rPr>
          <w:rFonts w:ascii="楷体" w:hAnsi="楷体" w:eastAsia="楷体"/>
          <w:sz w:val="24"/>
          <w:szCs w:val="24"/>
        </w:rPr>
        <w:t>年</w:t>
      </w:r>
      <w:r>
        <w:rPr>
          <w:rFonts w:hint="eastAsia" w:ascii="楷体" w:hAnsi="楷体" w:eastAsia="楷体"/>
          <w:sz w:val="24"/>
          <w:szCs w:val="24"/>
        </w:rPr>
        <w:t xml:space="preserve">      </w:t>
      </w:r>
      <w:r>
        <w:rPr>
          <w:rFonts w:ascii="楷体" w:hAnsi="楷体" w:eastAsia="楷体"/>
          <w:sz w:val="24"/>
          <w:szCs w:val="24"/>
        </w:rPr>
        <w:t>月</w:t>
      </w:r>
      <w:r>
        <w:rPr>
          <w:rFonts w:hint="eastAsia" w:ascii="楷体" w:hAnsi="楷体" w:eastAsia="楷体"/>
          <w:sz w:val="24"/>
          <w:szCs w:val="24"/>
        </w:rPr>
        <w:t xml:space="preserve">     日</w:t>
      </w:r>
    </w:p>
    <w:p>
      <w:pPr>
        <w:pStyle w:val="12"/>
        <w:spacing w:before="0" w:beforeAutospacing="0" w:after="0" w:afterAutospacing="0"/>
        <w:jc w:val="center"/>
        <w:rPr>
          <w:rFonts w:ascii="楷体" w:hAnsi="楷体" w:eastAsia="楷体"/>
          <w:b/>
          <w:sz w:val="28"/>
          <w:szCs w:val="28"/>
        </w:rPr>
      </w:pPr>
    </w:p>
    <w:p>
      <w:pPr>
        <w:pStyle w:val="12"/>
        <w:spacing w:before="0" w:beforeAutospacing="0" w:after="0" w:afterAutospacing="0"/>
        <w:jc w:val="center"/>
        <w:rPr>
          <w:rFonts w:ascii="楷体" w:hAnsi="楷体" w:eastAsia="楷体"/>
          <w:b/>
          <w:sz w:val="28"/>
          <w:szCs w:val="28"/>
        </w:rPr>
      </w:pPr>
    </w:p>
    <w:p>
      <w:pPr>
        <w:pStyle w:val="12"/>
        <w:spacing w:before="0" w:beforeAutospacing="0" w:after="0" w:afterAutospacing="0"/>
        <w:jc w:val="center"/>
        <w:rPr>
          <w:rFonts w:ascii="楷体" w:hAnsi="楷体" w:eastAsia="楷体"/>
          <w:b/>
          <w:sz w:val="28"/>
          <w:szCs w:val="28"/>
        </w:rPr>
      </w:pPr>
    </w:p>
    <w:p>
      <w:pPr>
        <w:jc w:val="center"/>
        <w:rPr>
          <w:rFonts w:hint="eastAsia" w:ascii="楷体" w:hAnsi="楷体" w:eastAsia="楷体"/>
          <w:b/>
          <w:sz w:val="28"/>
          <w:szCs w:val="28"/>
        </w:rPr>
      </w:pPr>
      <w:r>
        <w:rPr>
          <w:rFonts w:hint="eastAsia" w:ascii="楷体" w:hAnsi="楷体" w:eastAsia="楷体"/>
          <w:b/>
          <w:sz w:val="36"/>
          <w:szCs w:val="36"/>
          <w:lang w:eastAsia="zh-Hans"/>
        </w:rPr>
        <w:t>理财产品代理销售协议书</w:t>
      </w:r>
    </w:p>
    <w:p>
      <w:pPr>
        <w:jc w:val="center"/>
        <w:rPr>
          <w:rFonts w:hint="eastAsia" w:ascii="楷体" w:hAnsi="楷体" w:eastAsia="楷体"/>
          <w:b/>
          <w:sz w:val="32"/>
          <w:szCs w:val="32"/>
        </w:rPr>
      </w:pPr>
      <w:r>
        <w:rPr>
          <w:rFonts w:hint="eastAsia" w:ascii="楷体" w:hAnsi="楷体" w:eastAsia="楷体"/>
          <w:b/>
          <w:sz w:val="32"/>
          <w:szCs w:val="32"/>
        </w:rPr>
        <w:t>理财非存款、产品有风险、投资须谨慎</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9"/>
        <w:gridCol w:w="1115"/>
        <w:gridCol w:w="1115"/>
        <w:gridCol w:w="1535"/>
        <w:gridCol w:w="50"/>
        <w:gridCol w:w="2322"/>
        <w:gridCol w:w="26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5" w:hRule="atLeast"/>
          <w:jc w:val="center"/>
        </w:trPr>
        <w:tc>
          <w:tcPr>
            <w:tcW w:w="10383" w:type="dxa"/>
            <w:gridSpan w:val="7"/>
            <w:shd w:val="clear" w:color="auto" w:fill="A6A6A6"/>
            <w:noWrap w:val="0"/>
            <w:vAlign w:val="center"/>
          </w:tcPr>
          <w:p>
            <w:pPr>
              <w:widowControl/>
              <w:spacing w:line="260" w:lineRule="exact"/>
              <w:jc w:val="center"/>
              <w:rPr>
                <w:rFonts w:hint="eastAsia" w:ascii="Times New Roman" w:hAnsi="Times New Roman"/>
                <w:b/>
                <w:bCs/>
                <w:kern w:val="0"/>
                <w:sz w:val="15"/>
                <w:szCs w:val="15"/>
              </w:rPr>
            </w:pPr>
            <w:r>
              <w:rPr>
                <w:rFonts w:hint="eastAsia" w:ascii="Times New Roman" w:hAnsi="Times New Roman"/>
                <w:b/>
                <w:bCs/>
                <w:kern w:val="0"/>
                <w:sz w:val="15"/>
                <w:szCs w:val="15"/>
              </w:rPr>
              <w:t>个  人  客  户  填  写  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 w:hRule="atLeast"/>
          <w:jc w:val="center"/>
        </w:trPr>
        <w:tc>
          <w:tcPr>
            <w:tcW w:w="1619" w:type="dxa"/>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客户姓名</w:t>
            </w:r>
          </w:p>
        </w:tc>
        <w:tc>
          <w:tcPr>
            <w:tcW w:w="2230" w:type="dxa"/>
            <w:gridSpan w:val="2"/>
            <w:noWrap w:val="0"/>
            <w:vAlign w:val="center"/>
          </w:tcPr>
          <w:p>
            <w:pPr>
              <w:spacing w:line="260" w:lineRule="exact"/>
              <w:jc w:val="center"/>
              <w:rPr>
                <w:rFonts w:hint="eastAsia" w:ascii="Times New Roman" w:hAnsi="Times New Roman"/>
                <w:bCs/>
                <w:sz w:val="15"/>
                <w:szCs w:val="15"/>
              </w:rPr>
            </w:pPr>
          </w:p>
        </w:tc>
        <w:tc>
          <w:tcPr>
            <w:tcW w:w="1535" w:type="dxa"/>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银行卡号</w:t>
            </w:r>
          </w:p>
        </w:tc>
        <w:tc>
          <w:tcPr>
            <w:tcW w:w="4999" w:type="dxa"/>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 w:hRule="atLeast"/>
          <w:jc w:val="center"/>
        </w:trPr>
        <w:tc>
          <w:tcPr>
            <w:tcW w:w="1619" w:type="dxa"/>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证件类型</w:t>
            </w:r>
          </w:p>
        </w:tc>
        <w:tc>
          <w:tcPr>
            <w:tcW w:w="2230" w:type="dxa"/>
            <w:gridSpan w:val="2"/>
            <w:noWrap w:val="0"/>
            <w:vAlign w:val="center"/>
          </w:tcPr>
          <w:p>
            <w:pPr>
              <w:spacing w:line="260" w:lineRule="exact"/>
              <w:jc w:val="center"/>
              <w:rPr>
                <w:rFonts w:hint="eastAsia" w:ascii="Times New Roman" w:hAnsi="Times New Roman"/>
                <w:bCs/>
                <w:sz w:val="15"/>
                <w:szCs w:val="15"/>
              </w:rPr>
            </w:pPr>
          </w:p>
        </w:tc>
        <w:tc>
          <w:tcPr>
            <w:tcW w:w="1535" w:type="dxa"/>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证件号码</w:t>
            </w:r>
          </w:p>
        </w:tc>
        <w:tc>
          <w:tcPr>
            <w:tcW w:w="4999" w:type="dxa"/>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 w:hRule="atLeast"/>
          <w:jc w:val="center"/>
        </w:trPr>
        <w:tc>
          <w:tcPr>
            <w:tcW w:w="1619" w:type="dxa"/>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联系电话</w:t>
            </w:r>
          </w:p>
        </w:tc>
        <w:tc>
          <w:tcPr>
            <w:tcW w:w="2230" w:type="dxa"/>
            <w:gridSpan w:val="2"/>
            <w:tcBorders>
              <w:top w:val="nil"/>
            </w:tcBorders>
            <w:noWrap w:val="0"/>
            <w:vAlign w:val="center"/>
          </w:tcPr>
          <w:p>
            <w:pPr>
              <w:spacing w:line="260" w:lineRule="exact"/>
              <w:jc w:val="center"/>
              <w:rPr>
                <w:rFonts w:hint="eastAsia" w:ascii="Times New Roman" w:hAnsi="Times New Roman"/>
                <w:bCs/>
                <w:sz w:val="15"/>
                <w:szCs w:val="15"/>
              </w:rPr>
            </w:pPr>
          </w:p>
        </w:tc>
        <w:tc>
          <w:tcPr>
            <w:tcW w:w="1535" w:type="dxa"/>
            <w:tcBorders>
              <w:top w:val="nil"/>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联系地址</w:t>
            </w:r>
          </w:p>
        </w:tc>
        <w:tc>
          <w:tcPr>
            <w:tcW w:w="4999" w:type="dxa"/>
            <w:gridSpan w:val="3"/>
            <w:tcBorders>
              <w:top w:val="nil"/>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7" w:hRule="atLeast"/>
          <w:jc w:val="center"/>
        </w:trPr>
        <w:tc>
          <w:tcPr>
            <w:tcW w:w="10383" w:type="dxa"/>
            <w:gridSpan w:val="7"/>
            <w:shd w:val="clear" w:color="auto" w:fill="A6A6A6"/>
            <w:noWrap w:val="0"/>
            <w:vAlign w:val="center"/>
          </w:tcPr>
          <w:p>
            <w:pPr>
              <w:widowControl/>
              <w:spacing w:line="260" w:lineRule="exact"/>
              <w:jc w:val="center"/>
              <w:rPr>
                <w:rFonts w:hint="eastAsia" w:ascii="Times New Roman" w:hAnsi="Times New Roman"/>
                <w:b/>
                <w:bCs/>
                <w:kern w:val="0"/>
                <w:sz w:val="15"/>
                <w:szCs w:val="15"/>
              </w:rPr>
            </w:pPr>
            <w:r>
              <w:rPr>
                <w:rFonts w:hint="eastAsia" w:ascii="Times New Roman" w:hAnsi="Times New Roman"/>
                <w:b/>
                <w:bCs/>
                <w:kern w:val="0"/>
                <w:sz w:val="15"/>
                <w:szCs w:val="15"/>
              </w:rPr>
              <w:t>机  构  客  户  填  写  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 w:hRule="atLeast"/>
          <w:jc w:val="center"/>
        </w:trPr>
        <w:tc>
          <w:tcPr>
            <w:tcW w:w="1619" w:type="dxa"/>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机构客户名称</w:t>
            </w:r>
          </w:p>
        </w:tc>
        <w:tc>
          <w:tcPr>
            <w:tcW w:w="2230" w:type="dxa"/>
            <w:gridSpan w:val="2"/>
            <w:noWrap w:val="0"/>
            <w:vAlign w:val="center"/>
          </w:tcPr>
          <w:p>
            <w:pPr>
              <w:spacing w:line="260" w:lineRule="exact"/>
              <w:jc w:val="center"/>
              <w:rPr>
                <w:rFonts w:hint="eastAsia" w:ascii="Times New Roman" w:hAnsi="Times New Roman"/>
                <w:bCs/>
                <w:sz w:val="15"/>
                <w:szCs w:val="15"/>
              </w:rPr>
            </w:pPr>
          </w:p>
        </w:tc>
        <w:tc>
          <w:tcPr>
            <w:tcW w:w="1535" w:type="dxa"/>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银行账号</w:t>
            </w:r>
          </w:p>
        </w:tc>
        <w:tc>
          <w:tcPr>
            <w:tcW w:w="4999" w:type="dxa"/>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 w:hRule="atLeast"/>
          <w:jc w:val="center"/>
        </w:trPr>
        <w:tc>
          <w:tcPr>
            <w:tcW w:w="1619" w:type="dxa"/>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法定代表人（负责人）</w:t>
            </w:r>
          </w:p>
        </w:tc>
        <w:tc>
          <w:tcPr>
            <w:tcW w:w="2230" w:type="dxa"/>
            <w:gridSpan w:val="2"/>
            <w:noWrap w:val="0"/>
            <w:vAlign w:val="center"/>
          </w:tcPr>
          <w:p>
            <w:pPr>
              <w:spacing w:line="260" w:lineRule="exact"/>
              <w:jc w:val="center"/>
              <w:rPr>
                <w:rFonts w:hint="eastAsia" w:ascii="Times New Roman" w:hAnsi="Times New Roman"/>
                <w:bCs/>
                <w:sz w:val="15"/>
                <w:szCs w:val="15"/>
              </w:rPr>
            </w:pPr>
          </w:p>
        </w:tc>
        <w:tc>
          <w:tcPr>
            <w:tcW w:w="1535" w:type="dxa"/>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联系地址</w:t>
            </w:r>
          </w:p>
        </w:tc>
        <w:tc>
          <w:tcPr>
            <w:tcW w:w="4999" w:type="dxa"/>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 w:hRule="atLeast"/>
          <w:jc w:val="center"/>
        </w:trPr>
        <w:tc>
          <w:tcPr>
            <w:tcW w:w="1619" w:type="dxa"/>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代理人姓名</w:t>
            </w:r>
          </w:p>
        </w:tc>
        <w:tc>
          <w:tcPr>
            <w:tcW w:w="2230" w:type="dxa"/>
            <w:gridSpan w:val="2"/>
            <w:tcBorders>
              <w:top w:val="nil"/>
            </w:tcBorders>
            <w:noWrap w:val="0"/>
            <w:vAlign w:val="center"/>
          </w:tcPr>
          <w:p>
            <w:pPr>
              <w:spacing w:line="260" w:lineRule="exact"/>
              <w:jc w:val="center"/>
              <w:rPr>
                <w:rFonts w:hint="eastAsia" w:ascii="Times New Roman" w:hAnsi="Times New Roman"/>
                <w:bCs/>
                <w:sz w:val="15"/>
                <w:szCs w:val="15"/>
              </w:rPr>
            </w:pPr>
          </w:p>
        </w:tc>
        <w:tc>
          <w:tcPr>
            <w:tcW w:w="1535" w:type="dxa"/>
            <w:tcBorders>
              <w:top w:val="nil"/>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联系电话</w:t>
            </w:r>
          </w:p>
        </w:tc>
        <w:tc>
          <w:tcPr>
            <w:tcW w:w="4999" w:type="dxa"/>
            <w:gridSpan w:val="3"/>
            <w:tcBorders>
              <w:top w:val="nil"/>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 w:hRule="atLeast"/>
          <w:jc w:val="center"/>
        </w:trPr>
        <w:tc>
          <w:tcPr>
            <w:tcW w:w="1619" w:type="dxa"/>
            <w:tcBorders>
              <w:bottom w:val="single" w:color="auto" w:sz="4" w:space="0"/>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代理人证件类型</w:t>
            </w:r>
          </w:p>
        </w:tc>
        <w:tc>
          <w:tcPr>
            <w:tcW w:w="2230" w:type="dxa"/>
            <w:gridSpan w:val="2"/>
            <w:tcBorders>
              <w:bottom w:val="single" w:color="auto" w:sz="4" w:space="0"/>
            </w:tcBorders>
            <w:noWrap w:val="0"/>
            <w:vAlign w:val="center"/>
          </w:tcPr>
          <w:p>
            <w:pPr>
              <w:spacing w:line="260" w:lineRule="exact"/>
              <w:jc w:val="center"/>
              <w:rPr>
                <w:rFonts w:hint="eastAsia" w:ascii="Times New Roman" w:hAnsi="Times New Roman"/>
                <w:bCs/>
                <w:sz w:val="15"/>
                <w:szCs w:val="15"/>
              </w:rPr>
            </w:pPr>
          </w:p>
        </w:tc>
        <w:tc>
          <w:tcPr>
            <w:tcW w:w="1535" w:type="dxa"/>
            <w:tcBorders>
              <w:bottom w:val="single" w:color="auto" w:sz="4" w:space="0"/>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代理人证件号码</w:t>
            </w:r>
          </w:p>
        </w:tc>
        <w:tc>
          <w:tcPr>
            <w:tcW w:w="4999" w:type="dxa"/>
            <w:gridSpan w:val="3"/>
            <w:tcBorders>
              <w:bottom w:val="single" w:color="auto" w:sz="4" w:space="0"/>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619" w:type="dxa"/>
            <w:vMerge w:val="restar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业务类别</w:t>
            </w:r>
          </w:p>
        </w:tc>
        <w:tc>
          <w:tcPr>
            <w:tcW w:w="8764" w:type="dxa"/>
            <w:gridSpan w:val="6"/>
            <w:noWrap w:val="0"/>
            <w:vAlign w:val="center"/>
          </w:tcPr>
          <w:p>
            <w:pPr>
              <w:spacing w:line="200" w:lineRule="exact"/>
              <w:rPr>
                <w:rFonts w:hint="eastAsia" w:ascii="Times New Roman" w:hAnsi="Times New Roman"/>
                <w:sz w:val="15"/>
                <w:szCs w:val="15"/>
              </w:rPr>
            </w:pPr>
            <w:r>
              <w:rPr>
                <w:rFonts w:hint="eastAsia" w:ascii="宋体" w:hAnsi="宋体"/>
                <w:sz w:val="15"/>
                <w:szCs w:val="15"/>
              </w:rPr>
              <w:t>□</w:t>
            </w:r>
            <w:r>
              <w:rPr>
                <w:rFonts w:hint="eastAsia" w:ascii="Times New Roman" w:hAnsi="Times New Roman"/>
                <w:sz w:val="15"/>
                <w:szCs w:val="15"/>
              </w:rPr>
              <w:t xml:space="preserve">认购       </w:t>
            </w:r>
            <w:r>
              <w:rPr>
                <w:rFonts w:hint="eastAsia" w:ascii="宋体" w:hAnsi="宋体"/>
                <w:sz w:val="15"/>
                <w:szCs w:val="15"/>
              </w:rPr>
              <w:t>□</w:t>
            </w:r>
            <w:r>
              <w:rPr>
                <w:rFonts w:hint="eastAsia" w:ascii="Times New Roman" w:hAnsi="Times New Roman"/>
                <w:sz w:val="15"/>
                <w:szCs w:val="15"/>
              </w:rPr>
              <w:t xml:space="preserve">申购      </w:t>
            </w:r>
            <w:r>
              <w:rPr>
                <w:rFonts w:hint="eastAsia" w:ascii="宋体" w:hAnsi="宋体"/>
                <w:sz w:val="15"/>
                <w:szCs w:val="15"/>
              </w:rPr>
              <w:t>□</w:t>
            </w:r>
            <w:r>
              <w:rPr>
                <w:rFonts w:hint="eastAsia" w:ascii="Times New Roman" w:hAnsi="Times New Roman"/>
                <w:sz w:val="15"/>
                <w:szCs w:val="15"/>
              </w:rPr>
              <w:t xml:space="preserve">赎回     </w:t>
            </w:r>
            <w:r>
              <w:rPr>
                <w:rFonts w:hint="eastAsia" w:ascii="宋体" w:hAnsi="宋体"/>
                <w:sz w:val="15"/>
                <w:szCs w:val="15"/>
              </w:rPr>
              <w:t>□</w:t>
            </w:r>
            <w:r>
              <w:rPr>
                <w:rFonts w:hint="eastAsia" w:ascii="Times New Roman" w:hAnsi="Times New Roman"/>
                <w:sz w:val="15"/>
                <w:szCs w:val="15"/>
              </w:rPr>
              <w:t xml:space="preserve">撤单     </w:t>
            </w:r>
            <w:r>
              <w:rPr>
                <w:rFonts w:hint="eastAsia" w:ascii="宋体" w:hAnsi="宋体"/>
                <w:sz w:val="15"/>
                <w:szCs w:val="15"/>
              </w:rPr>
              <w:t>□</w:t>
            </w:r>
            <w:r>
              <w:rPr>
                <w:rFonts w:hint="eastAsia" w:ascii="Times New Roman" w:hAnsi="Times New Roman"/>
                <w:sz w:val="15"/>
                <w:szCs w:val="15"/>
              </w:rPr>
              <w:t>其它</w:t>
            </w:r>
            <w:r>
              <w:rPr>
                <w:rFonts w:hint="eastAsia" w:ascii="宋体" w:hAnsi="宋体"/>
                <w:sz w:val="15"/>
                <w:szCs w:val="15"/>
              </w:rPr>
              <w:t>________________________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 w:hRule="atLeast"/>
          <w:jc w:val="center"/>
        </w:trPr>
        <w:tc>
          <w:tcPr>
            <w:tcW w:w="1619" w:type="dxa"/>
            <w:vMerge w:val="continue"/>
            <w:noWrap w:val="0"/>
            <w:vAlign w:val="center"/>
          </w:tcPr>
          <w:p>
            <w:pPr>
              <w:rPr>
                <w:rFonts w:hint="eastAsia" w:ascii="Times New Roman" w:hAnsi="Times New Roman"/>
                <w:b/>
                <w:bCs/>
                <w:szCs w:val="24"/>
              </w:rPr>
            </w:pPr>
          </w:p>
        </w:tc>
        <w:tc>
          <w:tcPr>
            <w:tcW w:w="1115" w:type="dxa"/>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产品名称</w:t>
            </w:r>
          </w:p>
        </w:tc>
        <w:tc>
          <w:tcPr>
            <w:tcW w:w="2700" w:type="dxa"/>
            <w:gridSpan w:val="3"/>
            <w:noWrap w:val="0"/>
            <w:vAlign w:val="center"/>
          </w:tcPr>
          <w:p>
            <w:pPr>
              <w:jc w:val="center"/>
              <w:rPr>
                <w:rFonts w:hint="eastAsia" w:ascii="Times New Roman" w:hAnsi="Times New Roman"/>
                <w:b/>
                <w:bCs/>
                <w:sz w:val="15"/>
                <w:szCs w:val="15"/>
              </w:rPr>
            </w:pPr>
          </w:p>
        </w:tc>
        <w:tc>
          <w:tcPr>
            <w:tcW w:w="2322" w:type="dxa"/>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交易金额</w:t>
            </w:r>
          </w:p>
        </w:tc>
        <w:tc>
          <w:tcPr>
            <w:tcW w:w="2627" w:type="dxa"/>
            <w:noWrap w:val="0"/>
            <w:vAlign w:val="center"/>
          </w:tcPr>
          <w:p>
            <w:pPr>
              <w:rPr>
                <w:rFonts w:hint="eastAsia" w:ascii="Times New Roman" w:hAnsi="Times New Roman"/>
                <w:b/>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 w:hRule="atLeast"/>
          <w:jc w:val="center"/>
        </w:trPr>
        <w:tc>
          <w:tcPr>
            <w:tcW w:w="1619" w:type="dxa"/>
            <w:vMerge w:val="continue"/>
            <w:noWrap w:val="0"/>
            <w:vAlign w:val="center"/>
          </w:tcPr>
          <w:p>
            <w:pPr>
              <w:rPr>
                <w:rFonts w:hint="eastAsia" w:ascii="Times New Roman" w:hAnsi="Times New Roman"/>
                <w:b/>
                <w:bCs/>
                <w:szCs w:val="24"/>
              </w:rPr>
            </w:pPr>
          </w:p>
        </w:tc>
        <w:tc>
          <w:tcPr>
            <w:tcW w:w="1115" w:type="dxa"/>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产品发行人</w:t>
            </w:r>
          </w:p>
        </w:tc>
        <w:tc>
          <w:tcPr>
            <w:tcW w:w="2700" w:type="dxa"/>
            <w:gridSpan w:val="3"/>
            <w:noWrap w:val="0"/>
            <w:vAlign w:val="center"/>
          </w:tcPr>
          <w:p>
            <w:pPr>
              <w:jc w:val="center"/>
              <w:rPr>
                <w:rFonts w:hint="eastAsia" w:ascii="Times New Roman" w:hAnsi="Times New Roman"/>
                <w:b/>
                <w:bCs/>
                <w:sz w:val="15"/>
                <w:szCs w:val="15"/>
              </w:rPr>
            </w:pPr>
          </w:p>
        </w:tc>
        <w:tc>
          <w:tcPr>
            <w:tcW w:w="2322" w:type="dxa"/>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产品风险等级</w:t>
            </w:r>
          </w:p>
        </w:tc>
        <w:tc>
          <w:tcPr>
            <w:tcW w:w="2627" w:type="dxa"/>
            <w:noWrap w:val="0"/>
            <w:vAlign w:val="center"/>
          </w:tcPr>
          <w:p>
            <w:pPr>
              <w:rPr>
                <w:rFonts w:hint="eastAsia" w:ascii="Times New Roman" w:hAnsi="Times New Roman"/>
                <w:b/>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2" w:hRule="atLeast"/>
          <w:jc w:val="center"/>
        </w:trPr>
        <w:tc>
          <w:tcPr>
            <w:tcW w:w="10383" w:type="dxa"/>
            <w:gridSpan w:val="7"/>
            <w:tcBorders>
              <w:bottom w:val="single" w:color="auto" w:sz="4" w:space="0"/>
            </w:tcBorders>
            <w:noWrap w:val="0"/>
            <w:vAlign w:val="center"/>
          </w:tcPr>
          <w:p>
            <w:pPr>
              <w:spacing w:line="180" w:lineRule="exact"/>
              <w:jc w:val="left"/>
              <w:rPr>
                <w:rFonts w:hint="eastAsia" w:ascii="Times New Roman" w:hAnsi="Times New Roman"/>
                <w:bCs/>
                <w:szCs w:val="21"/>
              </w:rPr>
            </w:pPr>
            <w:r>
              <w:rPr>
                <w:rFonts w:hint="eastAsia" w:ascii="Times New Roman" w:hAnsi="Times New Roman"/>
                <w:bCs/>
                <w:szCs w:val="21"/>
              </w:rPr>
              <w:t xml:space="preserve">  </w:t>
            </w:r>
          </w:p>
          <w:p>
            <w:pPr>
              <w:spacing w:line="240" w:lineRule="atLeast"/>
              <w:ind w:firstLine="414" w:firstLineChars="200"/>
              <w:rPr>
                <w:rFonts w:hint="eastAsia" w:ascii="Times New Roman" w:hAnsi="Times New Roman"/>
                <w:b/>
                <w:bCs/>
                <w:spacing w:val="-2"/>
                <w:szCs w:val="21"/>
                <w:u w:val="single"/>
              </w:rPr>
            </w:pPr>
            <w:r>
              <w:rPr>
                <w:rFonts w:hint="eastAsia" w:ascii="Times New Roman" w:hAnsi="Times New Roman"/>
                <w:b/>
                <w:bCs/>
                <w:spacing w:val="-2"/>
                <w:szCs w:val="21"/>
              </w:rPr>
              <w:t>甲方声明：</w:t>
            </w:r>
            <w:r>
              <w:rPr>
                <w:rFonts w:hint="eastAsia" w:ascii="Times New Roman" w:hAnsi="Times New Roman"/>
                <w:b/>
                <w:spacing w:val="-2"/>
                <w:szCs w:val="21"/>
              </w:rPr>
              <w:t>本人/本机构已详细阅读过《理财产品代理销售协议书》与理财产品发行机构提供的《理财产品说明书》、</w:t>
            </w:r>
            <w:r>
              <w:rPr>
                <w:rFonts w:ascii="Times New Roman" w:hAnsi="Times New Roman"/>
                <w:b/>
                <w:spacing w:val="-2"/>
                <w:szCs w:val="21"/>
              </w:rPr>
              <w:t>《风险揭示书》</w:t>
            </w:r>
            <w:r>
              <w:rPr>
                <w:rFonts w:hint="eastAsia" w:ascii="Times New Roman" w:hAnsi="Times New Roman"/>
                <w:b/>
                <w:spacing w:val="-2"/>
                <w:szCs w:val="21"/>
              </w:rPr>
              <w:t>、《理财产品投资协议书》、《投资者权益须知》等全套理财销售文件，</w:t>
            </w:r>
            <w:r>
              <w:rPr>
                <w:rFonts w:hint="eastAsia" w:ascii="Times New Roman" w:hAnsi="Times New Roman"/>
                <w:b/>
                <w:bCs/>
                <w:spacing w:val="-2"/>
                <w:szCs w:val="21"/>
                <w:u w:val="single"/>
              </w:rPr>
              <w:t>知晓本次购买的为乙方代销的理财产品，清楚了解乙方</w:t>
            </w:r>
            <w:r>
              <w:rPr>
                <w:rFonts w:ascii="Times New Roman" w:hAnsi="Times New Roman"/>
                <w:b/>
                <w:bCs/>
                <w:spacing w:val="-2"/>
                <w:szCs w:val="21"/>
                <w:u w:val="single"/>
              </w:rPr>
              <w:t>作为</w:t>
            </w:r>
            <w:r>
              <w:rPr>
                <w:rFonts w:hint="eastAsia" w:ascii="Times New Roman" w:hAnsi="Times New Roman"/>
                <w:b/>
                <w:bCs/>
                <w:spacing w:val="-2"/>
                <w:szCs w:val="21"/>
                <w:u w:val="single"/>
              </w:rPr>
              <w:t>代理销售</w:t>
            </w:r>
            <w:r>
              <w:rPr>
                <w:rFonts w:ascii="Times New Roman" w:hAnsi="Times New Roman"/>
                <w:b/>
                <w:bCs/>
                <w:spacing w:val="-2"/>
                <w:szCs w:val="21"/>
                <w:u w:val="single"/>
              </w:rPr>
              <w:t>机构</w:t>
            </w:r>
            <w:r>
              <w:rPr>
                <w:rFonts w:hint="eastAsia" w:ascii="Times New Roman" w:hAnsi="Times New Roman"/>
                <w:b/>
                <w:bCs/>
                <w:spacing w:val="-2"/>
                <w:szCs w:val="21"/>
                <w:u w:val="single"/>
              </w:rPr>
              <w:t>将不</w:t>
            </w:r>
            <w:r>
              <w:rPr>
                <w:rFonts w:ascii="Times New Roman" w:hAnsi="Times New Roman"/>
                <w:b/>
                <w:bCs/>
                <w:spacing w:val="-2"/>
                <w:szCs w:val="21"/>
                <w:u w:val="single"/>
              </w:rPr>
              <w:t>承担</w:t>
            </w:r>
            <w:r>
              <w:rPr>
                <w:rFonts w:hint="eastAsia" w:ascii="Times New Roman" w:hAnsi="Times New Roman"/>
                <w:b/>
                <w:bCs/>
                <w:spacing w:val="-2"/>
                <w:szCs w:val="21"/>
                <w:u w:val="single"/>
              </w:rPr>
              <w:t>该代销理财产品</w:t>
            </w:r>
            <w:r>
              <w:rPr>
                <w:rFonts w:ascii="Times New Roman" w:hAnsi="Times New Roman"/>
                <w:b/>
                <w:bCs/>
                <w:spacing w:val="-2"/>
                <w:szCs w:val="21"/>
                <w:u w:val="single"/>
              </w:rPr>
              <w:t>的投资、兑付和风险管理</w:t>
            </w:r>
            <w:r>
              <w:rPr>
                <w:rFonts w:hint="eastAsia" w:ascii="Times New Roman" w:hAnsi="Times New Roman"/>
                <w:b/>
                <w:bCs/>
                <w:spacing w:val="-2"/>
                <w:szCs w:val="21"/>
                <w:u w:val="single"/>
              </w:rPr>
              <w:t>责任。</w:t>
            </w:r>
          </w:p>
          <w:p>
            <w:pPr>
              <w:spacing w:line="240" w:lineRule="atLeast"/>
              <w:ind w:firstLine="414" w:firstLineChars="200"/>
              <w:rPr>
                <w:rFonts w:hint="eastAsia" w:ascii="Times New Roman" w:hAnsi="Times New Roman"/>
                <w:b/>
                <w:bCs/>
                <w:spacing w:val="-2"/>
                <w:szCs w:val="21"/>
              </w:rPr>
            </w:pPr>
            <w:r>
              <w:rPr>
                <w:rFonts w:hint="eastAsia" w:ascii="Times New Roman" w:hAnsi="Times New Roman"/>
                <w:b/>
                <w:bCs/>
                <w:spacing w:val="-2"/>
                <w:szCs w:val="21"/>
                <w:u w:val="single"/>
              </w:rPr>
              <w:t>本人/本机构确认，乙方已经以本人/本机构能够理解的方式对该代销理财产品的基本</w:t>
            </w:r>
            <w:r>
              <w:rPr>
                <w:rFonts w:ascii="Times New Roman" w:hAnsi="Times New Roman"/>
                <w:b/>
                <w:bCs/>
                <w:spacing w:val="-2"/>
                <w:szCs w:val="21"/>
                <w:u w:val="single"/>
              </w:rPr>
              <w:t>特征、交易规则</w:t>
            </w:r>
            <w:r>
              <w:rPr>
                <w:rFonts w:hint="eastAsia" w:ascii="Times New Roman" w:hAnsi="Times New Roman"/>
                <w:b/>
                <w:bCs/>
                <w:spacing w:val="-2"/>
                <w:szCs w:val="21"/>
                <w:u w:val="single"/>
              </w:rPr>
              <w:t>、风险评级及适合购买的投资者、投资期限和范围、相关收益及</w:t>
            </w:r>
            <w:r>
              <w:rPr>
                <w:rFonts w:ascii="Times New Roman" w:hAnsi="Times New Roman"/>
                <w:b/>
                <w:bCs/>
                <w:spacing w:val="-2"/>
                <w:szCs w:val="21"/>
                <w:u w:val="single"/>
              </w:rPr>
              <w:t>风险</w:t>
            </w:r>
            <w:r>
              <w:rPr>
                <w:rFonts w:hint="eastAsia" w:ascii="Times New Roman" w:hAnsi="Times New Roman"/>
                <w:b/>
                <w:spacing w:val="-2"/>
                <w:szCs w:val="21"/>
              </w:rPr>
              <w:t>（</w:t>
            </w:r>
            <w:r>
              <w:rPr>
                <w:rFonts w:hint="eastAsia" w:ascii="Times New Roman" w:hAnsi="Times New Roman"/>
                <w:b/>
                <w:bCs/>
                <w:spacing w:val="-2"/>
                <w:szCs w:val="21"/>
              </w:rPr>
              <w:t>具体风险因素已在产品说明书、风险揭示书中揭示</w:t>
            </w:r>
            <w:r>
              <w:rPr>
                <w:rFonts w:hint="eastAsia" w:ascii="Times New Roman" w:hAnsi="Times New Roman"/>
                <w:b/>
                <w:spacing w:val="-2"/>
                <w:szCs w:val="21"/>
              </w:rPr>
              <w:t>）、投资人权利义务、信息披露内容及方式等</w:t>
            </w:r>
            <w:r>
              <w:rPr>
                <w:rFonts w:hint="eastAsia" w:ascii="Times New Roman" w:hAnsi="Times New Roman"/>
                <w:b/>
                <w:bCs/>
                <w:spacing w:val="-2"/>
                <w:szCs w:val="21"/>
              </w:rPr>
              <w:t>进行了充分的解释与说明。本人/本机构已知悉并理解前述内容，清楚知晓</w:t>
            </w:r>
            <w:r>
              <w:rPr>
                <w:rFonts w:hint="eastAsia" w:ascii="Times New Roman" w:hAnsi="Times New Roman"/>
                <w:b/>
                <w:spacing w:val="-2"/>
                <w:szCs w:val="21"/>
              </w:rPr>
              <w:t>本人/本机构在乙方风险承受能力评级___________________（仅个人客户填写）以及本次投资</w:t>
            </w:r>
            <w:r>
              <w:rPr>
                <w:rFonts w:hint="eastAsia" w:ascii="Times New Roman" w:hAnsi="Times New Roman"/>
                <w:b/>
                <w:bCs/>
                <w:spacing w:val="-2"/>
                <w:szCs w:val="21"/>
              </w:rPr>
              <w:t>可能存在的本金及收益损失，自愿承担相关投资风险。</w:t>
            </w:r>
          </w:p>
          <w:p>
            <w:pPr>
              <w:spacing w:line="240" w:lineRule="atLeast"/>
              <w:ind w:firstLine="414" w:firstLineChars="200"/>
              <w:rPr>
                <w:rFonts w:ascii="Times New Roman" w:hAnsi="Times New Roman"/>
                <w:b/>
                <w:bCs/>
                <w:spacing w:val="-2"/>
                <w:szCs w:val="21"/>
              </w:rPr>
            </w:pPr>
            <w:r>
              <w:rPr>
                <w:rFonts w:hint="eastAsia" w:ascii="Times New Roman" w:hAnsi="Times New Roman"/>
                <w:b/>
                <w:bCs/>
                <w:spacing w:val="-2"/>
                <w:szCs w:val="21"/>
              </w:rPr>
              <w:t>本人/本机构</w:t>
            </w:r>
            <w:r>
              <w:rPr>
                <w:rFonts w:hint="eastAsia" w:ascii="Times New Roman" w:hAnsi="Times New Roman"/>
                <w:b/>
                <w:spacing w:val="-2"/>
                <w:szCs w:val="21"/>
              </w:rPr>
              <w:t>自愿办理</w:t>
            </w:r>
            <w:r>
              <w:rPr>
                <w:rFonts w:hint="eastAsia" w:ascii="Times New Roman" w:hAnsi="Times New Roman"/>
                <w:b/>
                <w:bCs/>
                <w:spacing w:val="-2"/>
                <w:szCs w:val="21"/>
                <w:u w:val="single"/>
              </w:rPr>
              <w:t>该代销理财产品</w:t>
            </w:r>
            <w:r>
              <w:rPr>
                <w:rFonts w:hint="eastAsia" w:ascii="Times New Roman" w:hAnsi="Times New Roman"/>
                <w:b/>
                <w:spacing w:val="-2"/>
                <w:szCs w:val="21"/>
              </w:rPr>
              <w:t>的交易，保证填写的信息资料真实、准确、完整、有效，且所有投资资金系</w:t>
            </w:r>
            <w:r>
              <w:rPr>
                <w:rFonts w:hint="eastAsia" w:ascii="Times New Roman" w:hAnsi="Times New Roman"/>
                <w:b/>
                <w:bCs/>
                <w:spacing w:val="-2"/>
                <w:szCs w:val="21"/>
              </w:rPr>
              <w:t>本人/本机构</w:t>
            </w:r>
            <w:r>
              <w:rPr>
                <w:rFonts w:hint="eastAsia" w:ascii="Times New Roman" w:hAnsi="Times New Roman"/>
                <w:b/>
                <w:spacing w:val="-2"/>
                <w:szCs w:val="21"/>
              </w:rPr>
              <w:t>合法持有的资金。</w:t>
            </w:r>
          </w:p>
          <w:p>
            <w:pPr>
              <w:spacing w:line="240" w:lineRule="atLeast"/>
              <w:ind w:firstLine="414" w:firstLineChars="200"/>
              <w:rPr>
                <w:rFonts w:ascii="Times New Roman" w:hAnsi="Times New Roman"/>
                <w:b/>
                <w:bCs/>
                <w:spacing w:val="-2"/>
                <w:szCs w:val="21"/>
              </w:rPr>
            </w:pPr>
          </w:p>
          <w:p>
            <w:pPr>
              <w:spacing w:line="240" w:lineRule="atLeast"/>
              <w:ind w:firstLine="414" w:firstLineChars="200"/>
              <w:rPr>
                <w:rFonts w:hint="eastAsia" w:ascii="Times New Roman" w:hAnsi="Times New Roman"/>
                <w:b/>
                <w:spacing w:val="-2"/>
                <w:szCs w:val="21"/>
              </w:rPr>
            </w:pPr>
          </w:p>
          <w:p>
            <w:pPr>
              <w:spacing w:line="240" w:lineRule="atLeast"/>
              <w:ind w:firstLine="412" w:firstLineChars="200"/>
              <w:rPr>
                <w:rFonts w:hint="eastAsia" w:ascii="Times New Roman" w:hAnsi="Times New Roman"/>
                <w:bCs/>
                <w:spacing w:val="-2"/>
                <w:szCs w:val="21"/>
              </w:rPr>
            </w:pPr>
          </w:p>
          <w:p>
            <w:pPr>
              <w:spacing w:line="240" w:lineRule="atLeast"/>
              <w:ind w:firstLine="412" w:firstLineChars="200"/>
              <w:rPr>
                <w:rFonts w:ascii="Times New Roman" w:hAnsi="Times New Roman" w:eastAsia="黑体"/>
                <w:szCs w:val="21"/>
              </w:rPr>
            </w:pPr>
            <w:r>
              <w:rPr>
                <w:rFonts w:hint="eastAsia" w:ascii="Times New Roman" w:hAnsi="Times New Roman"/>
                <w:bCs/>
                <w:spacing w:val="-2"/>
                <w:szCs w:val="21"/>
              </w:rPr>
              <w:t>甲方（客户）签字/签章：</w:t>
            </w:r>
            <w:r>
              <w:rPr>
                <w:rFonts w:hint="eastAsia" w:ascii="Times New Roman" w:hAnsi="Times New Roman" w:eastAsia="黑体"/>
                <w:szCs w:val="21"/>
              </w:rPr>
              <w:t xml:space="preserve">                                   </w:t>
            </w:r>
            <w:r>
              <w:rPr>
                <w:rFonts w:hint="eastAsia" w:ascii="Times New Roman" w:hAnsi="Times New Roman"/>
                <w:bCs/>
                <w:spacing w:val="-2"/>
                <w:szCs w:val="21"/>
              </w:rPr>
              <w:t>乙方（代理销售</w:t>
            </w:r>
            <w:r>
              <w:rPr>
                <w:rFonts w:ascii="Times New Roman" w:hAnsi="Times New Roman"/>
                <w:bCs/>
                <w:spacing w:val="-2"/>
                <w:szCs w:val="21"/>
              </w:rPr>
              <w:t>机构</w:t>
            </w:r>
            <w:r>
              <w:rPr>
                <w:rFonts w:hint="eastAsia" w:ascii="Times New Roman" w:hAnsi="Times New Roman"/>
                <w:bCs/>
                <w:spacing w:val="-2"/>
                <w:szCs w:val="21"/>
              </w:rPr>
              <w:t>）签章</w:t>
            </w:r>
            <w:r>
              <w:rPr>
                <w:rFonts w:hint="eastAsia" w:ascii="Times New Roman" w:hAnsi="Times New Roman" w:eastAsia="黑体"/>
                <w:szCs w:val="21"/>
              </w:rPr>
              <w:t>：</w:t>
            </w:r>
          </w:p>
          <w:p>
            <w:pPr>
              <w:spacing w:line="240" w:lineRule="atLeast"/>
              <w:ind w:firstLine="420" w:firstLineChars="200"/>
              <w:rPr>
                <w:rFonts w:ascii="Times New Roman" w:hAnsi="Times New Roman"/>
                <w:bCs/>
                <w:spacing w:val="-2"/>
                <w:szCs w:val="21"/>
              </w:rPr>
            </w:pPr>
            <w:r>
              <w:rPr>
                <w:rFonts w:hint="eastAsia" w:ascii="Times New Roman" w:hAnsi="Times New Roman" w:eastAsia="黑体"/>
                <w:szCs w:val="21"/>
              </w:rPr>
              <w:t xml:space="preserve">                                                    </w:t>
            </w:r>
            <w:r>
              <w:rPr>
                <w:rFonts w:hint="eastAsia" w:ascii="Times New Roman" w:hAnsi="Times New Roman" w:eastAsia="黑体"/>
                <w:sz w:val="24"/>
                <w:szCs w:val="24"/>
              </w:rPr>
              <w:t xml:space="preserve">     </w:t>
            </w:r>
            <w:r>
              <w:rPr>
                <w:rFonts w:hint="eastAsia" w:ascii="Times New Roman" w:hAnsi="Times New Roman"/>
                <w:bCs/>
                <w:spacing w:val="-2"/>
                <w:szCs w:val="21"/>
              </w:rPr>
              <w:t>理财经理签章：</w:t>
            </w:r>
          </w:p>
          <w:p>
            <w:pPr>
              <w:spacing w:line="240" w:lineRule="atLeast"/>
              <w:ind w:firstLine="412" w:firstLineChars="200"/>
              <w:rPr>
                <w:rFonts w:ascii="Times New Roman" w:hAnsi="Times New Roman" w:eastAsia="黑体"/>
                <w:sz w:val="24"/>
                <w:szCs w:val="24"/>
              </w:rPr>
            </w:pPr>
            <w:r>
              <w:rPr>
                <w:rFonts w:hint="eastAsia" w:ascii="Times New Roman" w:hAnsi="Times New Roman"/>
                <w:bCs/>
                <w:spacing w:val="-2"/>
                <w:szCs w:val="21"/>
              </w:rPr>
              <w:t xml:space="preserve">                                                            业务咨询电话：</w:t>
            </w:r>
          </w:p>
          <w:p>
            <w:pPr>
              <w:spacing w:line="180" w:lineRule="exact"/>
              <w:rPr>
                <w:rFonts w:hint="eastAsia" w:ascii="Times New Roman" w:hAnsi="Times New Roman"/>
                <w:bCs/>
                <w:szCs w:val="21"/>
              </w:rPr>
            </w:pPr>
          </w:p>
        </w:tc>
      </w:tr>
    </w:tbl>
    <w:p>
      <w:pPr>
        <w:rPr>
          <w:rFonts w:hint="eastAsia"/>
        </w:rPr>
      </w:pPr>
    </w:p>
    <w:p>
      <w:pPr>
        <w:jc w:val="left"/>
        <w:rPr>
          <w:rFonts w:hint="eastAsia" w:ascii="楷体" w:hAnsi="楷体" w:eastAsia="楷体"/>
          <w:b/>
          <w:sz w:val="36"/>
          <w:szCs w:val="36"/>
          <w:lang w:eastAsia="zh-Hans"/>
        </w:rPr>
      </w:pPr>
    </w:p>
    <w:p>
      <w:pPr>
        <w:jc w:val="left"/>
        <w:rPr>
          <w:rFonts w:hint="eastAsia" w:ascii="楷体" w:hAnsi="楷体" w:eastAsia="楷体"/>
          <w:b/>
          <w:sz w:val="36"/>
          <w:szCs w:val="36"/>
          <w:lang w:eastAsia="zh-Hans"/>
        </w:rPr>
      </w:pPr>
      <w:r>
        <w:rPr>
          <w:rFonts w:ascii="楷体" w:hAnsi="楷体" w:eastAsia="楷体"/>
          <w:b/>
          <w:sz w:val="36"/>
          <w:szCs w:val="36"/>
          <w:lang w:eastAsia="zh-Hans"/>
        </w:rPr>
        <w:br w:type="page"/>
      </w:r>
      <w:r>
        <w:rPr>
          <w:rFonts w:hint="eastAsia" w:ascii="楷体" w:hAnsi="楷体" w:eastAsia="楷体"/>
          <w:b/>
          <w:sz w:val="36"/>
          <w:szCs w:val="36"/>
          <w:lang w:eastAsia="zh-Hans"/>
        </w:rPr>
        <w:t>附件</w:t>
      </w:r>
      <w:r>
        <w:rPr>
          <w:rFonts w:ascii="楷体" w:hAnsi="楷体" w:eastAsia="楷体"/>
          <w:b/>
          <w:sz w:val="36"/>
          <w:szCs w:val="36"/>
          <w:lang w:eastAsia="zh-Hans"/>
        </w:rPr>
        <w:t>：</w:t>
      </w:r>
    </w:p>
    <w:p>
      <w:pPr>
        <w:jc w:val="center"/>
        <w:rPr>
          <w:rFonts w:hint="eastAsia" w:ascii="楷体" w:hAnsi="楷体" w:eastAsia="楷体"/>
          <w:b/>
          <w:sz w:val="36"/>
          <w:szCs w:val="36"/>
        </w:rPr>
      </w:pPr>
      <w:r>
        <w:rPr>
          <w:rFonts w:hint="eastAsia" w:ascii="楷体" w:hAnsi="楷体" w:eastAsia="楷体"/>
          <w:b/>
          <w:sz w:val="36"/>
          <w:szCs w:val="36"/>
          <w:lang w:eastAsia="zh-Hans"/>
        </w:rPr>
        <w:t>理财产品代理销售协议书条款</w:t>
      </w:r>
    </w:p>
    <w:p>
      <w:pPr>
        <w:jc w:val="center"/>
        <w:rPr>
          <w:rFonts w:hint="eastAsia" w:ascii="楷体" w:hAnsi="楷体" w:eastAsia="楷体"/>
          <w:b/>
          <w:sz w:val="32"/>
          <w:szCs w:val="32"/>
        </w:rPr>
      </w:pPr>
      <w:r>
        <w:rPr>
          <w:rFonts w:hint="eastAsia" w:ascii="楷体" w:hAnsi="楷体" w:eastAsia="楷体"/>
          <w:b/>
          <w:sz w:val="32"/>
          <w:szCs w:val="32"/>
        </w:rPr>
        <w:t>理财非存款、产品有风险、投资须谨慎</w:t>
      </w:r>
    </w:p>
    <w:p>
      <w:pPr>
        <w:ind w:firstLine="480" w:firstLineChars="200"/>
        <w:rPr>
          <w:rFonts w:ascii="楷体" w:hAnsi="楷体" w:eastAsia="楷体"/>
          <w:sz w:val="24"/>
          <w:szCs w:val="24"/>
        </w:rPr>
      </w:pPr>
    </w:p>
    <w:p>
      <w:pPr>
        <w:ind w:firstLine="480" w:firstLineChars="200"/>
        <w:rPr>
          <w:rFonts w:hint="eastAsia" w:ascii="楷体" w:hAnsi="楷体" w:eastAsia="楷体"/>
          <w:sz w:val="24"/>
          <w:szCs w:val="24"/>
        </w:rPr>
      </w:pPr>
      <w:r>
        <w:rPr>
          <w:rFonts w:ascii="楷体" w:hAnsi="楷体" w:eastAsia="楷体"/>
          <w:sz w:val="24"/>
          <w:szCs w:val="24"/>
        </w:rPr>
        <w:t>甲方（以下简称“投资者”或甲方）自愿购买本理财产品，与乙方（</w:t>
      </w:r>
      <w:r>
        <w:rPr>
          <w:rFonts w:hint="eastAsia" w:ascii="楷体" w:hAnsi="楷体" w:eastAsia="楷体"/>
          <w:sz w:val="24"/>
          <w:szCs w:val="24"/>
        </w:rPr>
        <w:t>代理销售苏银理财有限</w:t>
      </w:r>
      <w:r>
        <w:rPr>
          <w:rFonts w:ascii="楷体" w:hAnsi="楷体" w:eastAsia="楷体"/>
          <w:sz w:val="24"/>
          <w:szCs w:val="24"/>
        </w:rPr>
        <w:t>责任公司</w:t>
      </w:r>
      <w:r>
        <w:rPr>
          <w:rFonts w:hint="eastAsia" w:ascii="楷体" w:hAnsi="楷体" w:eastAsia="楷体"/>
          <w:sz w:val="24"/>
          <w:szCs w:val="24"/>
        </w:rPr>
        <w:t>为管理人</w:t>
      </w:r>
      <w:r>
        <w:rPr>
          <w:rFonts w:ascii="楷体" w:hAnsi="楷体" w:eastAsia="楷体"/>
          <w:sz w:val="24"/>
          <w:szCs w:val="24"/>
        </w:rPr>
        <w:t>的</w:t>
      </w:r>
      <w:r>
        <w:rPr>
          <w:rFonts w:hint="eastAsia" w:ascii="楷体" w:hAnsi="楷体" w:eastAsia="楷体"/>
          <w:sz w:val="24"/>
          <w:szCs w:val="24"/>
        </w:rPr>
        <w:t>理财</w:t>
      </w:r>
      <w:r>
        <w:rPr>
          <w:rFonts w:ascii="楷体" w:hAnsi="楷体" w:eastAsia="楷体"/>
          <w:sz w:val="24"/>
          <w:szCs w:val="24"/>
        </w:rPr>
        <w:t>产品的机构，以下简称“</w:t>
      </w:r>
      <w:r>
        <w:rPr>
          <w:rFonts w:hint="eastAsia" w:ascii="楷体" w:hAnsi="楷体" w:eastAsia="楷体"/>
          <w:sz w:val="24"/>
          <w:szCs w:val="24"/>
        </w:rPr>
        <w:t>代理销售机构</w:t>
      </w:r>
      <w:r>
        <w:rPr>
          <w:rFonts w:ascii="楷体" w:hAnsi="楷体" w:eastAsia="楷体"/>
          <w:sz w:val="24"/>
          <w:szCs w:val="24"/>
        </w:rPr>
        <w:t>”或“乙方”）协商一致，签订本协议。</w:t>
      </w:r>
    </w:p>
    <w:p>
      <w:pPr>
        <w:ind w:firstLine="480" w:firstLineChars="200"/>
        <w:rPr>
          <w:rFonts w:hint="eastAsia" w:ascii="楷体" w:hAnsi="楷体" w:eastAsia="楷体"/>
          <w:sz w:val="24"/>
          <w:szCs w:val="24"/>
        </w:rPr>
      </w:pPr>
      <w:r>
        <w:rPr>
          <w:rFonts w:ascii="楷体" w:hAnsi="楷体" w:eastAsia="楷体"/>
          <w:sz w:val="24"/>
          <w:szCs w:val="24"/>
        </w:rPr>
        <w:t>本协议为规范甲乙双方在理财业务中权利和义务的法律文件。达成协议如下：</w:t>
      </w:r>
    </w:p>
    <w:p>
      <w:pPr>
        <w:numPr>
          <w:ilvl w:val="0"/>
          <w:numId w:val="6"/>
        </w:numPr>
        <w:ind w:firstLine="480" w:firstLineChars="200"/>
        <w:rPr>
          <w:rFonts w:hint="eastAsia" w:ascii="楷体" w:hAnsi="楷体" w:eastAsia="楷体"/>
          <w:sz w:val="24"/>
          <w:szCs w:val="24"/>
        </w:rPr>
      </w:pPr>
      <w:r>
        <w:rPr>
          <w:rFonts w:ascii="楷体" w:hAnsi="楷体" w:eastAsia="楷体"/>
          <w:sz w:val="24"/>
          <w:szCs w:val="24"/>
        </w:rPr>
        <w:t>风险揭示：</w:t>
      </w:r>
      <w:r>
        <w:rPr>
          <w:rFonts w:ascii="楷体" w:hAnsi="楷体" w:eastAsia="楷体"/>
          <w:b/>
          <w:sz w:val="24"/>
          <w:szCs w:val="24"/>
          <w:u w:val="single"/>
        </w:rPr>
        <w:t>理财非存款、产品有风险、投资须谨慎。</w:t>
      </w:r>
      <w:r>
        <w:rPr>
          <w:rFonts w:ascii="楷体" w:hAnsi="楷体" w:eastAsia="楷体"/>
          <w:sz w:val="24"/>
          <w:szCs w:val="24"/>
        </w:rPr>
        <w:t>投资理财产品可能面临信用风险、市场风险、流动性风险等风险因素，具体在每只理财产品的《理财产品说明书》和《风险揭示书》中揭示。甲方应仔细阅读拟认购理财产品对应的《理财产品说明书》和《风险揭示书》的详细条款并充分理解理财投资可能发生的风险。</w:t>
      </w:r>
    </w:p>
    <w:p>
      <w:pPr>
        <w:numPr>
          <w:ilvl w:val="0"/>
          <w:numId w:val="6"/>
        </w:numPr>
        <w:ind w:firstLine="480" w:firstLineChars="200"/>
      </w:pPr>
      <w:r>
        <w:rPr>
          <w:rFonts w:ascii="楷体" w:hAnsi="楷体" w:eastAsia="楷体"/>
          <w:sz w:val="24"/>
          <w:szCs w:val="24"/>
        </w:rPr>
        <w:t>甲方声明：甲方是具有完全民事行为能力的个人</w:t>
      </w:r>
      <w:r>
        <w:rPr>
          <w:rFonts w:hint="eastAsia" w:ascii="楷体" w:hAnsi="楷体" w:eastAsia="楷体"/>
          <w:sz w:val="24"/>
          <w:szCs w:val="24"/>
        </w:rPr>
        <w:t>和机构</w:t>
      </w:r>
      <w:r>
        <w:rPr>
          <w:rFonts w:ascii="楷体" w:hAnsi="楷体" w:eastAsia="楷体"/>
          <w:sz w:val="24"/>
          <w:szCs w:val="24"/>
        </w:rPr>
        <w:t>，已经</w:t>
      </w:r>
      <w:r>
        <w:rPr>
          <w:rFonts w:hint="eastAsia" w:ascii="楷体" w:hAnsi="楷体" w:eastAsia="楷体"/>
          <w:sz w:val="24"/>
          <w:szCs w:val="24"/>
          <w:lang w:eastAsia="zh-Hans"/>
        </w:rPr>
        <w:t>仔细</w:t>
      </w:r>
      <w:r>
        <w:rPr>
          <w:rFonts w:ascii="楷体" w:hAnsi="楷体" w:eastAsia="楷体"/>
          <w:sz w:val="24"/>
          <w:szCs w:val="24"/>
        </w:rPr>
        <w:t>阅读《投资者权益须知》并清楚知晓其内容，接受并签署本协议书、</w:t>
      </w:r>
      <w:r>
        <w:rPr>
          <w:rFonts w:hint="eastAsia" w:ascii="楷体" w:hAnsi="楷体" w:eastAsia="楷体"/>
          <w:sz w:val="24"/>
          <w:szCs w:val="24"/>
          <w:lang w:eastAsia="zh-Hans"/>
        </w:rPr>
        <w:t>《理财产品投资协议书》、</w:t>
      </w:r>
      <w:r>
        <w:rPr>
          <w:rFonts w:ascii="楷体" w:hAnsi="楷体" w:eastAsia="楷体"/>
          <w:sz w:val="24"/>
          <w:szCs w:val="24"/>
        </w:rPr>
        <w:t>《理财产品说明书》和《风险揭示书》，</w:t>
      </w:r>
      <w:r>
        <w:rPr>
          <w:rFonts w:ascii="楷体" w:hAnsi="楷体" w:eastAsia="楷体"/>
          <w:b/>
          <w:sz w:val="24"/>
          <w:szCs w:val="24"/>
        </w:rPr>
        <w:t>对有关条款不存在任何疑问或异议</w:t>
      </w:r>
      <w:r>
        <w:rPr>
          <w:rFonts w:ascii="楷体" w:hAnsi="楷体" w:eastAsia="楷体"/>
          <w:sz w:val="24"/>
          <w:szCs w:val="24"/>
        </w:rPr>
        <w:t>；甲方以</w:t>
      </w:r>
      <w:r>
        <w:rPr>
          <w:rFonts w:hint="eastAsia" w:ascii="楷体" w:hAnsi="楷体" w:eastAsia="楷体"/>
          <w:sz w:val="24"/>
          <w:szCs w:val="24"/>
        </w:rPr>
        <w:t>其</w:t>
      </w:r>
      <w:r>
        <w:rPr>
          <w:rFonts w:ascii="楷体" w:hAnsi="楷体" w:eastAsia="楷体"/>
          <w:sz w:val="24"/>
          <w:szCs w:val="24"/>
        </w:rPr>
        <w:t>合法持有的资金购买</w:t>
      </w:r>
      <w:r>
        <w:rPr>
          <w:rFonts w:hint="eastAsia" w:ascii="楷体" w:hAnsi="楷体" w:eastAsia="楷体"/>
          <w:sz w:val="24"/>
          <w:szCs w:val="24"/>
          <w:lang w:eastAsia="zh-Hans"/>
        </w:rPr>
        <w:t>乙方代理销售的理财</w:t>
      </w:r>
      <w:r>
        <w:rPr>
          <w:rFonts w:ascii="楷体" w:hAnsi="楷体" w:eastAsia="楷体"/>
          <w:sz w:val="24"/>
          <w:szCs w:val="24"/>
        </w:rPr>
        <w:t>产品，并能充分理解所购买产品的内容，</w:t>
      </w:r>
      <w:r>
        <w:rPr>
          <w:rFonts w:ascii="楷体" w:hAnsi="楷体" w:eastAsia="楷体"/>
          <w:b/>
          <w:sz w:val="24"/>
          <w:szCs w:val="24"/>
        </w:rPr>
        <w:t>完全知晓产品可能出现的各种风险，愿意并能够承担风险</w:t>
      </w:r>
      <w:r>
        <w:rPr>
          <w:rFonts w:ascii="楷体" w:hAnsi="楷体" w:eastAsia="楷体"/>
          <w:sz w:val="24"/>
          <w:szCs w:val="24"/>
        </w:rPr>
        <w:t>。乙方向甲方提供的市场分析和预测仅供参考，甲方据此做出的任何决策均出于甲方自身的判断，</w:t>
      </w:r>
      <w:r>
        <w:rPr>
          <w:rFonts w:ascii="楷体" w:hAnsi="楷体" w:eastAsia="楷体"/>
          <w:b/>
          <w:sz w:val="24"/>
          <w:szCs w:val="24"/>
        </w:rPr>
        <w:t>并自愿承担所购买（或赎回、撤单等其他行为）理财产品所产生的相关风险和全部后果。</w:t>
      </w:r>
    </w:p>
    <w:p>
      <w:pPr>
        <w:numPr>
          <w:ilvl w:val="0"/>
          <w:numId w:val="6"/>
        </w:numPr>
        <w:ind w:firstLine="480" w:firstLineChars="200"/>
        <w:rPr>
          <w:rFonts w:hint="eastAsia" w:ascii="楷体" w:hAnsi="楷体" w:eastAsia="楷体"/>
          <w:sz w:val="24"/>
          <w:szCs w:val="24"/>
        </w:rPr>
      </w:pPr>
      <w:r>
        <w:rPr>
          <w:rFonts w:hint="eastAsia" w:ascii="楷体" w:hAnsi="楷体" w:eastAsia="楷体"/>
          <w:sz w:val="24"/>
          <w:szCs w:val="24"/>
          <w:lang w:eastAsia="zh-Hans"/>
        </w:rPr>
        <w:t>乙方声明：乙方系本理财产品的</w:t>
      </w:r>
      <w:r>
        <w:rPr>
          <w:rFonts w:hint="eastAsia" w:ascii="楷体" w:hAnsi="楷体" w:eastAsia="楷体"/>
          <w:sz w:val="24"/>
          <w:szCs w:val="24"/>
        </w:rPr>
        <w:t>代理销售机构</w:t>
      </w:r>
      <w:r>
        <w:rPr>
          <w:rFonts w:hint="eastAsia" w:ascii="楷体" w:hAnsi="楷体" w:eastAsia="楷体"/>
          <w:sz w:val="24"/>
          <w:szCs w:val="24"/>
          <w:lang w:eastAsia="zh-Hans"/>
        </w:rPr>
        <w:t>，乙方</w:t>
      </w:r>
      <w:r>
        <w:rPr>
          <w:rFonts w:hint="eastAsia" w:ascii="楷体" w:hAnsi="楷体" w:eastAsia="楷体"/>
          <w:sz w:val="24"/>
          <w:szCs w:val="24"/>
        </w:rPr>
        <w:t>负责</w:t>
      </w:r>
      <w:r>
        <w:rPr>
          <w:rFonts w:hint="eastAsia" w:ascii="楷体" w:hAnsi="楷体" w:eastAsia="楷体"/>
          <w:sz w:val="24"/>
          <w:szCs w:val="24"/>
          <w:lang w:eastAsia="zh-Hans"/>
        </w:rPr>
        <w:t>甲方</w:t>
      </w:r>
      <w:r>
        <w:rPr>
          <w:rFonts w:hint="eastAsia" w:ascii="楷体" w:hAnsi="楷体" w:eastAsia="楷体"/>
          <w:sz w:val="24"/>
          <w:szCs w:val="24"/>
        </w:rPr>
        <w:t>与苏银理财之间的资金划转工作，</w:t>
      </w:r>
      <w:r>
        <w:rPr>
          <w:rFonts w:hint="eastAsia" w:ascii="楷体" w:hAnsi="楷体" w:eastAsia="楷体"/>
          <w:sz w:val="24"/>
          <w:szCs w:val="24"/>
          <w:lang w:eastAsia="zh-Hans"/>
        </w:rPr>
        <w:t>不承担产品投资、兑付和风险管理责任，产品的投资、兑付和风险管理责任由管理人苏银理财承担。</w:t>
      </w:r>
      <w:r>
        <w:rPr>
          <w:rFonts w:hint="eastAsia" w:ascii="楷体" w:hAnsi="楷体" w:eastAsia="楷体"/>
          <w:sz w:val="24"/>
          <w:szCs w:val="24"/>
        </w:rPr>
        <w:t>本产品非乙方发行的理财产品，乙方仅为本产品的代理销售机构。乙方受理的代销理财产品业务申请是否生效，以产品管理人最终确认结果为准。</w:t>
      </w:r>
    </w:p>
    <w:p>
      <w:pPr>
        <w:numPr>
          <w:ilvl w:val="0"/>
          <w:numId w:val="6"/>
        </w:numPr>
        <w:ind w:firstLine="480" w:firstLineChars="200"/>
        <w:rPr>
          <w:rFonts w:hint="eastAsia" w:ascii="楷体" w:hAnsi="楷体" w:eastAsia="楷体"/>
          <w:sz w:val="24"/>
          <w:szCs w:val="24"/>
        </w:rPr>
      </w:pPr>
      <w:r>
        <w:rPr>
          <w:rFonts w:ascii="楷体" w:hAnsi="楷体" w:eastAsia="楷体"/>
          <w:sz w:val="24"/>
          <w:szCs w:val="24"/>
        </w:rPr>
        <w:t>本协议适用于</w:t>
      </w:r>
      <w:r>
        <w:rPr>
          <w:rFonts w:hint="eastAsia" w:ascii="楷体" w:hAnsi="楷体" w:eastAsia="楷体"/>
          <w:sz w:val="24"/>
          <w:szCs w:val="24"/>
          <w:lang w:eastAsia="zh-Hans"/>
        </w:rPr>
        <w:t>乙方</w:t>
      </w:r>
      <w:r>
        <w:rPr>
          <w:rFonts w:ascii="楷体" w:hAnsi="楷体" w:eastAsia="楷体"/>
          <w:sz w:val="24"/>
          <w:szCs w:val="24"/>
        </w:rPr>
        <w:t>代理销售苏银理财发行的理财产品。与理财产品对应的《理财产品说明书》</w:t>
      </w:r>
      <w:r>
        <w:rPr>
          <w:rFonts w:hint="eastAsia" w:ascii="楷体" w:hAnsi="楷体" w:eastAsia="楷体"/>
          <w:sz w:val="24"/>
          <w:szCs w:val="24"/>
        </w:rPr>
        <w:t>、</w:t>
      </w:r>
      <w:r>
        <w:rPr>
          <w:rFonts w:ascii="楷体" w:hAnsi="楷体" w:eastAsia="楷体"/>
          <w:sz w:val="24"/>
          <w:szCs w:val="24"/>
        </w:rPr>
        <w:t>《风险揭示书》</w:t>
      </w:r>
      <w:r>
        <w:rPr>
          <w:rFonts w:hint="eastAsia" w:ascii="楷体" w:hAnsi="楷体" w:eastAsia="楷体"/>
          <w:sz w:val="24"/>
          <w:szCs w:val="24"/>
        </w:rPr>
        <w:t>、</w:t>
      </w:r>
      <w:r>
        <w:rPr>
          <w:rFonts w:ascii="楷体" w:hAnsi="楷体" w:eastAsia="楷体"/>
          <w:sz w:val="24"/>
          <w:szCs w:val="24"/>
        </w:rPr>
        <w:t>《投资者权益须知》</w:t>
      </w:r>
      <w:r>
        <w:rPr>
          <w:rFonts w:hint="eastAsia" w:ascii="楷体" w:hAnsi="楷体" w:eastAsia="楷体"/>
          <w:sz w:val="24"/>
          <w:szCs w:val="24"/>
        </w:rPr>
        <w:t>、《理财产品投资协议书》</w:t>
      </w:r>
      <w:r>
        <w:rPr>
          <w:rFonts w:ascii="楷体" w:hAnsi="楷体" w:eastAsia="楷体"/>
          <w:sz w:val="24"/>
          <w:szCs w:val="24"/>
        </w:rPr>
        <w:t>等相关文件构成本协议不可分割的部份，与本协议具有同等法律效力。</w:t>
      </w:r>
      <w:r>
        <w:rPr>
          <w:rFonts w:hint="eastAsia" w:ascii="楷体" w:hAnsi="楷体" w:eastAsia="楷体"/>
          <w:sz w:val="24"/>
          <w:szCs w:val="24"/>
        </w:rPr>
        <w:t>除《理财产品说明书》、《风险揭示书》、《理财产品投资协议书》另有约定外，其他与理财产品相关的涉及相关当事人之间权利义务关系的任何文件或表述与本协议不一致的，均以本协议为准。</w:t>
      </w:r>
    </w:p>
    <w:p>
      <w:pPr>
        <w:numPr>
          <w:ilvl w:val="0"/>
          <w:numId w:val="6"/>
        </w:numPr>
        <w:ind w:firstLine="480" w:firstLineChars="200"/>
        <w:rPr>
          <w:rFonts w:hint="eastAsia" w:ascii="楷体" w:hAnsi="楷体" w:eastAsia="楷体"/>
          <w:sz w:val="24"/>
          <w:szCs w:val="24"/>
        </w:rPr>
      </w:pPr>
      <w:r>
        <w:rPr>
          <w:rFonts w:ascii="楷体" w:hAnsi="楷体" w:eastAsia="楷体"/>
          <w:sz w:val="24"/>
          <w:szCs w:val="24"/>
        </w:rPr>
        <w:t>双方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甲方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8"/>
        </w:numPr>
        <w:ind w:firstLine="480" w:firstLineChars="200"/>
        <w:rPr>
          <w:rFonts w:hint="eastAsia" w:ascii="楷体" w:hAnsi="楷体" w:eastAsia="楷体"/>
          <w:sz w:val="24"/>
          <w:szCs w:val="24"/>
        </w:rPr>
      </w:pPr>
      <w:r>
        <w:rPr>
          <w:rFonts w:ascii="楷体" w:hAnsi="楷体" w:eastAsia="楷体"/>
          <w:sz w:val="24"/>
          <w:szCs w:val="24"/>
        </w:rPr>
        <w:t>甲方购买理财产品的资金为合法自有资金，不存在使用贷款、发行债券等筹集的非自有资金投资资产管理产品的情形，甲方承诺投资理财产品使用的资金来源合法合规，并且系为合法之目的投资本理财产品，而非为洗钱等违法犯罪之目的，甲方将配合管理人及</w:t>
      </w:r>
      <w:r>
        <w:rPr>
          <w:rFonts w:hint="eastAsia" w:ascii="楷体" w:hAnsi="楷体" w:eastAsia="楷体"/>
          <w:sz w:val="24"/>
          <w:szCs w:val="24"/>
          <w:lang w:eastAsia="zh-Hans"/>
        </w:rPr>
        <w:t>乙方</w:t>
      </w:r>
      <w:r>
        <w:rPr>
          <w:rFonts w:ascii="楷体" w:hAnsi="楷体" w:eastAsia="楷体"/>
          <w:sz w:val="24"/>
          <w:szCs w:val="24"/>
        </w:rPr>
        <w:t>开展投资者身份识别及尽职调查等反洗钱</w:t>
      </w:r>
      <w:r>
        <w:rPr>
          <w:rFonts w:hint="eastAsia" w:ascii="楷体" w:hAnsi="楷体" w:eastAsia="楷体"/>
          <w:sz w:val="24"/>
          <w:szCs w:val="24"/>
          <w:lang w:eastAsia="zh-Hans"/>
        </w:rPr>
        <w:t>、反恐怖融资及非居民金融账户涉税信息尽职调查等</w:t>
      </w:r>
      <w:r>
        <w:rPr>
          <w:rFonts w:ascii="楷体" w:hAnsi="楷体" w:eastAsia="楷体"/>
          <w:sz w:val="24"/>
          <w:szCs w:val="24"/>
        </w:rPr>
        <w:t>活动，及时、真实、准确、完整提供身份信息及资金来源等信息。</w:t>
      </w:r>
    </w:p>
    <w:p>
      <w:pPr>
        <w:numPr>
          <w:ilvl w:val="0"/>
          <w:numId w:val="8"/>
        </w:numPr>
        <w:ind w:firstLine="480" w:firstLineChars="200"/>
        <w:rPr>
          <w:rFonts w:hint="eastAsia" w:ascii="楷体" w:hAnsi="楷体" w:eastAsia="楷体"/>
          <w:sz w:val="24"/>
          <w:szCs w:val="24"/>
        </w:rPr>
      </w:pPr>
      <w:r>
        <w:rPr>
          <w:rFonts w:ascii="楷体" w:hAnsi="楷体" w:eastAsia="楷体"/>
          <w:sz w:val="24"/>
          <w:szCs w:val="24"/>
        </w:rPr>
        <w:t>甲方承诺所提供的所有资料真实、完整、合法、有效，如有变更，甲方应及时到</w:t>
      </w:r>
      <w:r>
        <w:rPr>
          <w:rFonts w:hint="eastAsia" w:ascii="楷体" w:hAnsi="楷体" w:eastAsia="楷体"/>
          <w:sz w:val="24"/>
          <w:szCs w:val="24"/>
          <w:lang w:eastAsia="zh-Hans"/>
        </w:rPr>
        <w:t>乙方处</w:t>
      </w:r>
      <w:r>
        <w:rPr>
          <w:rFonts w:ascii="楷体" w:hAnsi="楷体" w:eastAsia="楷体"/>
          <w:sz w:val="24"/>
          <w:szCs w:val="24"/>
        </w:rPr>
        <w:t>办理变更手续。若甲方未及时办理相关变更手续，由此导致的一切后果由甲方自行承担，乙方对此不承担任何责任。</w:t>
      </w:r>
    </w:p>
    <w:p>
      <w:pPr>
        <w:numPr>
          <w:ilvl w:val="0"/>
          <w:numId w:val="8"/>
        </w:numPr>
        <w:ind w:firstLine="480" w:firstLineChars="200"/>
        <w:rPr>
          <w:rFonts w:hint="eastAsia" w:ascii="楷体" w:hAnsi="楷体" w:eastAsia="楷体"/>
          <w:sz w:val="24"/>
          <w:szCs w:val="24"/>
        </w:rPr>
      </w:pPr>
      <w:r>
        <w:rPr>
          <w:rFonts w:ascii="楷体" w:hAnsi="楷体" w:eastAsia="楷体"/>
          <w:sz w:val="24"/>
          <w:szCs w:val="24"/>
        </w:rPr>
        <w:t>甲方购买本理财产品并非存款，</w:t>
      </w:r>
      <w:r>
        <w:rPr>
          <w:rFonts w:hint="eastAsia" w:ascii="楷体" w:hAnsi="楷体" w:eastAsia="楷体"/>
          <w:sz w:val="24"/>
          <w:szCs w:val="24"/>
        </w:rPr>
        <w:t>理财资金</w:t>
      </w:r>
      <w:r>
        <w:rPr>
          <w:rFonts w:ascii="楷体" w:hAnsi="楷体" w:eastAsia="楷体"/>
          <w:sz w:val="24"/>
          <w:szCs w:val="24"/>
        </w:rPr>
        <w:t>在产品约定的投资期内不另计存款利息。</w:t>
      </w:r>
    </w:p>
    <w:p>
      <w:pPr>
        <w:numPr>
          <w:ilvl w:val="0"/>
          <w:numId w:val="8"/>
        </w:num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hint="eastAsia" w:ascii="楷体" w:hAnsi="楷体" w:eastAsia="楷体"/>
          <w:sz w:val="24"/>
          <w:szCs w:val="24"/>
        </w:rPr>
        <w:t>（个人投资者）</w:t>
      </w:r>
      <w:r>
        <w:rPr>
          <w:rFonts w:hint="eastAsia" w:ascii="楷体" w:hAnsi="楷体" w:eastAsia="楷体"/>
          <w:sz w:val="24"/>
          <w:szCs w:val="24"/>
          <w:lang w:eastAsia="zh-Hans"/>
        </w:rPr>
        <w:t>在购买理财产品前应当在乙方营业网点、网上银行、手机银行以及智能终端等渠道完成投资者风险能力评测，并对投资者风险能力评测结果签字认可。甲方承诺所购买理财产品对应的风险等级符合自身风险承受能力。如甲方超过一年未进行风险承受能力评估，或发生可能影响自身风险承受能力情况的，再次购买理财产品时，应当在乙方营业场所（含电子渠道）重新完成风险承受能力评估，并签字确认。</w:t>
      </w:r>
    </w:p>
    <w:p>
      <w:pPr>
        <w:numPr>
          <w:ilvl w:val="0"/>
          <w:numId w:val="8"/>
        </w:numPr>
        <w:ind w:firstLine="480" w:firstLineChars="200"/>
        <w:rPr>
          <w:rFonts w:hint="eastAsia" w:ascii="楷体" w:hAnsi="楷体" w:eastAsia="楷体"/>
          <w:sz w:val="24"/>
          <w:szCs w:val="24"/>
        </w:rPr>
      </w:pPr>
      <w:r>
        <w:rPr>
          <w:rFonts w:ascii="楷体" w:hAnsi="楷体" w:eastAsia="楷体"/>
          <w:sz w:val="24"/>
          <w:szCs w:val="24"/>
        </w:rPr>
        <w:t>在《理财产品说明书》</w:t>
      </w:r>
      <w:r>
        <w:rPr>
          <w:rFonts w:hint="eastAsia" w:ascii="楷体" w:hAnsi="楷体" w:eastAsia="楷体"/>
          <w:sz w:val="24"/>
          <w:szCs w:val="24"/>
        </w:rPr>
        <w:t>约定的划款时间</w:t>
      </w:r>
      <w:r>
        <w:rPr>
          <w:rFonts w:ascii="楷体" w:hAnsi="楷体" w:eastAsia="楷体"/>
          <w:sz w:val="24"/>
          <w:szCs w:val="24"/>
        </w:rPr>
        <w:t>内，如因甲方原因导致</w:t>
      </w:r>
      <w:r>
        <w:rPr>
          <w:rFonts w:hint="eastAsia" w:ascii="楷体" w:hAnsi="楷体" w:eastAsia="楷体"/>
          <w:sz w:val="24"/>
          <w:szCs w:val="24"/>
        </w:rPr>
        <w:t>认购/申购资金</w:t>
      </w:r>
      <w:r>
        <w:rPr>
          <w:rFonts w:ascii="楷体" w:hAnsi="楷体" w:eastAsia="楷体"/>
          <w:sz w:val="24"/>
          <w:szCs w:val="24"/>
        </w:rPr>
        <w:t>不能从其约定账户足额划转的，甲方对相关理财产品的购买不成功，该理财产品相关法律协议不生效，乙方不承担责任。</w:t>
      </w:r>
    </w:p>
    <w:p>
      <w:pPr>
        <w:numPr>
          <w:ilvl w:val="0"/>
          <w:numId w:val="8"/>
        </w:numPr>
        <w:ind w:firstLine="480" w:firstLineChars="200"/>
        <w:rPr>
          <w:rFonts w:hint="eastAsia" w:ascii="楷体" w:hAnsi="楷体" w:eastAsia="楷体"/>
          <w:sz w:val="24"/>
          <w:szCs w:val="24"/>
        </w:rPr>
      </w:pPr>
      <w:r>
        <w:rPr>
          <w:rFonts w:ascii="楷体" w:hAnsi="楷体" w:eastAsia="楷体"/>
          <w:sz w:val="24"/>
          <w:szCs w:val="24"/>
        </w:rPr>
        <w:t>甲方对本协议及其条款负有保密义务，未经乙方书面许可，甲方不得向任何组织、个人提供或泄露与乙方有关的业务资料及信息，法律、法规另有规定</w:t>
      </w:r>
      <w:r>
        <w:rPr>
          <w:rFonts w:hint="eastAsia" w:ascii="楷体" w:hAnsi="楷体" w:eastAsia="楷体"/>
          <w:sz w:val="24"/>
          <w:szCs w:val="24"/>
        </w:rPr>
        <w:t>的除</w:t>
      </w:r>
      <w:r>
        <w:rPr>
          <w:rFonts w:ascii="楷体" w:hAnsi="楷体" w:eastAsia="楷体"/>
          <w:sz w:val="24"/>
          <w:szCs w:val="24"/>
        </w:rPr>
        <w:t>外。</w:t>
      </w:r>
    </w:p>
    <w:p>
      <w:pPr>
        <w:numPr>
          <w:ilvl w:val="0"/>
          <w:numId w:val="8"/>
        </w:numPr>
        <w:ind w:firstLine="480" w:firstLineChars="200"/>
        <w:rPr>
          <w:rFonts w:hint="eastAsia" w:ascii="楷体" w:hAnsi="楷体" w:eastAsia="楷体"/>
          <w:sz w:val="24"/>
          <w:szCs w:val="24"/>
        </w:rPr>
      </w:pPr>
      <w:r>
        <w:rPr>
          <w:rFonts w:hint="eastAsia" w:ascii="楷体" w:hAnsi="楷体" w:eastAsia="楷体"/>
          <w:sz w:val="24"/>
          <w:szCs w:val="24"/>
        </w:rPr>
        <w:t>理财产品认购或申购采用冻结扣款方式的，</w:t>
      </w:r>
      <w:r>
        <w:rPr>
          <w:rFonts w:ascii="楷体" w:hAnsi="楷体" w:eastAsia="楷体"/>
          <w:sz w:val="24"/>
          <w:szCs w:val="24"/>
        </w:rPr>
        <w:t>甲方签署本协议即同意授权</w:t>
      </w:r>
      <w:r>
        <w:rPr>
          <w:rFonts w:hint="eastAsia" w:ascii="楷体" w:hAnsi="楷体" w:eastAsia="楷体"/>
          <w:sz w:val="24"/>
          <w:szCs w:val="24"/>
          <w:lang w:eastAsia="zh-Hans"/>
        </w:rPr>
        <w:t>乙方</w:t>
      </w:r>
      <w:r>
        <w:rPr>
          <w:rFonts w:ascii="楷体" w:hAnsi="楷体" w:eastAsia="楷体"/>
          <w:sz w:val="24"/>
          <w:szCs w:val="24"/>
        </w:rPr>
        <w:t>在约定期间自甲方约定账户冻结等额于甲方在本协议项下提交认购或申购的交易金额的资金（冻结期间乙方不向甲方计付利息），并于约定时间扣划至乙方指定账户，</w:t>
      </w:r>
      <w:r>
        <w:rPr>
          <w:rFonts w:hint="eastAsia" w:ascii="楷体" w:hAnsi="楷体" w:eastAsia="楷体"/>
          <w:sz w:val="24"/>
          <w:szCs w:val="24"/>
          <w:lang w:eastAsia="zh-Hans"/>
        </w:rPr>
        <w:t>乙方</w:t>
      </w:r>
      <w:r>
        <w:rPr>
          <w:rFonts w:ascii="楷体" w:hAnsi="楷体" w:eastAsia="楷体"/>
          <w:sz w:val="24"/>
          <w:szCs w:val="24"/>
        </w:rPr>
        <w:t>在划款时均无须再通知甲方。</w:t>
      </w:r>
    </w:p>
    <w:p>
      <w:pPr>
        <w:numPr>
          <w:ilvl w:val="0"/>
          <w:numId w:val="8"/>
        </w:numPr>
        <w:ind w:firstLine="480" w:firstLineChars="200"/>
        <w:rPr>
          <w:rFonts w:hint="eastAsia" w:ascii="楷体" w:hAnsi="楷体" w:eastAsia="楷体"/>
          <w:sz w:val="24"/>
          <w:szCs w:val="24"/>
        </w:rPr>
      </w:pPr>
      <w:r>
        <w:rPr>
          <w:rFonts w:ascii="楷体" w:hAnsi="楷体" w:eastAsia="楷体"/>
          <w:sz w:val="24"/>
          <w:szCs w:val="24"/>
        </w:rPr>
        <w:t>对于甲方通过</w:t>
      </w:r>
      <w:r>
        <w:rPr>
          <w:rFonts w:hint="eastAsia" w:ascii="楷体" w:hAnsi="楷体" w:eastAsia="楷体"/>
          <w:sz w:val="24"/>
          <w:szCs w:val="24"/>
          <w:lang w:eastAsia="zh-Hans"/>
        </w:rPr>
        <w:t>乙方</w:t>
      </w:r>
      <w:r>
        <w:rPr>
          <w:rFonts w:ascii="楷体" w:hAnsi="楷体" w:eastAsia="楷体"/>
          <w:sz w:val="24"/>
          <w:szCs w:val="24"/>
        </w:rPr>
        <w:t>的网上银行、手机银行、</w:t>
      </w:r>
      <w:r>
        <w:rPr>
          <w:rFonts w:hint="eastAsia" w:ascii="楷体" w:hAnsi="楷体" w:eastAsia="楷体"/>
          <w:sz w:val="24"/>
          <w:szCs w:val="24"/>
        </w:rPr>
        <w:t>直销银行</w:t>
      </w:r>
      <w:r>
        <w:rPr>
          <w:rFonts w:ascii="楷体" w:hAnsi="楷体" w:eastAsia="楷体"/>
          <w:sz w:val="24"/>
          <w:szCs w:val="24"/>
        </w:rPr>
        <w:t>等销售渠道购买的理财产品，甲方确认其在</w:t>
      </w:r>
      <w:r>
        <w:rPr>
          <w:rFonts w:hint="eastAsia" w:ascii="楷体" w:hAnsi="楷体" w:eastAsia="楷体"/>
          <w:sz w:val="24"/>
          <w:szCs w:val="24"/>
          <w:lang w:eastAsia="zh-Hans"/>
        </w:rPr>
        <w:t>乙方</w:t>
      </w:r>
      <w:r>
        <w:rPr>
          <w:rFonts w:ascii="楷体" w:hAnsi="楷体" w:eastAsia="楷体"/>
          <w:sz w:val="24"/>
          <w:szCs w:val="24"/>
        </w:rPr>
        <w:t>渠道系统点击确认的销售协议书的合法有效性，并</w:t>
      </w:r>
      <w:r>
        <w:rPr>
          <w:rFonts w:hint="eastAsia" w:ascii="楷体" w:hAnsi="楷体" w:eastAsia="楷体"/>
          <w:sz w:val="24"/>
          <w:szCs w:val="24"/>
          <w:lang w:eastAsia="zh-Hans"/>
        </w:rPr>
        <w:t>同意乙方将</w:t>
      </w:r>
      <w:r>
        <w:rPr>
          <w:rFonts w:hint="eastAsia" w:ascii="楷体" w:hAnsi="楷体" w:eastAsia="楷体"/>
          <w:sz w:val="24"/>
          <w:szCs w:val="24"/>
        </w:rPr>
        <w:t>采取有效措施和技术手段完整客观记录营销推介、产品风险和关键信息提示、投资者确认和反馈等重点销售环节</w:t>
      </w:r>
      <w:r>
        <w:rPr>
          <w:rFonts w:hint="eastAsia" w:ascii="楷体" w:hAnsi="楷体" w:eastAsia="楷体"/>
          <w:sz w:val="24"/>
          <w:szCs w:val="24"/>
          <w:lang w:eastAsia="zh-Hans"/>
        </w:rPr>
        <w:t>，确认乙方的</w:t>
      </w:r>
      <w:r>
        <w:rPr>
          <w:rFonts w:ascii="楷体" w:hAnsi="楷体" w:eastAsia="楷体"/>
          <w:sz w:val="24"/>
          <w:szCs w:val="24"/>
        </w:rPr>
        <w:t>记录以及录音、录像构成对甲方操作行为（包括但不限于购买、赎回、撤单等业务）的终局证据，并且在双方发生争议时可以作为合法有效的证据使用。</w:t>
      </w:r>
    </w:p>
    <w:p>
      <w:pPr>
        <w:numPr>
          <w:ilvl w:val="0"/>
          <w:numId w:val="8"/>
        </w:numPr>
        <w:ind w:firstLine="480" w:firstLineChars="200"/>
        <w:rPr>
          <w:rFonts w:ascii="楷体" w:hAnsi="楷体" w:eastAsia="楷体"/>
          <w:sz w:val="24"/>
          <w:szCs w:val="24"/>
        </w:rPr>
      </w:pPr>
      <w:r>
        <w:rPr>
          <w:rFonts w:ascii="楷体" w:hAnsi="楷体" w:eastAsia="楷体"/>
          <w:sz w:val="24"/>
          <w:szCs w:val="24"/>
        </w:rPr>
        <w:t>甲方在购买乙方</w:t>
      </w:r>
      <w:r>
        <w:rPr>
          <w:rFonts w:hint="eastAsia" w:ascii="楷体" w:hAnsi="楷体" w:eastAsia="楷体"/>
          <w:sz w:val="24"/>
          <w:szCs w:val="24"/>
          <w:lang w:eastAsia="zh-Hans"/>
        </w:rPr>
        <w:t>代理销售</w:t>
      </w:r>
      <w:r>
        <w:rPr>
          <w:rFonts w:ascii="楷体" w:hAnsi="楷体" w:eastAsia="楷体"/>
          <w:sz w:val="24"/>
          <w:szCs w:val="24"/>
        </w:rPr>
        <w:t>的私募理财产品后，可以享有24小时的投资冷静期，在冷静期内，如甲方改变投资决定，应立即在投资冷静期内向乙方提出解除相应理财产品销售文件申请，乙方应当遵从甲方意愿，解除已签订的销售文件，及时退还甲方的全部投资款项。</w:t>
      </w:r>
    </w:p>
    <w:p>
      <w:pPr>
        <w:numPr>
          <w:ilvl w:val="0"/>
          <w:numId w:val="8"/>
        </w:numPr>
        <w:ind w:firstLine="482" w:firstLineChars="200"/>
        <w:rPr>
          <w:rFonts w:hint="eastAsia" w:ascii="楷体" w:hAnsi="楷体" w:eastAsia="楷体"/>
          <w:b/>
          <w:bCs/>
          <w:sz w:val="24"/>
          <w:szCs w:val="24"/>
          <w:u w:val="single"/>
        </w:rPr>
      </w:pPr>
      <w:r>
        <w:rPr>
          <w:rFonts w:ascii="楷体" w:hAnsi="楷体" w:eastAsia="楷体"/>
          <w:b/>
          <w:bCs/>
          <w:sz w:val="24"/>
          <w:szCs w:val="24"/>
          <w:u w:val="single"/>
        </w:rPr>
        <w:t>如因甲方的原因，导致乙方对其他第三方承担赔偿责任，甲方承诺对乙方承担相应的赔偿责任。</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乙方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9"/>
        </w:numPr>
        <w:ind w:firstLine="480" w:firstLineChars="200"/>
        <w:rPr>
          <w:rFonts w:hint="eastAsia" w:ascii="楷体" w:hAnsi="楷体" w:eastAsia="楷体"/>
          <w:sz w:val="24"/>
          <w:szCs w:val="24"/>
        </w:rPr>
      </w:pPr>
      <w:r>
        <w:rPr>
          <w:rFonts w:hint="eastAsia" w:ascii="楷体" w:hAnsi="楷体" w:eastAsia="楷体"/>
          <w:sz w:val="24"/>
          <w:szCs w:val="24"/>
          <w:lang w:eastAsia="zh-Hans"/>
        </w:rPr>
        <w:t>在甲方购买理财产品前，乙方将在营业场所（含电子渠道）</w:t>
      </w:r>
      <w:r>
        <w:rPr>
          <w:rFonts w:hint="eastAsia" w:ascii="楷体" w:hAnsi="楷体" w:eastAsia="楷体"/>
          <w:sz w:val="24"/>
          <w:szCs w:val="24"/>
        </w:rPr>
        <w:t>对非机构投资者的风险承受能力进行评估，确定投资者风险承受能力等级。</w:t>
      </w:r>
    </w:p>
    <w:p>
      <w:pPr>
        <w:numPr>
          <w:ilvl w:val="0"/>
          <w:numId w:val="9"/>
        </w:numPr>
        <w:ind w:firstLine="480" w:firstLineChars="200"/>
        <w:rPr>
          <w:rFonts w:hint="eastAsia" w:ascii="楷体" w:hAnsi="楷体" w:eastAsia="楷体"/>
          <w:sz w:val="24"/>
          <w:szCs w:val="24"/>
        </w:rPr>
      </w:pPr>
      <w:r>
        <w:rPr>
          <w:rFonts w:hint="eastAsia" w:ascii="楷体" w:hAnsi="楷体" w:eastAsia="楷体"/>
          <w:sz w:val="24"/>
          <w:szCs w:val="24"/>
          <w:lang w:eastAsia="zh-Hans"/>
        </w:rPr>
        <w:t>乙方将通过网点、网站等渠道或在《理财产品说明书》指定的信息披露场所向甲方披露管理人发布的优惠措施及其生效和终止日期、与价格相关的例外条款和限制性条款、针对理财产品收费项目、条件、标准和方式的调整内容等信息。</w:t>
      </w:r>
      <w:r>
        <w:rPr>
          <w:rFonts w:hint="eastAsia" w:ascii="楷体" w:hAnsi="楷体" w:eastAsia="楷体"/>
          <w:sz w:val="24"/>
          <w:szCs w:val="24"/>
        </w:rPr>
        <w:t>乙方信息披露内容构成本协议不可分割的一部分，与本协议具有同等效力，甲方应在充分知晓、理解有关信息披露内容后签署本协议，并在签署本协议后持续关注。</w:t>
      </w:r>
    </w:p>
    <w:p>
      <w:pPr>
        <w:numPr>
          <w:ilvl w:val="0"/>
          <w:numId w:val="9"/>
        </w:numPr>
        <w:ind w:firstLine="480" w:firstLineChars="200"/>
        <w:rPr>
          <w:rFonts w:hint="eastAsia" w:ascii="楷体" w:hAnsi="楷体" w:eastAsia="楷体"/>
          <w:sz w:val="24"/>
          <w:szCs w:val="24"/>
        </w:rPr>
      </w:pPr>
      <w:r>
        <w:rPr>
          <w:rFonts w:hint="eastAsia" w:ascii="楷体" w:hAnsi="楷体" w:eastAsia="楷体"/>
          <w:sz w:val="24"/>
          <w:szCs w:val="24"/>
        </w:rPr>
        <w:t>乙方应当依据《理财产品说明书》的约定为甲方办理理财产品的认（申）购、赎回，除《理财产品说明书》中规定的情形外，不得擅自拒绝接受甲方的认（申）购、赎回申请。</w:t>
      </w:r>
    </w:p>
    <w:p>
      <w:pPr>
        <w:numPr>
          <w:ilvl w:val="0"/>
          <w:numId w:val="9"/>
        </w:numPr>
        <w:ind w:firstLine="480" w:firstLineChars="200"/>
        <w:rPr>
          <w:rFonts w:hint="eastAsia" w:ascii="楷体" w:hAnsi="楷体" w:eastAsia="楷体"/>
          <w:sz w:val="24"/>
          <w:szCs w:val="24"/>
        </w:rPr>
      </w:pPr>
      <w:r>
        <w:rPr>
          <w:rFonts w:hint="eastAsia" w:ascii="楷体" w:hAnsi="楷体" w:eastAsia="楷体"/>
          <w:sz w:val="24"/>
          <w:szCs w:val="24"/>
        </w:rPr>
        <w:t>因甲方</w:t>
      </w:r>
      <w:r>
        <w:rPr>
          <w:rFonts w:hint="eastAsia" w:ascii="楷体" w:hAnsi="楷体" w:eastAsia="楷体"/>
          <w:sz w:val="24"/>
          <w:szCs w:val="24"/>
          <w:lang w:eastAsia="zh-Hans"/>
        </w:rPr>
        <w:t>指定</w:t>
      </w:r>
      <w:r>
        <w:rPr>
          <w:rFonts w:hint="eastAsia" w:ascii="楷体" w:hAnsi="楷体" w:eastAsia="楷体"/>
          <w:sz w:val="24"/>
          <w:szCs w:val="24"/>
        </w:rPr>
        <w:t>账户冻结、挂失、换卡、销户、长期不动户等原因造成账户变更或异常，甲方应及时到</w:t>
      </w:r>
      <w:r>
        <w:rPr>
          <w:rFonts w:hint="eastAsia" w:ascii="楷体" w:hAnsi="楷体" w:eastAsia="楷体"/>
          <w:sz w:val="24"/>
          <w:szCs w:val="24"/>
          <w:lang w:eastAsia="zh-Hans"/>
        </w:rPr>
        <w:t>乙方处</w:t>
      </w:r>
      <w:r>
        <w:rPr>
          <w:rFonts w:hint="eastAsia" w:ascii="楷体" w:hAnsi="楷体" w:eastAsia="楷体"/>
          <w:sz w:val="24"/>
          <w:szCs w:val="24"/>
        </w:rPr>
        <w:t>办理变更手续。如因甲方未及时办理变更手续而造成乙方不能从其账户足额划转投资本金</w:t>
      </w:r>
      <w:r>
        <w:rPr>
          <w:rFonts w:hint="eastAsia" w:ascii="楷体" w:hAnsi="楷体" w:eastAsia="楷体"/>
          <w:sz w:val="24"/>
          <w:szCs w:val="24"/>
          <w:lang w:eastAsia="zh-Hans"/>
        </w:rPr>
        <w:t>，或划入本产品赎回、分红、购买不成功的相应款项的</w:t>
      </w:r>
      <w:r>
        <w:rPr>
          <w:rFonts w:hint="eastAsia" w:ascii="楷体" w:hAnsi="楷体" w:eastAsia="楷体"/>
          <w:sz w:val="24"/>
          <w:szCs w:val="24"/>
        </w:rPr>
        <w:t>，由此导致甲方损失的由甲方自行承担，乙方不承担责任。</w:t>
      </w:r>
    </w:p>
    <w:p>
      <w:pPr>
        <w:numPr>
          <w:ilvl w:val="0"/>
          <w:numId w:val="9"/>
        </w:numPr>
        <w:ind w:firstLine="480" w:firstLineChars="200"/>
        <w:rPr>
          <w:rFonts w:hint="eastAsia" w:ascii="楷体" w:hAnsi="楷体" w:eastAsia="楷体"/>
          <w:sz w:val="24"/>
          <w:szCs w:val="24"/>
        </w:rPr>
      </w:pPr>
      <w:r>
        <w:rPr>
          <w:rFonts w:hint="eastAsia" w:ascii="楷体" w:hAnsi="楷体" w:eastAsia="楷体"/>
          <w:sz w:val="24"/>
          <w:szCs w:val="24"/>
        </w:rPr>
        <w:t>如发现甲方存在下列情形时，乙方有权终止本协议，有权拒绝继续提供服务：</w:t>
      </w:r>
    </w:p>
    <w:p>
      <w:pPr>
        <w:numPr>
          <w:ilvl w:val="0"/>
          <w:numId w:val="10"/>
        </w:numPr>
        <w:tabs>
          <w:tab w:val="clear" w:pos="420"/>
        </w:tabs>
        <w:ind w:left="0" w:firstLine="480" w:firstLineChars="200"/>
        <w:rPr>
          <w:rFonts w:hint="eastAsia" w:ascii="楷体" w:hAnsi="楷体" w:eastAsia="楷体"/>
          <w:sz w:val="24"/>
          <w:szCs w:val="24"/>
        </w:rPr>
      </w:pPr>
      <w:r>
        <w:rPr>
          <w:rFonts w:hint="eastAsia" w:ascii="楷体" w:hAnsi="楷体" w:eastAsia="楷体"/>
          <w:sz w:val="24"/>
          <w:szCs w:val="24"/>
        </w:rPr>
        <w:t>被列入国际组织、当地监管或有关外国政府的制裁名单，且相关名单在乙方或当地监管禁止提供账户服务、禁止交易之列。</w:t>
      </w:r>
    </w:p>
    <w:p>
      <w:pPr>
        <w:numPr>
          <w:ilvl w:val="0"/>
          <w:numId w:val="10"/>
        </w:numPr>
        <w:tabs>
          <w:tab w:val="clear" w:pos="420"/>
        </w:tabs>
        <w:ind w:left="0" w:firstLine="480" w:firstLineChars="200"/>
        <w:rPr>
          <w:rFonts w:hint="eastAsia" w:ascii="楷体" w:hAnsi="楷体" w:eastAsia="楷体"/>
          <w:sz w:val="24"/>
          <w:szCs w:val="24"/>
        </w:rPr>
      </w:pPr>
      <w:r>
        <w:rPr>
          <w:rFonts w:hint="eastAsia" w:ascii="楷体" w:hAnsi="楷体" w:eastAsia="楷体"/>
          <w:sz w:val="24"/>
          <w:szCs w:val="24"/>
        </w:rPr>
        <w:t>从事洗钱、恐怖融资或其他违法犯罪行为被司法机关定罪量刑。</w:t>
      </w:r>
    </w:p>
    <w:p>
      <w:pPr>
        <w:numPr>
          <w:ilvl w:val="0"/>
          <w:numId w:val="10"/>
        </w:numPr>
        <w:tabs>
          <w:tab w:val="clear" w:pos="420"/>
        </w:tabs>
        <w:ind w:left="0" w:firstLine="480" w:firstLineChars="200"/>
        <w:rPr>
          <w:rFonts w:hint="eastAsia" w:ascii="楷体" w:hAnsi="楷体" w:eastAsia="楷体"/>
          <w:sz w:val="24"/>
          <w:szCs w:val="24"/>
        </w:rPr>
      </w:pPr>
      <w:r>
        <w:rPr>
          <w:rFonts w:hint="eastAsia" w:ascii="楷体" w:hAnsi="楷体" w:eastAsia="楷体"/>
          <w:sz w:val="24"/>
          <w:szCs w:val="24"/>
        </w:rPr>
        <w:t>涉嫌洗钱、恐怖融资或其他违法犯罪行为被刑事调查，或涉嫌从事大规模杀伤性武器扩散等违反制裁行为，并使乙方遭受或可能遭受重大声誉、财务等损失。</w:t>
      </w:r>
    </w:p>
    <w:p>
      <w:pPr>
        <w:numPr>
          <w:ilvl w:val="0"/>
          <w:numId w:val="10"/>
        </w:numPr>
        <w:tabs>
          <w:tab w:val="clear" w:pos="420"/>
        </w:tabs>
        <w:ind w:left="0" w:firstLine="480" w:firstLineChars="200"/>
        <w:rPr>
          <w:rFonts w:hint="eastAsia" w:ascii="楷体" w:hAnsi="楷体" w:eastAsia="楷体"/>
          <w:sz w:val="24"/>
          <w:szCs w:val="24"/>
        </w:rPr>
      </w:pPr>
      <w:r>
        <w:rPr>
          <w:rFonts w:hint="eastAsia" w:ascii="楷体" w:hAnsi="楷体" w:eastAsia="楷体"/>
          <w:sz w:val="24"/>
          <w:szCs w:val="24"/>
        </w:rPr>
        <w:t>有合理理由怀疑涉嫌洗钱、恐怖融资或其他违法犯罪行为，或涉嫌从事大规模杀伤性武器扩散等违反制裁行为，要求提供证明交易合法性、真实性等相关材料，甲方无合理理由拒绝配合。</w:t>
      </w:r>
    </w:p>
    <w:p>
      <w:pPr>
        <w:numPr>
          <w:ilvl w:val="0"/>
          <w:numId w:val="10"/>
        </w:numPr>
        <w:tabs>
          <w:tab w:val="clear" w:pos="420"/>
        </w:tabs>
        <w:ind w:left="0" w:firstLine="480" w:firstLineChars="200"/>
        <w:rPr>
          <w:rFonts w:hint="eastAsia" w:ascii="楷体" w:hAnsi="楷体" w:eastAsia="楷体"/>
          <w:sz w:val="24"/>
          <w:szCs w:val="24"/>
        </w:rPr>
      </w:pPr>
      <w:r>
        <w:rPr>
          <w:rFonts w:hint="eastAsia" w:ascii="楷体" w:hAnsi="楷体" w:eastAsia="楷体"/>
          <w:sz w:val="24"/>
          <w:szCs w:val="24"/>
        </w:rPr>
        <w:t>机构投资者董事、高级管理人员、代理人或有权签字人，列入国际组织、当地监管或有关外国政府的制裁名单。</w:t>
      </w:r>
    </w:p>
    <w:p>
      <w:pPr>
        <w:numPr>
          <w:ilvl w:val="0"/>
          <w:numId w:val="9"/>
        </w:numPr>
        <w:ind w:firstLine="480" w:firstLineChars="200"/>
        <w:rPr>
          <w:rFonts w:hint="eastAsia" w:ascii="楷体" w:hAnsi="楷体" w:eastAsia="楷体"/>
          <w:sz w:val="24"/>
          <w:szCs w:val="24"/>
        </w:rPr>
      </w:pPr>
      <w:r>
        <w:rPr>
          <w:rFonts w:hint="eastAsia" w:ascii="楷体" w:hAnsi="楷体" w:eastAsia="楷体"/>
          <w:sz w:val="24"/>
          <w:szCs w:val="24"/>
        </w:rPr>
        <w:t>乙方对本协议及其条款负有保密义务，未经甲方书面许可，乙方不得向任何组织、个人提供或泄露与甲方有关的业务资料及信息，但法律法规及金融监管机构另有规定、乙方委托的专业咨询机构或甲乙双方另有约定的其他情况除外。</w:t>
      </w:r>
    </w:p>
    <w:p>
      <w:pPr>
        <w:numPr>
          <w:ilvl w:val="0"/>
          <w:numId w:val="9"/>
        </w:numPr>
        <w:ind w:firstLine="480" w:firstLineChars="200"/>
        <w:rPr>
          <w:rFonts w:hint="eastAsia" w:ascii="楷体" w:hAnsi="楷体" w:eastAsia="楷体"/>
          <w:sz w:val="24"/>
          <w:szCs w:val="24"/>
        </w:rPr>
      </w:pPr>
      <w:r>
        <w:rPr>
          <w:rFonts w:hint="eastAsia" w:ascii="楷体" w:hAnsi="楷体" w:eastAsia="楷体"/>
          <w:sz w:val="24"/>
          <w:szCs w:val="24"/>
        </w:rPr>
        <w:t>甲方同意并授权乙方按照法律法规和监管要求，报送甲方身份信息及其持有理财产品信息。在乙方办理本协议项下相关事项所必需的情形下，甲方同意并授权乙方向监管机构及其他乙方认为必要的业务合作机构提供乙方获取的甲方信息，范围包括但不限于甲方的身份信息、账户信息等信息。上述第三方将为处理本协议项下事务之目的接触并按照乙方的业务需要以及“最少必须”原则适用甲方信息。乙方承诺将向有关第三方明确其保护甲方信息的职责并要求第三方承担相应的保密职责。</w:t>
      </w:r>
    </w:p>
    <w:p>
      <w:pPr>
        <w:numPr>
          <w:ilvl w:val="0"/>
          <w:numId w:val="9"/>
        </w:numPr>
        <w:ind w:firstLine="480" w:firstLineChars="200"/>
        <w:rPr>
          <w:rFonts w:hint="eastAsia" w:ascii="楷体" w:hAnsi="楷体" w:eastAsia="楷体"/>
          <w:sz w:val="24"/>
          <w:szCs w:val="24"/>
        </w:rPr>
      </w:pPr>
      <w:r>
        <w:rPr>
          <w:rFonts w:hint="eastAsia" w:ascii="楷体" w:hAnsi="楷体" w:eastAsia="楷体"/>
          <w:sz w:val="24"/>
          <w:szCs w:val="24"/>
        </w:rPr>
        <w:t>除按《理财产品说明书》及《理财产品投资协议书》约定乙方或甲方享有的提前终止权外，甲方有违约行为时，乙方有权提前终止本协议。</w:t>
      </w:r>
    </w:p>
    <w:p>
      <w:pPr>
        <w:numPr>
          <w:ilvl w:val="0"/>
          <w:numId w:val="9"/>
        </w:numPr>
        <w:ind w:firstLine="480" w:firstLineChars="200"/>
        <w:rPr>
          <w:rFonts w:hint="eastAsia" w:ascii="楷体" w:hAnsi="楷体" w:eastAsia="楷体"/>
          <w:sz w:val="24"/>
          <w:szCs w:val="24"/>
        </w:rPr>
      </w:pPr>
      <w:r>
        <w:rPr>
          <w:rFonts w:hint="eastAsia" w:ascii="楷体" w:hAnsi="楷体" w:eastAsia="楷体"/>
          <w:sz w:val="24"/>
          <w:szCs w:val="24"/>
        </w:rPr>
        <w:t>乙方发现或有合理理由怀疑甲方或其资金存在洗钱、恐怖融资、逃税等嫌疑，乙方有权提前终止本协议，造成甲方损失的，乙方不承担责任。</w:t>
      </w:r>
    </w:p>
    <w:p>
      <w:pPr>
        <w:numPr>
          <w:ilvl w:val="0"/>
          <w:numId w:val="9"/>
        </w:numPr>
        <w:ind w:firstLine="480" w:firstLineChars="200"/>
        <w:rPr>
          <w:rFonts w:hint="eastAsia" w:ascii="楷体" w:hAnsi="楷体" w:eastAsia="楷体"/>
          <w:sz w:val="24"/>
          <w:szCs w:val="24"/>
        </w:rPr>
      </w:pPr>
      <w:r>
        <w:rPr>
          <w:rFonts w:hint="eastAsia" w:ascii="楷体" w:hAnsi="楷体" w:eastAsia="楷体"/>
          <w:sz w:val="24"/>
          <w:szCs w:val="24"/>
        </w:rPr>
        <w:t>根据《理财产品说明书》、《理财产品投资协议书》的相关规定，乙方所应享有的其他权利和应履行的其他义务。</w:t>
      </w:r>
    </w:p>
    <w:p>
      <w:pPr>
        <w:numPr>
          <w:ilvl w:val="0"/>
          <w:numId w:val="6"/>
        </w:numPr>
        <w:ind w:firstLine="480" w:firstLineChars="200"/>
        <w:rPr>
          <w:rFonts w:hint="eastAsia" w:ascii="楷体" w:hAnsi="楷体" w:eastAsia="楷体"/>
          <w:sz w:val="24"/>
          <w:szCs w:val="24"/>
        </w:rPr>
      </w:pPr>
      <w:r>
        <w:rPr>
          <w:rFonts w:ascii="楷体" w:hAnsi="楷体" w:eastAsia="楷体"/>
          <w:sz w:val="24"/>
          <w:szCs w:val="24"/>
        </w:rPr>
        <w:t>免责条款</w:t>
      </w:r>
    </w:p>
    <w:p>
      <w:pPr>
        <w:numPr>
          <w:ilvl w:val="0"/>
          <w:numId w:val="11"/>
        </w:numPr>
        <w:ind w:firstLine="482" w:firstLineChars="200"/>
        <w:rPr>
          <w:rFonts w:hint="eastAsia" w:ascii="楷体" w:hAnsi="楷体" w:eastAsia="楷体"/>
          <w:b/>
          <w:sz w:val="24"/>
          <w:szCs w:val="24"/>
          <w:u w:val="single"/>
        </w:rPr>
      </w:pPr>
      <w:r>
        <w:rPr>
          <w:rFonts w:ascii="楷体" w:hAnsi="楷体" w:eastAsia="楷体"/>
          <w:b/>
          <w:sz w:val="24"/>
          <w:szCs w:val="24"/>
          <w:u w:val="single"/>
        </w:rPr>
        <w:t>由于国家有关法律、法规、规章、政策的改变、紧急措施的出台而导致甲方蒙受损失或协议终止的，乙方不承担责任。</w:t>
      </w:r>
    </w:p>
    <w:p>
      <w:pPr>
        <w:numPr>
          <w:ilvl w:val="0"/>
          <w:numId w:val="11"/>
        </w:numPr>
        <w:ind w:firstLine="482" w:firstLineChars="200"/>
        <w:rPr>
          <w:rFonts w:hint="eastAsia" w:ascii="楷体" w:hAnsi="楷体" w:eastAsia="楷体"/>
          <w:b/>
          <w:sz w:val="24"/>
          <w:szCs w:val="24"/>
          <w:u w:val="single"/>
        </w:rPr>
      </w:pPr>
      <w:r>
        <w:rPr>
          <w:rFonts w:ascii="楷体" w:hAnsi="楷体" w:eastAsia="楷体"/>
          <w:b/>
          <w:sz w:val="24"/>
          <w:szCs w:val="24"/>
          <w:u w:val="single"/>
        </w:rPr>
        <w:t>由于不可抗力或乙方无过错且无法防止的外因而导致的交易中断、延误等风险及损失，乙方不承担责任。</w:t>
      </w:r>
    </w:p>
    <w:p>
      <w:pPr>
        <w:numPr>
          <w:ilvl w:val="0"/>
          <w:numId w:val="11"/>
        </w:numPr>
        <w:ind w:firstLine="482" w:firstLineChars="200"/>
        <w:rPr>
          <w:rFonts w:hint="eastAsia" w:ascii="楷体" w:hAnsi="楷体" w:eastAsia="楷体"/>
          <w:b/>
          <w:sz w:val="24"/>
          <w:szCs w:val="24"/>
          <w:u w:val="single"/>
        </w:rPr>
      </w:pPr>
      <w:r>
        <w:rPr>
          <w:rFonts w:ascii="楷体" w:hAnsi="楷体" w:eastAsia="楷体"/>
          <w:b/>
          <w:sz w:val="24"/>
          <w:szCs w:val="24"/>
          <w:u w:val="single"/>
        </w:rPr>
        <w:t>非因乙方原因（包括但不限于甲方遗失本协议、甲方协议被盗用、本协议约定账户被司法机关等有权部门冻结、扣划等原因）造成的损失，乙方不承担责任。</w:t>
      </w:r>
    </w:p>
    <w:p>
      <w:pPr>
        <w:ind w:firstLine="482" w:firstLineChars="200"/>
        <w:rPr>
          <w:rFonts w:hint="eastAsia" w:ascii="楷体" w:hAnsi="楷体" w:eastAsia="楷体"/>
          <w:b/>
          <w:sz w:val="24"/>
          <w:szCs w:val="24"/>
          <w:u w:val="single"/>
        </w:rPr>
      </w:pPr>
      <w:r>
        <w:rPr>
          <w:rFonts w:ascii="楷体" w:hAnsi="楷体" w:eastAsia="楷体"/>
          <w:b/>
          <w:sz w:val="24"/>
          <w:szCs w:val="24"/>
          <w:u w:val="single"/>
        </w:rPr>
        <w:t>发生前述情形时，乙方将在条件允许的情况下采取必要合理的补救措施，尽力保护甲方利益，以减少甲方损失。</w:t>
      </w:r>
    </w:p>
    <w:p>
      <w:pPr>
        <w:numPr>
          <w:ilvl w:val="0"/>
          <w:numId w:val="6"/>
        </w:numPr>
        <w:ind w:firstLine="480" w:firstLineChars="200"/>
        <w:rPr>
          <w:rFonts w:hint="eastAsia" w:ascii="楷体" w:hAnsi="楷体" w:eastAsia="楷体"/>
          <w:sz w:val="24"/>
          <w:szCs w:val="24"/>
        </w:rPr>
      </w:pPr>
      <w:r>
        <w:rPr>
          <w:rFonts w:ascii="楷体" w:hAnsi="楷体" w:eastAsia="楷体"/>
          <w:sz w:val="24"/>
          <w:szCs w:val="24"/>
        </w:rPr>
        <w:t>法律适用及争议处理</w:t>
      </w:r>
    </w:p>
    <w:p>
      <w:pPr>
        <w:numPr>
          <w:ilvl w:val="0"/>
          <w:numId w:val="12"/>
        </w:numPr>
        <w:ind w:firstLine="480" w:firstLineChars="200"/>
        <w:rPr>
          <w:rFonts w:hint="eastAsia" w:ascii="楷体" w:hAnsi="楷体" w:eastAsia="楷体"/>
          <w:sz w:val="24"/>
          <w:szCs w:val="24"/>
        </w:rPr>
      </w:pPr>
      <w:r>
        <w:rPr>
          <w:rFonts w:ascii="楷体" w:hAnsi="楷体" w:eastAsia="楷体"/>
          <w:sz w:val="24"/>
          <w:szCs w:val="24"/>
        </w:rPr>
        <w:t>本协议适用中国法律并依据中国法律解释。为本协议之目的，中国法律指中华人民共和国大陆地区的法律，不包括香港特别行政区、澳门特别行政区和台湾地区的法律。</w:t>
      </w:r>
    </w:p>
    <w:p>
      <w:pPr>
        <w:numPr>
          <w:ilvl w:val="0"/>
          <w:numId w:val="12"/>
        </w:numPr>
        <w:ind w:firstLine="480" w:firstLineChars="200"/>
        <w:rPr>
          <w:rFonts w:hint="eastAsia" w:ascii="楷体" w:hAnsi="楷体" w:eastAsia="楷体"/>
          <w:sz w:val="24"/>
          <w:szCs w:val="24"/>
        </w:rPr>
      </w:pPr>
      <w:r>
        <w:rPr>
          <w:rFonts w:ascii="楷体" w:hAnsi="楷体" w:eastAsia="楷体"/>
          <w:sz w:val="24"/>
          <w:szCs w:val="24"/>
        </w:rPr>
        <w:t>由本协议引起的或与本协议有关的，包括本协议的效力、无效、违约或终止的任何争议、争论或主张，应由双方协商解决。协商不成的，任何一方应向乙方住所地有管辖权的法院提起诉讼。</w:t>
      </w:r>
    </w:p>
    <w:p>
      <w:pPr>
        <w:numPr>
          <w:ilvl w:val="0"/>
          <w:numId w:val="12"/>
        </w:numPr>
        <w:ind w:firstLine="480" w:firstLineChars="200"/>
        <w:rPr>
          <w:rFonts w:hint="eastAsia" w:ascii="楷体" w:hAnsi="楷体" w:eastAsia="楷体"/>
          <w:sz w:val="24"/>
          <w:szCs w:val="24"/>
        </w:rPr>
      </w:pPr>
      <w:r>
        <w:rPr>
          <w:rFonts w:ascii="楷体" w:hAnsi="楷体" w:eastAsia="楷体"/>
          <w:sz w:val="24"/>
          <w:szCs w:val="24"/>
        </w:rPr>
        <w:t>在协商或诉讼期间，对于本协议不涉及争议部分的条款，合同当事人仍须履行。</w:t>
      </w:r>
    </w:p>
    <w:p>
      <w:pPr>
        <w:numPr>
          <w:ilvl w:val="0"/>
          <w:numId w:val="6"/>
        </w:numPr>
        <w:ind w:firstLine="480" w:firstLineChars="200"/>
        <w:rPr>
          <w:rFonts w:hint="eastAsia" w:ascii="楷体" w:hAnsi="楷体" w:eastAsia="楷体"/>
          <w:sz w:val="24"/>
          <w:szCs w:val="24"/>
        </w:rPr>
      </w:pPr>
      <w:r>
        <w:rPr>
          <w:rFonts w:hint="eastAsia" w:ascii="楷体" w:hAnsi="楷体" w:eastAsia="楷体"/>
          <w:sz w:val="24"/>
          <w:szCs w:val="24"/>
        </w:rPr>
        <w:t>消费者权益保护投诉方式和程序</w:t>
      </w:r>
    </w:p>
    <w:p>
      <w:pPr>
        <w:ind w:firstLine="480" w:firstLineChars="200"/>
        <w:rPr>
          <w:rFonts w:hint="eastAsia" w:ascii="楷体" w:hAnsi="楷体" w:eastAsia="楷体"/>
          <w:sz w:val="24"/>
          <w:szCs w:val="24"/>
          <w:lang w:eastAsia="zh-Hans"/>
        </w:rPr>
      </w:pPr>
      <w:r>
        <w:rPr>
          <w:rFonts w:hint="eastAsia" w:ascii="楷体" w:hAnsi="楷体" w:eastAsia="楷体"/>
          <w:sz w:val="24"/>
          <w:szCs w:val="24"/>
          <w:lang w:eastAsia="zh-Hans"/>
        </w:rPr>
        <w:t>甲方如认为乙方推介、销售产品时有不实或未尽风险告知职责或其它疑义事项，或对乙方服务有任何意见、建议或投诉，可向销售理财产品的营业网点的工作人员进行反馈，也可拨打乙方客服电话或登录官方网站进行反馈。</w:t>
      </w:r>
    </w:p>
    <w:p>
      <w:pPr>
        <w:numPr>
          <w:ilvl w:val="0"/>
          <w:numId w:val="6"/>
        </w:numPr>
        <w:ind w:firstLine="480" w:firstLineChars="200"/>
        <w:rPr>
          <w:rFonts w:hint="eastAsia" w:ascii="楷体" w:hAnsi="楷体" w:eastAsia="楷体"/>
          <w:sz w:val="24"/>
          <w:szCs w:val="24"/>
        </w:rPr>
      </w:pPr>
      <w:r>
        <w:rPr>
          <w:rFonts w:ascii="楷体" w:hAnsi="楷体" w:eastAsia="楷体"/>
          <w:sz w:val="24"/>
          <w:szCs w:val="24"/>
        </w:rPr>
        <w:t>协议的生效和终止</w:t>
      </w:r>
    </w:p>
    <w:p>
      <w:pPr>
        <w:numPr>
          <w:ilvl w:val="0"/>
          <w:numId w:val="13"/>
        </w:numPr>
        <w:ind w:firstLine="480" w:firstLineChars="200"/>
        <w:rPr>
          <w:rFonts w:hint="eastAsia" w:ascii="楷体" w:hAnsi="楷体" w:eastAsia="楷体"/>
          <w:sz w:val="24"/>
          <w:szCs w:val="24"/>
        </w:rPr>
      </w:pPr>
      <w:r>
        <w:rPr>
          <w:rFonts w:ascii="楷体" w:hAnsi="楷体" w:eastAsia="楷体"/>
          <w:sz w:val="24"/>
          <w:szCs w:val="24"/>
        </w:rPr>
        <w:t>协议生效</w:t>
      </w:r>
    </w:p>
    <w:p>
      <w:pPr>
        <w:pStyle w:val="5"/>
        <w:rPr>
          <w:rFonts w:hint="eastAsia" w:ascii="楷体" w:hAnsi="楷体" w:eastAsia="楷体"/>
          <w:sz w:val="24"/>
          <w:szCs w:val="24"/>
        </w:rPr>
      </w:pPr>
      <w:r>
        <w:rPr>
          <w:rFonts w:hint="eastAsia" w:ascii="楷体" w:hAnsi="楷体" w:eastAsia="楷体"/>
          <w:sz w:val="24"/>
          <w:szCs w:val="24"/>
        </w:rPr>
        <w:t>甲方</w:t>
      </w:r>
      <w:r>
        <w:rPr>
          <w:rFonts w:ascii="楷体" w:hAnsi="楷体" w:eastAsia="楷体"/>
          <w:sz w:val="24"/>
          <w:szCs w:val="24"/>
        </w:rPr>
        <w:t>通过</w:t>
      </w:r>
      <w:r>
        <w:rPr>
          <w:rFonts w:hint="eastAsia" w:ascii="楷体" w:hAnsi="楷体" w:eastAsia="楷体"/>
          <w:sz w:val="24"/>
          <w:szCs w:val="24"/>
          <w:lang w:eastAsia="zh-Hans"/>
        </w:rPr>
        <w:t>乙方</w:t>
      </w:r>
      <w:r>
        <w:rPr>
          <w:rFonts w:ascii="楷体" w:hAnsi="楷体" w:eastAsia="楷体"/>
          <w:sz w:val="24"/>
          <w:szCs w:val="24"/>
        </w:rPr>
        <w:t>的网点柜面渠道购买本</w:t>
      </w:r>
      <w:r>
        <w:rPr>
          <w:rFonts w:hint="eastAsia" w:ascii="楷体" w:hAnsi="楷体" w:eastAsia="楷体"/>
          <w:sz w:val="24"/>
          <w:szCs w:val="24"/>
        </w:rPr>
        <w:t>理财</w:t>
      </w:r>
      <w:r>
        <w:rPr>
          <w:rFonts w:ascii="楷体" w:hAnsi="楷体" w:eastAsia="楷体"/>
          <w:sz w:val="24"/>
          <w:szCs w:val="24"/>
        </w:rPr>
        <w:t>产品，</w:t>
      </w:r>
      <w:r>
        <w:rPr>
          <w:rFonts w:hint="eastAsia" w:ascii="楷体" w:hAnsi="楷体" w:eastAsia="楷体"/>
          <w:sz w:val="24"/>
          <w:szCs w:val="24"/>
        </w:rPr>
        <w:t>自</w:t>
      </w:r>
      <w:r>
        <w:rPr>
          <w:rFonts w:hint="eastAsia" w:ascii="楷体" w:hAnsi="楷体" w:eastAsia="楷体"/>
          <w:sz w:val="24"/>
          <w:szCs w:val="24"/>
          <w:lang w:eastAsia="zh-Hans"/>
        </w:rPr>
        <w:t>甲方</w:t>
      </w:r>
      <w:r>
        <w:rPr>
          <w:rFonts w:hint="eastAsia" w:ascii="楷体" w:hAnsi="楷体" w:eastAsia="楷体"/>
          <w:sz w:val="24"/>
          <w:szCs w:val="24"/>
        </w:rPr>
        <w:t>签名（或盖章）以及乙方加盖业务专用章并经甲方确认且成功缴纳全额购买资金，以及经苏银理财系统确认购买份额后本协议成立并生效。</w:t>
      </w:r>
    </w:p>
    <w:p>
      <w:pPr>
        <w:ind w:firstLine="566" w:firstLineChars="236"/>
        <w:rPr>
          <w:rFonts w:hint="eastAsia" w:ascii="楷体" w:hAnsi="楷体" w:eastAsia="楷体"/>
          <w:b/>
          <w:sz w:val="24"/>
          <w:szCs w:val="24"/>
          <w:u w:val="single"/>
        </w:rPr>
      </w:pPr>
      <w:r>
        <w:rPr>
          <w:rFonts w:ascii="楷体" w:hAnsi="楷体" w:eastAsia="楷体"/>
          <w:sz w:val="24"/>
          <w:szCs w:val="24"/>
        </w:rPr>
        <w:t>甲方通过</w:t>
      </w:r>
      <w:r>
        <w:rPr>
          <w:rFonts w:hint="eastAsia" w:ascii="楷体" w:hAnsi="楷体" w:eastAsia="楷体"/>
          <w:sz w:val="24"/>
          <w:szCs w:val="24"/>
          <w:lang w:eastAsia="zh-Hans"/>
        </w:rPr>
        <w:t>乙方</w:t>
      </w:r>
      <w:r>
        <w:rPr>
          <w:rFonts w:ascii="楷体" w:hAnsi="楷体" w:eastAsia="楷体"/>
          <w:sz w:val="24"/>
          <w:szCs w:val="24"/>
        </w:rPr>
        <w:t>的网上银行、手机银行、</w:t>
      </w:r>
      <w:r>
        <w:rPr>
          <w:rFonts w:hint="eastAsia" w:ascii="楷体" w:hAnsi="楷体" w:eastAsia="楷体"/>
          <w:sz w:val="24"/>
          <w:szCs w:val="24"/>
        </w:rPr>
        <w:t>直销银行</w:t>
      </w:r>
      <w:r>
        <w:rPr>
          <w:rFonts w:ascii="楷体" w:hAnsi="楷体" w:eastAsia="楷体"/>
          <w:sz w:val="24"/>
          <w:szCs w:val="24"/>
        </w:rPr>
        <w:t>等渠道方式购买</w:t>
      </w:r>
      <w:r>
        <w:rPr>
          <w:rFonts w:hint="eastAsia" w:ascii="楷体" w:hAnsi="楷体" w:eastAsia="楷体"/>
          <w:sz w:val="24"/>
          <w:szCs w:val="24"/>
        </w:rPr>
        <w:t>本</w:t>
      </w:r>
      <w:r>
        <w:rPr>
          <w:rFonts w:ascii="楷体" w:hAnsi="楷体" w:eastAsia="楷体"/>
          <w:sz w:val="24"/>
          <w:szCs w:val="24"/>
        </w:rPr>
        <w:t>理财产品，</w:t>
      </w:r>
      <w:r>
        <w:rPr>
          <w:rFonts w:hint="eastAsia" w:ascii="楷体" w:hAnsi="楷体" w:eastAsia="楷体"/>
          <w:b/>
          <w:sz w:val="24"/>
          <w:szCs w:val="24"/>
          <w:u w:val="single"/>
        </w:rPr>
        <w:t>甲方在相应电子页面点击“确定”或“接受”或“同意”或“已阅读并同意”或“提交”或其他同等含义词语，即视为其已签署，表示其同意接受本协议、对应《理财产品说明书》、《理财产品投资协议书》、《风险揭示书》和《客户权益须知》等相关销售文件的全部约定内容，认可其法律效力。协议各方当事人认可电子渠道所产生电子数据的有效性。</w:t>
      </w:r>
      <w:r>
        <w:rPr>
          <w:rFonts w:hint="eastAsia" w:ascii="楷体" w:hAnsi="楷体" w:eastAsia="楷体"/>
          <w:sz w:val="24"/>
          <w:szCs w:val="24"/>
        </w:rPr>
        <w:t>自</w:t>
      </w:r>
      <w:r>
        <w:rPr>
          <w:rFonts w:hint="eastAsia" w:ascii="楷体" w:hAnsi="楷体" w:eastAsia="楷体"/>
          <w:sz w:val="24"/>
          <w:szCs w:val="24"/>
          <w:lang w:eastAsia="zh-Hans"/>
        </w:rPr>
        <w:t>甲方</w:t>
      </w:r>
      <w:r>
        <w:rPr>
          <w:rFonts w:hint="eastAsia" w:ascii="楷体" w:hAnsi="楷体" w:eastAsia="楷体"/>
          <w:sz w:val="24"/>
          <w:szCs w:val="24"/>
        </w:rPr>
        <w:t>点击电子页面并成功缴纳全额购买资金，以及经苏银理财系统确认购买份额后本协议成立并生效。</w:t>
      </w:r>
    </w:p>
    <w:p>
      <w:p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hint="eastAsia" w:ascii="楷体" w:hAnsi="楷体" w:eastAsia="楷体"/>
          <w:sz w:val="24"/>
          <w:szCs w:val="24"/>
        </w:rPr>
        <w:t>在办理理财产品的购买、赎回等交易后，需通过</w:t>
      </w:r>
      <w:r>
        <w:rPr>
          <w:rFonts w:hint="eastAsia" w:ascii="楷体" w:hAnsi="楷体" w:eastAsia="楷体"/>
          <w:sz w:val="24"/>
          <w:szCs w:val="24"/>
          <w:lang w:eastAsia="zh-Hans"/>
        </w:rPr>
        <w:t>乙方</w:t>
      </w:r>
      <w:r>
        <w:rPr>
          <w:rFonts w:hint="eastAsia" w:ascii="楷体" w:hAnsi="楷体" w:eastAsia="楷体"/>
          <w:sz w:val="24"/>
          <w:szCs w:val="24"/>
        </w:rPr>
        <w:t>网点或</w:t>
      </w:r>
      <w:r>
        <w:rPr>
          <w:rFonts w:ascii="楷体" w:hAnsi="楷体" w:eastAsia="楷体"/>
          <w:sz w:val="24"/>
          <w:szCs w:val="24"/>
        </w:rPr>
        <w:t>网上银行、手机银行、</w:t>
      </w:r>
      <w:r>
        <w:rPr>
          <w:rFonts w:hint="eastAsia" w:ascii="楷体" w:hAnsi="楷体" w:eastAsia="楷体"/>
          <w:sz w:val="24"/>
          <w:szCs w:val="24"/>
        </w:rPr>
        <w:t>直销银行</w:t>
      </w:r>
      <w:r>
        <w:rPr>
          <w:rFonts w:ascii="楷体" w:hAnsi="楷体" w:eastAsia="楷体"/>
          <w:sz w:val="24"/>
          <w:szCs w:val="24"/>
        </w:rPr>
        <w:t>等渠道</w:t>
      </w:r>
      <w:r>
        <w:rPr>
          <w:rFonts w:hint="eastAsia" w:ascii="楷体" w:hAnsi="楷体" w:eastAsia="楷体"/>
          <w:sz w:val="24"/>
          <w:szCs w:val="24"/>
        </w:rPr>
        <w:t>查询相关交易的确认情况，最终以苏银理财确认的产品购买金额或赎回份额作为理财产品合同的生效或终止依据。</w:t>
      </w:r>
    </w:p>
    <w:p>
      <w:pPr>
        <w:ind w:firstLine="480" w:firstLineChars="200"/>
        <w:rPr>
          <w:rFonts w:ascii="楷体" w:hAnsi="楷体" w:eastAsia="楷体"/>
          <w:sz w:val="24"/>
          <w:szCs w:val="24"/>
        </w:rPr>
      </w:pPr>
      <w:r>
        <w:rPr>
          <w:rFonts w:hint="eastAsia" w:ascii="楷体" w:hAnsi="楷体" w:eastAsia="楷体"/>
          <w:sz w:val="24"/>
          <w:szCs w:val="24"/>
        </w:rPr>
        <w:t>如</w:t>
      </w:r>
      <w:r>
        <w:rPr>
          <w:rFonts w:hint="eastAsia" w:ascii="楷体" w:hAnsi="楷体" w:eastAsia="楷体"/>
          <w:sz w:val="24"/>
          <w:szCs w:val="24"/>
          <w:lang w:eastAsia="zh-Hans"/>
        </w:rPr>
        <w:t>甲方</w:t>
      </w:r>
      <w:r>
        <w:rPr>
          <w:rFonts w:hint="eastAsia" w:ascii="楷体" w:hAnsi="楷体" w:eastAsia="楷体"/>
          <w:sz w:val="24"/>
          <w:szCs w:val="24"/>
        </w:rPr>
        <w:t>购买理财产品后，又变更该笔理财协议的具体内容（包括但不限于交易变更、金额变更、资金账户变更、投资者信息变更等），则以双方最近一次交易达成的交易内容为准。</w:t>
      </w:r>
    </w:p>
    <w:p>
      <w:pPr>
        <w:numPr>
          <w:ilvl w:val="0"/>
          <w:numId w:val="13"/>
        </w:numPr>
        <w:ind w:firstLine="480" w:firstLineChars="200"/>
        <w:rPr>
          <w:rFonts w:hint="eastAsia" w:ascii="楷体" w:hAnsi="楷体" w:eastAsia="楷体"/>
          <w:sz w:val="24"/>
          <w:szCs w:val="24"/>
        </w:rPr>
      </w:pPr>
      <w:r>
        <w:rPr>
          <w:rFonts w:ascii="楷体" w:hAnsi="楷体" w:eastAsia="楷体"/>
          <w:sz w:val="24"/>
          <w:szCs w:val="24"/>
        </w:rPr>
        <w:t>协议终止</w:t>
      </w:r>
    </w:p>
    <w:p>
      <w:pPr>
        <w:numPr>
          <w:ilvl w:val="0"/>
          <w:numId w:val="14"/>
        </w:numPr>
        <w:ind w:firstLine="480" w:firstLineChars="200"/>
        <w:rPr>
          <w:rFonts w:hint="eastAsia" w:ascii="楷体" w:hAnsi="楷体" w:eastAsia="楷体"/>
          <w:sz w:val="24"/>
          <w:szCs w:val="24"/>
        </w:rPr>
      </w:pPr>
      <w:r>
        <w:rPr>
          <w:rFonts w:ascii="楷体" w:hAnsi="楷体" w:eastAsia="楷体"/>
          <w:sz w:val="24"/>
          <w:szCs w:val="24"/>
        </w:rPr>
        <w:t>除按</w:t>
      </w:r>
      <w:r>
        <w:rPr>
          <w:rFonts w:hint="eastAsia" w:ascii="楷体" w:hAnsi="楷体" w:eastAsia="楷体"/>
          <w:sz w:val="24"/>
          <w:szCs w:val="24"/>
          <w:lang w:eastAsia="zh-Hans"/>
        </w:rPr>
        <w:t>本协议</w:t>
      </w:r>
      <w:r>
        <w:rPr>
          <w:rFonts w:ascii="楷体" w:hAnsi="楷体" w:eastAsia="楷体"/>
          <w:sz w:val="24"/>
          <w:szCs w:val="24"/>
        </w:rPr>
        <w:t>约定甲方或乙方享有的提前终止权外，甲方有违约行为或交易资金被国家有权机关采取保全措施时，乙方有权提前终止本协议。</w:t>
      </w:r>
    </w:p>
    <w:p>
      <w:pPr>
        <w:numPr>
          <w:ilvl w:val="0"/>
          <w:numId w:val="14"/>
        </w:num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ascii="楷体" w:hAnsi="楷体" w:eastAsia="楷体"/>
          <w:sz w:val="24"/>
          <w:szCs w:val="24"/>
        </w:rPr>
        <w:t>认购理财产品失败、</w:t>
      </w:r>
      <w:r>
        <w:rPr>
          <w:rFonts w:hint="eastAsia" w:ascii="楷体" w:hAnsi="楷体" w:eastAsia="楷体"/>
          <w:sz w:val="24"/>
          <w:szCs w:val="24"/>
          <w:lang w:eastAsia="zh-Hans"/>
        </w:rPr>
        <w:t>乙方</w:t>
      </w:r>
      <w:r>
        <w:rPr>
          <w:rFonts w:ascii="楷体" w:hAnsi="楷体" w:eastAsia="楷体"/>
          <w:sz w:val="24"/>
          <w:szCs w:val="24"/>
        </w:rPr>
        <w:t>或</w:t>
      </w:r>
      <w:r>
        <w:rPr>
          <w:rFonts w:hint="eastAsia" w:ascii="楷体" w:hAnsi="楷体" w:eastAsia="楷体"/>
          <w:sz w:val="24"/>
          <w:szCs w:val="24"/>
          <w:lang w:eastAsia="zh-Hans"/>
        </w:rPr>
        <w:t>甲方</w:t>
      </w:r>
      <w:r>
        <w:rPr>
          <w:rFonts w:ascii="楷体" w:hAnsi="楷体" w:eastAsia="楷体"/>
          <w:sz w:val="24"/>
          <w:szCs w:val="24"/>
        </w:rPr>
        <w:t>提前终止以及理财产品到期并完成清算分配后，本协议自动终止。</w:t>
      </w:r>
    </w:p>
    <w:p>
      <w:pPr>
        <w:numPr>
          <w:ilvl w:val="0"/>
          <w:numId w:val="14"/>
        </w:numPr>
        <w:ind w:firstLine="480" w:firstLineChars="200"/>
        <w:rPr>
          <w:rFonts w:hint="eastAsia" w:ascii="楷体" w:hAnsi="楷体" w:eastAsia="楷体"/>
          <w:sz w:val="24"/>
          <w:szCs w:val="24"/>
        </w:rPr>
      </w:pPr>
      <w:r>
        <w:rPr>
          <w:rFonts w:ascii="楷体" w:hAnsi="楷体" w:eastAsia="楷体"/>
          <w:sz w:val="24"/>
          <w:szCs w:val="24"/>
        </w:rPr>
        <w:t>本协议及《理财产品说明书》</w:t>
      </w:r>
      <w:r>
        <w:rPr>
          <w:rFonts w:hint="eastAsia" w:ascii="楷体" w:hAnsi="楷体" w:eastAsia="楷体"/>
          <w:sz w:val="24"/>
          <w:szCs w:val="24"/>
        </w:rPr>
        <w:t>、《理财产品投资协议书》</w:t>
      </w:r>
      <w:r>
        <w:rPr>
          <w:rFonts w:ascii="楷体" w:hAnsi="楷体" w:eastAsia="楷体"/>
          <w:sz w:val="24"/>
          <w:szCs w:val="24"/>
        </w:rPr>
        <w:t>项下各方权利义务履行完毕之日，本协议自动终止。</w:t>
      </w:r>
    </w:p>
    <w:p>
      <w:pPr>
        <w:rPr>
          <w:rFonts w:ascii="楷体" w:hAnsi="楷体" w:eastAsia="楷体"/>
          <w:sz w:val="24"/>
          <w:szCs w:val="24"/>
        </w:rPr>
      </w:pPr>
    </w:p>
    <w:p>
      <w:pPr>
        <w:rPr>
          <w:rFonts w:ascii="楷体" w:hAnsi="楷体" w:eastAsia="楷体"/>
          <w:sz w:val="24"/>
          <w:szCs w:val="24"/>
        </w:rPr>
      </w:pPr>
    </w:p>
    <w:p>
      <w:pPr>
        <w:rPr>
          <w:rFonts w:ascii="楷体" w:hAnsi="楷体" w:eastAsia="楷体"/>
          <w:sz w:val="24"/>
          <w:szCs w:val="24"/>
        </w:rPr>
      </w:pPr>
    </w:p>
    <w:p>
      <w:pPr>
        <w:rPr>
          <w:rFonts w:hint="eastAsia" w:ascii="楷体" w:hAnsi="楷体" w:eastAsia="楷体"/>
          <w:sz w:val="24"/>
          <w:szCs w:val="24"/>
        </w:rPr>
      </w:pPr>
      <w:r>
        <w:rPr>
          <w:rFonts w:ascii="楷体" w:hAnsi="楷体" w:eastAsia="楷体"/>
          <w:sz w:val="24"/>
          <w:szCs w:val="24"/>
        </w:rPr>
        <w:br w:type="page"/>
      </w:r>
    </w:p>
    <w:p>
      <w:pPr>
        <w:rPr>
          <w:rFonts w:hint="eastAsia" w:ascii="楷体" w:hAnsi="楷体" w:eastAsia="楷体"/>
          <w:sz w:val="24"/>
          <w:szCs w:val="24"/>
        </w:rPr>
      </w:pPr>
    </w:p>
    <w:p>
      <w:pPr>
        <w:rPr>
          <w:rFonts w:hint="eastAsia" w:ascii="楷体" w:hAnsi="楷体" w:eastAsia="楷体"/>
          <w:sz w:val="24"/>
          <w:szCs w:val="24"/>
        </w:rPr>
      </w:pPr>
      <w:r>
        <w:rPr>
          <w:rFonts w:ascii="楷体" w:hAnsi="楷体" w:eastAsia="楷体"/>
          <w:sz w:val="24"/>
          <w:szCs w:val="24"/>
        </w:rPr>
        <w:t>甲方</w:t>
      </w:r>
      <w:r>
        <w:rPr>
          <w:rFonts w:hint="eastAsia" w:ascii="楷体" w:hAnsi="楷体" w:eastAsia="楷体"/>
          <w:sz w:val="24"/>
          <w:szCs w:val="24"/>
        </w:rPr>
        <w:t>（个人客户签名）：</w:t>
      </w:r>
      <w:r>
        <w:rPr>
          <w:rFonts w:ascii="楷体" w:hAnsi="楷体" w:eastAsia="楷体"/>
          <w:sz w:val="24"/>
          <w:szCs w:val="24"/>
        </w:rPr>
        <w:t xml:space="preserve">        甲方</w:t>
      </w:r>
      <w:r>
        <w:rPr>
          <w:rFonts w:hint="eastAsia" w:ascii="楷体" w:hAnsi="楷体" w:eastAsia="楷体"/>
          <w:sz w:val="24"/>
          <w:szCs w:val="24"/>
        </w:rPr>
        <w:t>（机构客户盖章）：</w:t>
      </w: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p>
    <w:p>
      <w:pPr>
        <w:ind w:firstLine="3480" w:firstLineChars="1450"/>
        <w:rPr>
          <w:rFonts w:hint="eastAsia" w:ascii="楷体" w:hAnsi="楷体" w:eastAsia="楷体"/>
          <w:sz w:val="24"/>
          <w:szCs w:val="24"/>
        </w:rPr>
      </w:pPr>
      <w:r>
        <w:rPr>
          <w:rFonts w:hint="eastAsia" w:ascii="楷体" w:hAnsi="楷体" w:eastAsia="楷体"/>
          <w:sz w:val="24"/>
          <w:szCs w:val="24"/>
        </w:rPr>
        <w:t>机构客户法定代表人或授权代表（签名或盖章）</w:t>
      </w: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rPr>
      </w:pPr>
    </w:p>
    <w:p>
      <w:pPr>
        <w:rPr>
          <w:rFonts w:hint="eastAsia" w:ascii="楷体" w:hAnsi="楷体" w:eastAsia="楷体"/>
          <w:sz w:val="24"/>
          <w:szCs w:val="24"/>
        </w:rPr>
      </w:pPr>
      <w:r>
        <w:rPr>
          <w:rFonts w:ascii="楷体" w:hAnsi="楷体" w:eastAsia="楷体"/>
          <w:sz w:val="24"/>
          <w:szCs w:val="24"/>
        </w:rPr>
        <w:t>乙方</w:t>
      </w:r>
      <w:r>
        <w:rPr>
          <w:rFonts w:hint="eastAsia" w:ascii="楷体" w:hAnsi="楷体" w:eastAsia="楷体"/>
          <w:sz w:val="24"/>
          <w:szCs w:val="24"/>
        </w:rPr>
        <w:t>（代理销售</w:t>
      </w:r>
      <w:r>
        <w:rPr>
          <w:rFonts w:ascii="楷体" w:hAnsi="楷体" w:eastAsia="楷体"/>
          <w:sz w:val="24"/>
          <w:szCs w:val="24"/>
        </w:rPr>
        <w:t>机构</w:t>
      </w:r>
      <w:r>
        <w:rPr>
          <w:rFonts w:hint="eastAsia" w:ascii="楷体" w:hAnsi="楷体" w:eastAsia="楷体"/>
          <w:sz w:val="24"/>
          <w:szCs w:val="24"/>
        </w:rPr>
        <w:t>盖章）：</w:t>
      </w:r>
    </w:p>
    <w:p>
      <w:pPr>
        <w:rPr>
          <w:rFonts w:hint="eastAsia" w:ascii="楷体" w:hAnsi="楷体" w:eastAsia="楷体"/>
          <w:sz w:val="24"/>
          <w:szCs w:val="24"/>
        </w:rPr>
      </w:pPr>
    </w:p>
    <w:p>
      <w:pPr>
        <w:rPr>
          <w:rFonts w:hint="eastAsia" w:ascii="楷体" w:hAnsi="楷体" w:eastAsia="楷体"/>
        </w:rPr>
      </w:pP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r>
        <w:rPr>
          <w:rFonts w:ascii="楷体" w:hAnsi="楷体" w:eastAsia="楷体"/>
          <w:sz w:val="24"/>
          <w:szCs w:val="24"/>
        </w:rPr>
        <w:t>签署日期：</w:t>
      </w:r>
      <w:r>
        <w:rPr>
          <w:rFonts w:hint="eastAsia" w:ascii="楷体" w:hAnsi="楷体" w:eastAsia="楷体"/>
          <w:sz w:val="24"/>
          <w:szCs w:val="24"/>
        </w:rPr>
        <w:t xml:space="preserve">    </w:t>
      </w:r>
      <w:r>
        <w:rPr>
          <w:rFonts w:ascii="楷体" w:hAnsi="楷体" w:eastAsia="楷体"/>
          <w:sz w:val="24"/>
          <w:szCs w:val="24"/>
        </w:rPr>
        <w:t>年</w:t>
      </w:r>
      <w:r>
        <w:rPr>
          <w:rFonts w:hint="eastAsia" w:ascii="楷体" w:hAnsi="楷体" w:eastAsia="楷体"/>
          <w:sz w:val="24"/>
          <w:szCs w:val="24"/>
        </w:rPr>
        <w:t xml:space="preserve">  </w:t>
      </w:r>
      <w:r>
        <w:rPr>
          <w:rFonts w:ascii="楷体" w:hAnsi="楷体" w:eastAsia="楷体"/>
          <w:sz w:val="24"/>
          <w:szCs w:val="24"/>
        </w:rPr>
        <w:t>月</w:t>
      </w:r>
      <w:r>
        <w:rPr>
          <w:rFonts w:hint="eastAsia" w:ascii="楷体" w:hAnsi="楷体" w:eastAsia="楷体"/>
          <w:sz w:val="24"/>
          <w:szCs w:val="24"/>
        </w:rPr>
        <w:t xml:space="preserve">  日</w:t>
      </w:r>
    </w:p>
    <w:p>
      <w:pPr>
        <w:autoSpaceDE w:val="0"/>
        <w:autoSpaceDN w:val="0"/>
        <w:adjustRightInd w:val="0"/>
        <w:rPr>
          <w:rFonts w:hint="eastAsia" w:ascii="楷体" w:hAnsi="楷体" w:eastAsia="楷体"/>
          <w:sz w:val="24"/>
          <w:szCs w:val="24"/>
        </w:rPr>
      </w:pPr>
    </w:p>
    <w:p/>
    <w:p>
      <w:pPr>
        <w:pStyle w:val="12"/>
        <w:spacing w:before="0" w:beforeAutospacing="0" w:after="0" w:afterAutospacing="0"/>
        <w:jc w:val="center"/>
        <w:rPr>
          <w:rFonts w:ascii="楷体" w:hAnsi="楷体" w:eastAsia="楷体"/>
          <w:b/>
          <w:sz w:val="28"/>
          <w:szCs w:val="28"/>
        </w:rPr>
      </w:pPr>
      <w:bookmarkStart w:id="0" w:name="_GoBack"/>
      <w:bookmarkEnd w:id="0"/>
    </w:p>
    <w:p>
      <w:pPr>
        <w:autoSpaceDE w:val="0"/>
        <w:autoSpaceDN w:val="0"/>
        <w:adjustRightInd w:val="0"/>
        <w:rPr>
          <w:rFonts w:ascii="楷体" w:hAnsi="楷体" w:eastAsia="楷体"/>
          <w:sz w:val="24"/>
          <w:szCs w:val="24"/>
        </w:rPr>
      </w:pPr>
    </w:p>
    <w:sectPr>
      <w:headerReference r:id="rId5" w:type="first"/>
      <w:headerReference r:id="rId3" w:type="default"/>
      <w:footerReference r:id="rId6" w:type="default"/>
      <w:headerReference r:id="rId4"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41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41</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insoku w:val="0"/>
      <w:overflowPunct w:val="0"/>
      <w:spacing w:before="0" w:line="320" w:lineRule="exact"/>
      <w:ind w:left="20"/>
      <w:jc w:val="both"/>
      <w:rPr>
        <w:rFonts w:ascii="楷体" w:hAnsi="楷体" w:eastAsia="楷体" w:cs="黑体"/>
        <w:b/>
        <w:spacing w:val="-2"/>
        <w:sz w:val="24"/>
        <w:szCs w:val="24"/>
      </w:rPr>
    </w:pPr>
    <w:r>
      <w:rPr>
        <w:rFonts w:ascii="楷体" w:hAnsi="楷体" w:eastAsia="楷体"/>
        <w:b/>
      </w:rPr>
      <w:pict>
        <v:shape id="WordPictureWatermark367128483" o:spid="_x0000_s4098" o:spt="75" type="#_x0000_t75" style="position:absolute;left:0pt;margin-left:-361pt;margin-top:-83.1pt;height:862.85pt;width:1137.35pt;mso-position-horizontal-relative:margin;mso-position-vertical-relative:margin;z-index:-251655168;mso-width-relative:page;mso-height-relative:page;" filled="f" o:preferrelative="t" stroked="f" coordsize="21600,21600" o:allowincell="f">
          <v:path/>
          <v:fill on="f" focussize="0,0"/>
          <v:stroke on="f" joinstyle="miter"/>
          <v:imagedata r:id="rId1" gain="19661f" blacklevel="22938f" o:title="苏银理财"/>
          <o:lock v:ext="edit" aspectratio="t"/>
        </v:shape>
      </w:pict>
    </w:r>
    <w:r>
      <w:drawing>
        <wp:anchor distT="0" distB="0" distL="114300" distR="114300" simplePos="0" relativeHeight="251662336" behindDoc="0" locked="0" layoutInCell="1" allowOverlap="1">
          <wp:simplePos x="0" y="0"/>
          <wp:positionH relativeFrom="column">
            <wp:posOffset>3923665</wp:posOffset>
          </wp:positionH>
          <wp:positionV relativeFrom="paragraph">
            <wp:posOffset>-95250</wp:posOffset>
          </wp:positionV>
          <wp:extent cx="1325245" cy="424815"/>
          <wp:effectExtent l="0" t="0" r="8255" b="0"/>
          <wp:wrapSquare wrapText="bothSides"/>
          <wp:docPr id="9"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descr="说明: 说明: C:\Users\JSYH\Desktop\苏银理财.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409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4097"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4A77D1F"/>
    <w:multiLevelType w:val="multilevel"/>
    <w:tmpl w:val="14A77D1F"/>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61D7153"/>
    <w:multiLevelType w:val="multilevel"/>
    <w:tmpl w:val="261D7153"/>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1E40B4B"/>
    <w:multiLevelType w:val="multilevel"/>
    <w:tmpl w:val="41E40B4B"/>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2FA74D0"/>
    <w:multiLevelType w:val="multilevel"/>
    <w:tmpl w:val="52FA74D0"/>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60E6AEDF"/>
    <w:multiLevelType w:val="singleLevel"/>
    <w:tmpl w:val="60E6AEDF"/>
    <w:lvl w:ilvl="0" w:tentative="0">
      <w:start w:val="1"/>
      <w:numFmt w:val="chineseCounting"/>
      <w:suff w:val="nothing"/>
      <w:lvlText w:val="%1、"/>
      <w:lvlJc w:val="left"/>
      <w:pPr>
        <w:ind w:left="0" w:firstLine="420"/>
      </w:pPr>
      <w:rPr>
        <w:rFonts w:hint="eastAsia"/>
      </w:rPr>
    </w:lvl>
  </w:abstractNum>
  <w:abstractNum w:abstractNumId="5">
    <w:nsid w:val="60E6AF1D"/>
    <w:multiLevelType w:val="singleLevel"/>
    <w:tmpl w:val="60E6AF1D"/>
    <w:lvl w:ilvl="0" w:tentative="0">
      <w:start w:val="1"/>
      <w:numFmt w:val="chineseCounting"/>
      <w:suff w:val="nothing"/>
      <w:lvlText w:val="（%1）"/>
      <w:lvlJc w:val="left"/>
      <w:pPr>
        <w:ind w:left="0" w:firstLine="420"/>
      </w:pPr>
      <w:rPr>
        <w:rFonts w:hint="eastAsia"/>
      </w:rPr>
    </w:lvl>
  </w:abstractNum>
  <w:abstractNum w:abstractNumId="6">
    <w:nsid w:val="60E6AF35"/>
    <w:multiLevelType w:val="singleLevel"/>
    <w:tmpl w:val="60E6AF35"/>
    <w:lvl w:ilvl="0" w:tentative="0">
      <w:start w:val="1"/>
      <w:numFmt w:val="decimal"/>
      <w:suff w:val="nothing"/>
      <w:lvlText w:val="%1．"/>
      <w:lvlJc w:val="left"/>
      <w:pPr>
        <w:ind w:left="0" w:firstLine="400"/>
      </w:pPr>
      <w:rPr>
        <w:rFonts w:hint="default"/>
      </w:rPr>
    </w:lvl>
  </w:abstractNum>
  <w:abstractNum w:abstractNumId="7">
    <w:nsid w:val="60E6B282"/>
    <w:multiLevelType w:val="singleLevel"/>
    <w:tmpl w:val="60E6B282"/>
    <w:lvl w:ilvl="0" w:tentative="0">
      <w:start w:val="1"/>
      <w:numFmt w:val="chineseCounting"/>
      <w:suff w:val="nothing"/>
      <w:lvlText w:val="（%1）"/>
      <w:lvlJc w:val="left"/>
      <w:pPr>
        <w:ind w:left="0" w:firstLine="420"/>
      </w:pPr>
      <w:rPr>
        <w:rFonts w:hint="eastAsia"/>
      </w:rPr>
    </w:lvl>
  </w:abstractNum>
  <w:abstractNum w:abstractNumId="8">
    <w:nsid w:val="60E6B347"/>
    <w:multiLevelType w:val="singleLevel"/>
    <w:tmpl w:val="60E6B347"/>
    <w:lvl w:ilvl="0" w:tentative="0">
      <w:start w:val="1"/>
      <w:numFmt w:val="decimal"/>
      <w:lvlText w:val="（%1）"/>
      <w:lvlJc w:val="left"/>
      <w:pPr>
        <w:tabs>
          <w:tab w:val="left" w:pos="420"/>
        </w:tabs>
        <w:ind w:left="425" w:hanging="425"/>
      </w:pPr>
      <w:rPr>
        <w:rFonts w:hint="default"/>
      </w:rPr>
    </w:lvl>
  </w:abstractNum>
  <w:abstractNum w:abstractNumId="9">
    <w:nsid w:val="60E6B37F"/>
    <w:multiLevelType w:val="singleLevel"/>
    <w:tmpl w:val="60E6B37F"/>
    <w:lvl w:ilvl="0" w:tentative="0">
      <w:start w:val="1"/>
      <w:numFmt w:val="decimal"/>
      <w:suff w:val="nothing"/>
      <w:lvlText w:val="%1．"/>
      <w:lvlJc w:val="left"/>
      <w:pPr>
        <w:ind w:left="0" w:firstLine="400"/>
      </w:pPr>
      <w:rPr>
        <w:rFonts w:hint="default"/>
      </w:rPr>
    </w:lvl>
  </w:abstractNum>
  <w:abstractNum w:abstractNumId="10">
    <w:nsid w:val="60E6B3B6"/>
    <w:multiLevelType w:val="singleLevel"/>
    <w:tmpl w:val="60E6B3B6"/>
    <w:lvl w:ilvl="0" w:tentative="0">
      <w:start w:val="1"/>
      <w:numFmt w:val="decimal"/>
      <w:suff w:val="nothing"/>
      <w:lvlText w:val="%1．"/>
      <w:lvlJc w:val="left"/>
      <w:pPr>
        <w:ind w:left="0" w:firstLine="400"/>
      </w:pPr>
      <w:rPr>
        <w:rFonts w:hint="default"/>
      </w:rPr>
    </w:lvl>
  </w:abstractNum>
  <w:abstractNum w:abstractNumId="11">
    <w:nsid w:val="60E6B3FB"/>
    <w:multiLevelType w:val="singleLevel"/>
    <w:tmpl w:val="60E6B3FB"/>
    <w:lvl w:ilvl="0" w:tentative="0">
      <w:start w:val="1"/>
      <w:numFmt w:val="chineseCounting"/>
      <w:suff w:val="nothing"/>
      <w:lvlText w:val="（%1）"/>
      <w:lvlJc w:val="left"/>
      <w:pPr>
        <w:ind w:left="0" w:firstLine="420"/>
      </w:pPr>
      <w:rPr>
        <w:rFonts w:hint="eastAsia"/>
      </w:rPr>
    </w:lvl>
  </w:abstractNum>
  <w:abstractNum w:abstractNumId="12">
    <w:nsid w:val="60E6B415"/>
    <w:multiLevelType w:val="singleLevel"/>
    <w:tmpl w:val="60E6B415"/>
    <w:lvl w:ilvl="0" w:tentative="0">
      <w:start w:val="1"/>
      <w:numFmt w:val="chineseCounting"/>
      <w:suff w:val="nothing"/>
      <w:lvlText w:val="（%1）"/>
      <w:lvlJc w:val="left"/>
      <w:pPr>
        <w:ind w:left="0" w:firstLine="420"/>
      </w:pPr>
      <w:rPr>
        <w:rFonts w:hint="eastAsia"/>
      </w:rPr>
    </w:lvl>
  </w:abstractNum>
  <w:abstractNum w:abstractNumId="13">
    <w:nsid w:val="7A254164"/>
    <w:multiLevelType w:val="multilevel"/>
    <w:tmpl w:val="7A254164"/>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3"/>
  </w:num>
  <w:num w:numId="3">
    <w:abstractNumId w:val="3"/>
  </w:num>
  <w:num w:numId="4">
    <w:abstractNumId w:val="1"/>
  </w:num>
  <w:num w:numId="5">
    <w:abstractNumId w:val="2"/>
  </w:num>
  <w:num w:numId="6">
    <w:abstractNumId w:val="4"/>
  </w:num>
  <w:num w:numId="7">
    <w:abstractNumId w:val="7"/>
  </w:num>
  <w:num w:numId="8">
    <w:abstractNumId w:val="9"/>
  </w:num>
  <w:num w:numId="9">
    <w:abstractNumId w:val="10"/>
  </w:num>
  <w:num w:numId="10">
    <w:abstractNumId w:val="8"/>
  </w:num>
  <w:num w:numId="11">
    <w:abstractNumId w:val="11"/>
  </w:num>
  <w:num w:numId="12">
    <w:abstractNumId w:val="12"/>
  </w:num>
  <w:num w:numId="13">
    <w:abstractNumId w:val="5"/>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420"/>
  <w:drawingGridVerticalSpacing w:val="156"/>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3606"/>
    <w:rsid w:val="000048B0"/>
    <w:rsid w:val="00005B01"/>
    <w:rsid w:val="00006EAF"/>
    <w:rsid w:val="000101E4"/>
    <w:rsid w:val="0001103A"/>
    <w:rsid w:val="00011464"/>
    <w:rsid w:val="00012543"/>
    <w:rsid w:val="000131EF"/>
    <w:rsid w:val="00013628"/>
    <w:rsid w:val="00014334"/>
    <w:rsid w:val="00014EC2"/>
    <w:rsid w:val="000158A7"/>
    <w:rsid w:val="00015A92"/>
    <w:rsid w:val="00015D58"/>
    <w:rsid w:val="00016232"/>
    <w:rsid w:val="00017933"/>
    <w:rsid w:val="000202AB"/>
    <w:rsid w:val="0002052D"/>
    <w:rsid w:val="00020A6F"/>
    <w:rsid w:val="00021007"/>
    <w:rsid w:val="00023A4F"/>
    <w:rsid w:val="00023BA8"/>
    <w:rsid w:val="00023E47"/>
    <w:rsid w:val="000247F9"/>
    <w:rsid w:val="00026143"/>
    <w:rsid w:val="000263ED"/>
    <w:rsid w:val="00026D13"/>
    <w:rsid w:val="00027056"/>
    <w:rsid w:val="000279D8"/>
    <w:rsid w:val="00027E61"/>
    <w:rsid w:val="00027F48"/>
    <w:rsid w:val="0003072E"/>
    <w:rsid w:val="00030D69"/>
    <w:rsid w:val="000315E6"/>
    <w:rsid w:val="00031707"/>
    <w:rsid w:val="00031806"/>
    <w:rsid w:val="00031A38"/>
    <w:rsid w:val="00031BAC"/>
    <w:rsid w:val="00031F80"/>
    <w:rsid w:val="00034890"/>
    <w:rsid w:val="00036007"/>
    <w:rsid w:val="000375C2"/>
    <w:rsid w:val="000401BF"/>
    <w:rsid w:val="000405B1"/>
    <w:rsid w:val="00043555"/>
    <w:rsid w:val="00043D5F"/>
    <w:rsid w:val="000462D8"/>
    <w:rsid w:val="000469D0"/>
    <w:rsid w:val="00046AAA"/>
    <w:rsid w:val="0004768E"/>
    <w:rsid w:val="000503FC"/>
    <w:rsid w:val="00050975"/>
    <w:rsid w:val="00051DB3"/>
    <w:rsid w:val="00054158"/>
    <w:rsid w:val="00054854"/>
    <w:rsid w:val="000553A7"/>
    <w:rsid w:val="00057222"/>
    <w:rsid w:val="00057646"/>
    <w:rsid w:val="00057F4B"/>
    <w:rsid w:val="00060571"/>
    <w:rsid w:val="000617D2"/>
    <w:rsid w:val="00061D74"/>
    <w:rsid w:val="00062791"/>
    <w:rsid w:val="00064F2B"/>
    <w:rsid w:val="000661A6"/>
    <w:rsid w:val="00066F56"/>
    <w:rsid w:val="000677EE"/>
    <w:rsid w:val="00071418"/>
    <w:rsid w:val="00071581"/>
    <w:rsid w:val="00072396"/>
    <w:rsid w:val="0007293A"/>
    <w:rsid w:val="00072D1F"/>
    <w:rsid w:val="0007366C"/>
    <w:rsid w:val="00074189"/>
    <w:rsid w:val="00074306"/>
    <w:rsid w:val="000757BB"/>
    <w:rsid w:val="0007693B"/>
    <w:rsid w:val="000804C2"/>
    <w:rsid w:val="00080C2C"/>
    <w:rsid w:val="00081AD6"/>
    <w:rsid w:val="00082051"/>
    <w:rsid w:val="000848C8"/>
    <w:rsid w:val="000849CB"/>
    <w:rsid w:val="000853F6"/>
    <w:rsid w:val="000867A8"/>
    <w:rsid w:val="00087036"/>
    <w:rsid w:val="00087D83"/>
    <w:rsid w:val="00087EDB"/>
    <w:rsid w:val="00091208"/>
    <w:rsid w:val="000913BF"/>
    <w:rsid w:val="00091907"/>
    <w:rsid w:val="00093C11"/>
    <w:rsid w:val="00094613"/>
    <w:rsid w:val="00094631"/>
    <w:rsid w:val="00096382"/>
    <w:rsid w:val="0009795C"/>
    <w:rsid w:val="00097F80"/>
    <w:rsid w:val="000A2D2D"/>
    <w:rsid w:val="000A2E68"/>
    <w:rsid w:val="000A45AB"/>
    <w:rsid w:val="000B0078"/>
    <w:rsid w:val="000B0690"/>
    <w:rsid w:val="000B3B58"/>
    <w:rsid w:val="000B3D2F"/>
    <w:rsid w:val="000B3EFD"/>
    <w:rsid w:val="000B659B"/>
    <w:rsid w:val="000B6E9F"/>
    <w:rsid w:val="000C3DB1"/>
    <w:rsid w:val="000C54ED"/>
    <w:rsid w:val="000C5C02"/>
    <w:rsid w:val="000C6143"/>
    <w:rsid w:val="000C7382"/>
    <w:rsid w:val="000D1ED6"/>
    <w:rsid w:val="000D35BD"/>
    <w:rsid w:val="000D6E4B"/>
    <w:rsid w:val="000D71CF"/>
    <w:rsid w:val="000D7225"/>
    <w:rsid w:val="000D722C"/>
    <w:rsid w:val="000E0485"/>
    <w:rsid w:val="000E2E7D"/>
    <w:rsid w:val="000E34BA"/>
    <w:rsid w:val="000E34F3"/>
    <w:rsid w:val="000E4205"/>
    <w:rsid w:val="000E72A0"/>
    <w:rsid w:val="000E7CF6"/>
    <w:rsid w:val="000F034D"/>
    <w:rsid w:val="000F0433"/>
    <w:rsid w:val="000F1D3C"/>
    <w:rsid w:val="000F3D5D"/>
    <w:rsid w:val="000F4243"/>
    <w:rsid w:val="000F4811"/>
    <w:rsid w:val="000F4ABF"/>
    <w:rsid w:val="000F4B2B"/>
    <w:rsid w:val="000F5B66"/>
    <w:rsid w:val="000F5FF6"/>
    <w:rsid w:val="000F65C5"/>
    <w:rsid w:val="000F7056"/>
    <w:rsid w:val="000F7D2C"/>
    <w:rsid w:val="00100193"/>
    <w:rsid w:val="00100F0C"/>
    <w:rsid w:val="001025A3"/>
    <w:rsid w:val="001036A0"/>
    <w:rsid w:val="0010457E"/>
    <w:rsid w:val="0010540B"/>
    <w:rsid w:val="001065F5"/>
    <w:rsid w:val="0010678E"/>
    <w:rsid w:val="001074AB"/>
    <w:rsid w:val="00110417"/>
    <w:rsid w:val="00110AB0"/>
    <w:rsid w:val="00111E3E"/>
    <w:rsid w:val="0011258E"/>
    <w:rsid w:val="001126F6"/>
    <w:rsid w:val="00112F03"/>
    <w:rsid w:val="00115E7F"/>
    <w:rsid w:val="0011696D"/>
    <w:rsid w:val="00117CE3"/>
    <w:rsid w:val="00121681"/>
    <w:rsid w:val="00121ED8"/>
    <w:rsid w:val="00122035"/>
    <w:rsid w:val="00122F58"/>
    <w:rsid w:val="0012352A"/>
    <w:rsid w:val="00123BCB"/>
    <w:rsid w:val="0012411A"/>
    <w:rsid w:val="001242DE"/>
    <w:rsid w:val="00124929"/>
    <w:rsid w:val="00125B8C"/>
    <w:rsid w:val="0012647A"/>
    <w:rsid w:val="00127044"/>
    <w:rsid w:val="001303B2"/>
    <w:rsid w:val="00130EED"/>
    <w:rsid w:val="00130F7B"/>
    <w:rsid w:val="00131F1B"/>
    <w:rsid w:val="0013364F"/>
    <w:rsid w:val="001336CE"/>
    <w:rsid w:val="00133AAF"/>
    <w:rsid w:val="00133B98"/>
    <w:rsid w:val="0013472F"/>
    <w:rsid w:val="00134733"/>
    <w:rsid w:val="001359ED"/>
    <w:rsid w:val="00135B61"/>
    <w:rsid w:val="00136797"/>
    <w:rsid w:val="001405C2"/>
    <w:rsid w:val="00140B25"/>
    <w:rsid w:val="00142F4F"/>
    <w:rsid w:val="001450DF"/>
    <w:rsid w:val="0014734D"/>
    <w:rsid w:val="00151CC7"/>
    <w:rsid w:val="00152B36"/>
    <w:rsid w:val="001530B2"/>
    <w:rsid w:val="001543E7"/>
    <w:rsid w:val="00154456"/>
    <w:rsid w:val="00154508"/>
    <w:rsid w:val="00154F7A"/>
    <w:rsid w:val="00155B77"/>
    <w:rsid w:val="00156867"/>
    <w:rsid w:val="00157C4D"/>
    <w:rsid w:val="00160569"/>
    <w:rsid w:val="00160CEC"/>
    <w:rsid w:val="00161E2F"/>
    <w:rsid w:val="001624A3"/>
    <w:rsid w:val="001624DA"/>
    <w:rsid w:val="00162AA1"/>
    <w:rsid w:val="00162BF5"/>
    <w:rsid w:val="00164B60"/>
    <w:rsid w:val="00165862"/>
    <w:rsid w:val="00165E23"/>
    <w:rsid w:val="00166B3A"/>
    <w:rsid w:val="00170099"/>
    <w:rsid w:val="00170194"/>
    <w:rsid w:val="00170927"/>
    <w:rsid w:val="0017092A"/>
    <w:rsid w:val="00170A6E"/>
    <w:rsid w:val="00172B90"/>
    <w:rsid w:val="00173A2B"/>
    <w:rsid w:val="00173CE1"/>
    <w:rsid w:val="00174417"/>
    <w:rsid w:val="001749CF"/>
    <w:rsid w:val="001750FE"/>
    <w:rsid w:val="00175E88"/>
    <w:rsid w:val="00175FA5"/>
    <w:rsid w:val="00176B8E"/>
    <w:rsid w:val="001770F3"/>
    <w:rsid w:val="001774A0"/>
    <w:rsid w:val="00177BCC"/>
    <w:rsid w:val="0018179B"/>
    <w:rsid w:val="0018251A"/>
    <w:rsid w:val="00183463"/>
    <w:rsid w:val="001846FB"/>
    <w:rsid w:val="00184D1D"/>
    <w:rsid w:val="001860DF"/>
    <w:rsid w:val="00191737"/>
    <w:rsid w:val="00194E69"/>
    <w:rsid w:val="001968BC"/>
    <w:rsid w:val="00197DD9"/>
    <w:rsid w:val="001A059E"/>
    <w:rsid w:val="001A05F5"/>
    <w:rsid w:val="001A1C12"/>
    <w:rsid w:val="001A418D"/>
    <w:rsid w:val="001A422B"/>
    <w:rsid w:val="001A502C"/>
    <w:rsid w:val="001A57DB"/>
    <w:rsid w:val="001A586B"/>
    <w:rsid w:val="001A73F1"/>
    <w:rsid w:val="001A77E8"/>
    <w:rsid w:val="001B1360"/>
    <w:rsid w:val="001B1BB1"/>
    <w:rsid w:val="001B1D26"/>
    <w:rsid w:val="001B1D7F"/>
    <w:rsid w:val="001B1E1E"/>
    <w:rsid w:val="001B25A3"/>
    <w:rsid w:val="001B2F76"/>
    <w:rsid w:val="001B2F82"/>
    <w:rsid w:val="001B396B"/>
    <w:rsid w:val="001B44A7"/>
    <w:rsid w:val="001B4B9C"/>
    <w:rsid w:val="001B57A4"/>
    <w:rsid w:val="001B72EB"/>
    <w:rsid w:val="001B7D0D"/>
    <w:rsid w:val="001B7F6F"/>
    <w:rsid w:val="001C13E9"/>
    <w:rsid w:val="001C3886"/>
    <w:rsid w:val="001C4148"/>
    <w:rsid w:val="001C432A"/>
    <w:rsid w:val="001C469F"/>
    <w:rsid w:val="001C6DD2"/>
    <w:rsid w:val="001C78FF"/>
    <w:rsid w:val="001D0B29"/>
    <w:rsid w:val="001D1C27"/>
    <w:rsid w:val="001D2A8B"/>
    <w:rsid w:val="001D3ED4"/>
    <w:rsid w:val="001D48EE"/>
    <w:rsid w:val="001D49AC"/>
    <w:rsid w:val="001D4B2D"/>
    <w:rsid w:val="001D4BC9"/>
    <w:rsid w:val="001D4FE1"/>
    <w:rsid w:val="001D78FF"/>
    <w:rsid w:val="001E0062"/>
    <w:rsid w:val="001E0387"/>
    <w:rsid w:val="001E223F"/>
    <w:rsid w:val="001E4374"/>
    <w:rsid w:val="001E49AE"/>
    <w:rsid w:val="001E4A82"/>
    <w:rsid w:val="001E4C0D"/>
    <w:rsid w:val="001E4E95"/>
    <w:rsid w:val="001E55CB"/>
    <w:rsid w:val="001E631F"/>
    <w:rsid w:val="001E6744"/>
    <w:rsid w:val="001E68EF"/>
    <w:rsid w:val="001F0A69"/>
    <w:rsid w:val="001F1728"/>
    <w:rsid w:val="001F2658"/>
    <w:rsid w:val="001F3AD6"/>
    <w:rsid w:val="001F3C4B"/>
    <w:rsid w:val="001F3CCB"/>
    <w:rsid w:val="001F63BD"/>
    <w:rsid w:val="001F6775"/>
    <w:rsid w:val="001F69BF"/>
    <w:rsid w:val="00200449"/>
    <w:rsid w:val="00200523"/>
    <w:rsid w:val="0020097F"/>
    <w:rsid w:val="00200DF8"/>
    <w:rsid w:val="0020123C"/>
    <w:rsid w:val="0020196F"/>
    <w:rsid w:val="002024E9"/>
    <w:rsid w:val="002026C0"/>
    <w:rsid w:val="002047F3"/>
    <w:rsid w:val="0020590E"/>
    <w:rsid w:val="00205EB2"/>
    <w:rsid w:val="00205FEC"/>
    <w:rsid w:val="0020639A"/>
    <w:rsid w:val="00210857"/>
    <w:rsid w:val="002119A2"/>
    <w:rsid w:val="00211F5B"/>
    <w:rsid w:val="00213632"/>
    <w:rsid w:val="0021388F"/>
    <w:rsid w:val="00215F66"/>
    <w:rsid w:val="0021712C"/>
    <w:rsid w:val="0022162D"/>
    <w:rsid w:val="00221937"/>
    <w:rsid w:val="002222A4"/>
    <w:rsid w:val="00224018"/>
    <w:rsid w:val="0022633B"/>
    <w:rsid w:val="00226F9D"/>
    <w:rsid w:val="00230ED7"/>
    <w:rsid w:val="00230F4A"/>
    <w:rsid w:val="002319B1"/>
    <w:rsid w:val="00231B08"/>
    <w:rsid w:val="00232A54"/>
    <w:rsid w:val="0023376E"/>
    <w:rsid w:val="0023523A"/>
    <w:rsid w:val="00235E45"/>
    <w:rsid w:val="002366EB"/>
    <w:rsid w:val="00236C4F"/>
    <w:rsid w:val="002379DD"/>
    <w:rsid w:val="00237FDB"/>
    <w:rsid w:val="0024053C"/>
    <w:rsid w:val="0024212E"/>
    <w:rsid w:val="002436C1"/>
    <w:rsid w:val="00243DF5"/>
    <w:rsid w:val="00244E6D"/>
    <w:rsid w:val="00245106"/>
    <w:rsid w:val="00245D03"/>
    <w:rsid w:val="0024748B"/>
    <w:rsid w:val="00247A34"/>
    <w:rsid w:val="00247A7D"/>
    <w:rsid w:val="0025150E"/>
    <w:rsid w:val="00252198"/>
    <w:rsid w:val="00252B51"/>
    <w:rsid w:val="00253997"/>
    <w:rsid w:val="0025423C"/>
    <w:rsid w:val="00254A3C"/>
    <w:rsid w:val="00254A8B"/>
    <w:rsid w:val="00256E57"/>
    <w:rsid w:val="0025744E"/>
    <w:rsid w:val="002579CC"/>
    <w:rsid w:val="002659F1"/>
    <w:rsid w:val="0026641B"/>
    <w:rsid w:val="002672C8"/>
    <w:rsid w:val="00270665"/>
    <w:rsid w:val="00272261"/>
    <w:rsid w:val="00272C53"/>
    <w:rsid w:val="00272E20"/>
    <w:rsid w:val="00273681"/>
    <w:rsid w:val="00273B34"/>
    <w:rsid w:val="00273B74"/>
    <w:rsid w:val="00274D47"/>
    <w:rsid w:val="00274FAF"/>
    <w:rsid w:val="0027510A"/>
    <w:rsid w:val="00276200"/>
    <w:rsid w:val="002765F4"/>
    <w:rsid w:val="00276883"/>
    <w:rsid w:val="00277498"/>
    <w:rsid w:val="00277C1F"/>
    <w:rsid w:val="002808A9"/>
    <w:rsid w:val="002821D7"/>
    <w:rsid w:val="00282F20"/>
    <w:rsid w:val="002872D2"/>
    <w:rsid w:val="0029004F"/>
    <w:rsid w:val="00291B84"/>
    <w:rsid w:val="00292B19"/>
    <w:rsid w:val="00292B5E"/>
    <w:rsid w:val="00292FFC"/>
    <w:rsid w:val="002932FC"/>
    <w:rsid w:val="0029429C"/>
    <w:rsid w:val="00294431"/>
    <w:rsid w:val="00294B49"/>
    <w:rsid w:val="00295538"/>
    <w:rsid w:val="00297034"/>
    <w:rsid w:val="002A046A"/>
    <w:rsid w:val="002A1262"/>
    <w:rsid w:val="002A23E0"/>
    <w:rsid w:val="002A2E20"/>
    <w:rsid w:val="002A32DF"/>
    <w:rsid w:val="002A46D7"/>
    <w:rsid w:val="002A6980"/>
    <w:rsid w:val="002A7DF5"/>
    <w:rsid w:val="002A7E94"/>
    <w:rsid w:val="002B0795"/>
    <w:rsid w:val="002B2620"/>
    <w:rsid w:val="002B3225"/>
    <w:rsid w:val="002B5694"/>
    <w:rsid w:val="002B605E"/>
    <w:rsid w:val="002B657A"/>
    <w:rsid w:val="002C021F"/>
    <w:rsid w:val="002C1C54"/>
    <w:rsid w:val="002C2056"/>
    <w:rsid w:val="002C23F7"/>
    <w:rsid w:val="002C320F"/>
    <w:rsid w:val="002C3367"/>
    <w:rsid w:val="002C622F"/>
    <w:rsid w:val="002C6D69"/>
    <w:rsid w:val="002C7016"/>
    <w:rsid w:val="002C7117"/>
    <w:rsid w:val="002C7CB4"/>
    <w:rsid w:val="002D0706"/>
    <w:rsid w:val="002D29FD"/>
    <w:rsid w:val="002D2AEC"/>
    <w:rsid w:val="002D2C1F"/>
    <w:rsid w:val="002D3635"/>
    <w:rsid w:val="002D5411"/>
    <w:rsid w:val="002D5589"/>
    <w:rsid w:val="002D727A"/>
    <w:rsid w:val="002E00B8"/>
    <w:rsid w:val="002E0589"/>
    <w:rsid w:val="002E1382"/>
    <w:rsid w:val="002E3A84"/>
    <w:rsid w:val="002E6AD0"/>
    <w:rsid w:val="002E6F55"/>
    <w:rsid w:val="002F0E4E"/>
    <w:rsid w:val="002F2771"/>
    <w:rsid w:val="002F344B"/>
    <w:rsid w:val="002F403C"/>
    <w:rsid w:val="002F561E"/>
    <w:rsid w:val="002F709A"/>
    <w:rsid w:val="002F77A8"/>
    <w:rsid w:val="00301619"/>
    <w:rsid w:val="00301AD3"/>
    <w:rsid w:val="00301E80"/>
    <w:rsid w:val="00302755"/>
    <w:rsid w:val="003039FF"/>
    <w:rsid w:val="00304D18"/>
    <w:rsid w:val="00305A15"/>
    <w:rsid w:val="00306353"/>
    <w:rsid w:val="00306D41"/>
    <w:rsid w:val="00307094"/>
    <w:rsid w:val="00307342"/>
    <w:rsid w:val="00310A72"/>
    <w:rsid w:val="0031143A"/>
    <w:rsid w:val="00311C18"/>
    <w:rsid w:val="0031298C"/>
    <w:rsid w:val="00313619"/>
    <w:rsid w:val="00313D52"/>
    <w:rsid w:val="00314235"/>
    <w:rsid w:val="0032098B"/>
    <w:rsid w:val="003222FC"/>
    <w:rsid w:val="003227E7"/>
    <w:rsid w:val="00325D85"/>
    <w:rsid w:val="0032607C"/>
    <w:rsid w:val="00326E7B"/>
    <w:rsid w:val="0033166C"/>
    <w:rsid w:val="003324AE"/>
    <w:rsid w:val="00332C6A"/>
    <w:rsid w:val="0033358A"/>
    <w:rsid w:val="00333937"/>
    <w:rsid w:val="003342B8"/>
    <w:rsid w:val="0033504B"/>
    <w:rsid w:val="003362C7"/>
    <w:rsid w:val="00336A5A"/>
    <w:rsid w:val="00337AA0"/>
    <w:rsid w:val="00337DE3"/>
    <w:rsid w:val="00342ADB"/>
    <w:rsid w:val="00343B0F"/>
    <w:rsid w:val="00343D4D"/>
    <w:rsid w:val="00347006"/>
    <w:rsid w:val="00347D0D"/>
    <w:rsid w:val="003503AE"/>
    <w:rsid w:val="00351D8C"/>
    <w:rsid w:val="0035213A"/>
    <w:rsid w:val="00353419"/>
    <w:rsid w:val="00353F27"/>
    <w:rsid w:val="00355D35"/>
    <w:rsid w:val="00356BEA"/>
    <w:rsid w:val="0035741C"/>
    <w:rsid w:val="00360094"/>
    <w:rsid w:val="003627FB"/>
    <w:rsid w:val="00362826"/>
    <w:rsid w:val="00363EEF"/>
    <w:rsid w:val="0036403D"/>
    <w:rsid w:val="0036406A"/>
    <w:rsid w:val="0036455C"/>
    <w:rsid w:val="003656BF"/>
    <w:rsid w:val="00366074"/>
    <w:rsid w:val="003661FF"/>
    <w:rsid w:val="00367122"/>
    <w:rsid w:val="00367428"/>
    <w:rsid w:val="003676E9"/>
    <w:rsid w:val="0037083D"/>
    <w:rsid w:val="00372402"/>
    <w:rsid w:val="003724FE"/>
    <w:rsid w:val="003726C4"/>
    <w:rsid w:val="003732C5"/>
    <w:rsid w:val="00374086"/>
    <w:rsid w:val="00374DFE"/>
    <w:rsid w:val="003758DB"/>
    <w:rsid w:val="00375BEB"/>
    <w:rsid w:val="00375DA9"/>
    <w:rsid w:val="00377518"/>
    <w:rsid w:val="003800B4"/>
    <w:rsid w:val="003809E0"/>
    <w:rsid w:val="003814E2"/>
    <w:rsid w:val="00381E88"/>
    <w:rsid w:val="003821F9"/>
    <w:rsid w:val="003827CD"/>
    <w:rsid w:val="00383A99"/>
    <w:rsid w:val="00383D6D"/>
    <w:rsid w:val="003852EF"/>
    <w:rsid w:val="003870EE"/>
    <w:rsid w:val="0038729B"/>
    <w:rsid w:val="00387A01"/>
    <w:rsid w:val="003926B7"/>
    <w:rsid w:val="00393452"/>
    <w:rsid w:val="00394C2C"/>
    <w:rsid w:val="00395441"/>
    <w:rsid w:val="00396F85"/>
    <w:rsid w:val="0039723A"/>
    <w:rsid w:val="003A1CB9"/>
    <w:rsid w:val="003A27B8"/>
    <w:rsid w:val="003A2B7D"/>
    <w:rsid w:val="003A3D8C"/>
    <w:rsid w:val="003A3E40"/>
    <w:rsid w:val="003A539D"/>
    <w:rsid w:val="003A59F9"/>
    <w:rsid w:val="003A5F79"/>
    <w:rsid w:val="003A5FA1"/>
    <w:rsid w:val="003A6124"/>
    <w:rsid w:val="003A6CA4"/>
    <w:rsid w:val="003A7623"/>
    <w:rsid w:val="003B1725"/>
    <w:rsid w:val="003B242C"/>
    <w:rsid w:val="003B324C"/>
    <w:rsid w:val="003B4CE4"/>
    <w:rsid w:val="003B4D64"/>
    <w:rsid w:val="003B5DFB"/>
    <w:rsid w:val="003B6220"/>
    <w:rsid w:val="003B76DC"/>
    <w:rsid w:val="003C13CA"/>
    <w:rsid w:val="003C1E93"/>
    <w:rsid w:val="003C2161"/>
    <w:rsid w:val="003C31CD"/>
    <w:rsid w:val="003C3D4A"/>
    <w:rsid w:val="003C596C"/>
    <w:rsid w:val="003D03AF"/>
    <w:rsid w:val="003D07CA"/>
    <w:rsid w:val="003D1FE5"/>
    <w:rsid w:val="003D3735"/>
    <w:rsid w:val="003D497A"/>
    <w:rsid w:val="003D5148"/>
    <w:rsid w:val="003D6081"/>
    <w:rsid w:val="003D6720"/>
    <w:rsid w:val="003D6B3F"/>
    <w:rsid w:val="003D7951"/>
    <w:rsid w:val="003E030F"/>
    <w:rsid w:val="003E1EFB"/>
    <w:rsid w:val="003E2B26"/>
    <w:rsid w:val="003E4299"/>
    <w:rsid w:val="003E6D92"/>
    <w:rsid w:val="003E6F85"/>
    <w:rsid w:val="003E70B9"/>
    <w:rsid w:val="003E7812"/>
    <w:rsid w:val="003F2136"/>
    <w:rsid w:val="003F277A"/>
    <w:rsid w:val="003F31E6"/>
    <w:rsid w:val="003F40F9"/>
    <w:rsid w:val="003F4C40"/>
    <w:rsid w:val="003F52FE"/>
    <w:rsid w:val="003F580D"/>
    <w:rsid w:val="003F61D7"/>
    <w:rsid w:val="003F780E"/>
    <w:rsid w:val="00401F3A"/>
    <w:rsid w:val="00402686"/>
    <w:rsid w:val="0040272E"/>
    <w:rsid w:val="00402EA0"/>
    <w:rsid w:val="00403452"/>
    <w:rsid w:val="0040350A"/>
    <w:rsid w:val="00403F44"/>
    <w:rsid w:val="004041C9"/>
    <w:rsid w:val="004062F1"/>
    <w:rsid w:val="0040793A"/>
    <w:rsid w:val="004079CC"/>
    <w:rsid w:val="004106A7"/>
    <w:rsid w:val="00410F85"/>
    <w:rsid w:val="00412823"/>
    <w:rsid w:val="0041382E"/>
    <w:rsid w:val="00413D00"/>
    <w:rsid w:val="00414410"/>
    <w:rsid w:val="0041442A"/>
    <w:rsid w:val="00414992"/>
    <w:rsid w:val="00416ED0"/>
    <w:rsid w:val="004175B0"/>
    <w:rsid w:val="00421C9B"/>
    <w:rsid w:val="004233D8"/>
    <w:rsid w:val="00423C6E"/>
    <w:rsid w:val="00423ED9"/>
    <w:rsid w:val="00425F90"/>
    <w:rsid w:val="00426041"/>
    <w:rsid w:val="00426CBC"/>
    <w:rsid w:val="00427CC0"/>
    <w:rsid w:val="0043002F"/>
    <w:rsid w:val="004303B3"/>
    <w:rsid w:val="004305C9"/>
    <w:rsid w:val="00430927"/>
    <w:rsid w:val="0043097E"/>
    <w:rsid w:val="0043308A"/>
    <w:rsid w:val="00433113"/>
    <w:rsid w:val="00433F87"/>
    <w:rsid w:val="00434262"/>
    <w:rsid w:val="0043673C"/>
    <w:rsid w:val="00436801"/>
    <w:rsid w:val="00437DA0"/>
    <w:rsid w:val="004412CE"/>
    <w:rsid w:val="00441312"/>
    <w:rsid w:val="00441ED0"/>
    <w:rsid w:val="00442603"/>
    <w:rsid w:val="00442BF4"/>
    <w:rsid w:val="00444898"/>
    <w:rsid w:val="004457E4"/>
    <w:rsid w:val="00445E88"/>
    <w:rsid w:val="004506BE"/>
    <w:rsid w:val="004509F6"/>
    <w:rsid w:val="00453254"/>
    <w:rsid w:val="00453540"/>
    <w:rsid w:val="0045366F"/>
    <w:rsid w:val="00453F4D"/>
    <w:rsid w:val="00455C1F"/>
    <w:rsid w:val="00455D49"/>
    <w:rsid w:val="00455DF1"/>
    <w:rsid w:val="00456A0F"/>
    <w:rsid w:val="00460F22"/>
    <w:rsid w:val="00463619"/>
    <w:rsid w:val="0046446A"/>
    <w:rsid w:val="004645D0"/>
    <w:rsid w:val="00464A97"/>
    <w:rsid w:val="00464FA6"/>
    <w:rsid w:val="004651E5"/>
    <w:rsid w:val="004673A5"/>
    <w:rsid w:val="00467543"/>
    <w:rsid w:val="004676E4"/>
    <w:rsid w:val="0046796E"/>
    <w:rsid w:val="00467E09"/>
    <w:rsid w:val="00470519"/>
    <w:rsid w:val="004707EC"/>
    <w:rsid w:val="00470F11"/>
    <w:rsid w:val="0047173F"/>
    <w:rsid w:val="00471A65"/>
    <w:rsid w:val="0047215E"/>
    <w:rsid w:val="004722FE"/>
    <w:rsid w:val="00472764"/>
    <w:rsid w:val="00472A2C"/>
    <w:rsid w:val="004739B2"/>
    <w:rsid w:val="00473ED0"/>
    <w:rsid w:val="00474D99"/>
    <w:rsid w:val="004758B6"/>
    <w:rsid w:val="004761F8"/>
    <w:rsid w:val="0047624F"/>
    <w:rsid w:val="00476551"/>
    <w:rsid w:val="00476764"/>
    <w:rsid w:val="00477506"/>
    <w:rsid w:val="00477994"/>
    <w:rsid w:val="00480ED0"/>
    <w:rsid w:val="00481CB0"/>
    <w:rsid w:val="00482251"/>
    <w:rsid w:val="00482CC2"/>
    <w:rsid w:val="004835E4"/>
    <w:rsid w:val="00483838"/>
    <w:rsid w:val="00483A00"/>
    <w:rsid w:val="00483D82"/>
    <w:rsid w:val="00484CF0"/>
    <w:rsid w:val="00484D6A"/>
    <w:rsid w:val="004856F7"/>
    <w:rsid w:val="00485E98"/>
    <w:rsid w:val="00485EE5"/>
    <w:rsid w:val="00487169"/>
    <w:rsid w:val="00490405"/>
    <w:rsid w:val="00490539"/>
    <w:rsid w:val="004907EE"/>
    <w:rsid w:val="004910C2"/>
    <w:rsid w:val="00491342"/>
    <w:rsid w:val="00491B25"/>
    <w:rsid w:val="004923DC"/>
    <w:rsid w:val="004925DF"/>
    <w:rsid w:val="004929D1"/>
    <w:rsid w:val="004939CA"/>
    <w:rsid w:val="00497D5C"/>
    <w:rsid w:val="004A243A"/>
    <w:rsid w:val="004A2756"/>
    <w:rsid w:val="004A49CD"/>
    <w:rsid w:val="004A4AED"/>
    <w:rsid w:val="004A58D1"/>
    <w:rsid w:val="004A5E88"/>
    <w:rsid w:val="004A65C0"/>
    <w:rsid w:val="004A6C11"/>
    <w:rsid w:val="004A74CE"/>
    <w:rsid w:val="004B1E66"/>
    <w:rsid w:val="004B2EC3"/>
    <w:rsid w:val="004B4001"/>
    <w:rsid w:val="004B4B39"/>
    <w:rsid w:val="004B6EA9"/>
    <w:rsid w:val="004B735F"/>
    <w:rsid w:val="004B77FF"/>
    <w:rsid w:val="004B7F73"/>
    <w:rsid w:val="004C0D55"/>
    <w:rsid w:val="004C0F0C"/>
    <w:rsid w:val="004C187B"/>
    <w:rsid w:val="004C1C90"/>
    <w:rsid w:val="004C49FA"/>
    <w:rsid w:val="004C4C9B"/>
    <w:rsid w:val="004C4EA4"/>
    <w:rsid w:val="004C701F"/>
    <w:rsid w:val="004C7C47"/>
    <w:rsid w:val="004D0388"/>
    <w:rsid w:val="004D0478"/>
    <w:rsid w:val="004D0A93"/>
    <w:rsid w:val="004D20F5"/>
    <w:rsid w:val="004D34DD"/>
    <w:rsid w:val="004D382B"/>
    <w:rsid w:val="004D3B10"/>
    <w:rsid w:val="004D49D8"/>
    <w:rsid w:val="004D6E8F"/>
    <w:rsid w:val="004D73A7"/>
    <w:rsid w:val="004D73BA"/>
    <w:rsid w:val="004D7BA3"/>
    <w:rsid w:val="004E1FFC"/>
    <w:rsid w:val="004E3B6D"/>
    <w:rsid w:val="004E3C6A"/>
    <w:rsid w:val="004E46B0"/>
    <w:rsid w:val="004E594D"/>
    <w:rsid w:val="004E645B"/>
    <w:rsid w:val="004F0A8A"/>
    <w:rsid w:val="004F3425"/>
    <w:rsid w:val="004F369D"/>
    <w:rsid w:val="004F3AC9"/>
    <w:rsid w:val="004F3E2D"/>
    <w:rsid w:val="004F3E60"/>
    <w:rsid w:val="004F46F0"/>
    <w:rsid w:val="004F4F78"/>
    <w:rsid w:val="004F55EC"/>
    <w:rsid w:val="005011AD"/>
    <w:rsid w:val="005013A2"/>
    <w:rsid w:val="005032A0"/>
    <w:rsid w:val="0050386F"/>
    <w:rsid w:val="00503982"/>
    <w:rsid w:val="005041D5"/>
    <w:rsid w:val="00506806"/>
    <w:rsid w:val="005071D2"/>
    <w:rsid w:val="00510526"/>
    <w:rsid w:val="00510823"/>
    <w:rsid w:val="0051208D"/>
    <w:rsid w:val="00512670"/>
    <w:rsid w:val="00512AC8"/>
    <w:rsid w:val="00515789"/>
    <w:rsid w:val="00516DA1"/>
    <w:rsid w:val="005201F1"/>
    <w:rsid w:val="0052073F"/>
    <w:rsid w:val="00520ACC"/>
    <w:rsid w:val="00520B0B"/>
    <w:rsid w:val="005212D4"/>
    <w:rsid w:val="00521859"/>
    <w:rsid w:val="00522AA1"/>
    <w:rsid w:val="0052415B"/>
    <w:rsid w:val="00526313"/>
    <w:rsid w:val="005266CB"/>
    <w:rsid w:val="00527FBD"/>
    <w:rsid w:val="0053069A"/>
    <w:rsid w:val="005308B0"/>
    <w:rsid w:val="0053444E"/>
    <w:rsid w:val="0053487E"/>
    <w:rsid w:val="0053510C"/>
    <w:rsid w:val="005362B4"/>
    <w:rsid w:val="0053633A"/>
    <w:rsid w:val="00536E3A"/>
    <w:rsid w:val="005400DC"/>
    <w:rsid w:val="00540E77"/>
    <w:rsid w:val="00542940"/>
    <w:rsid w:val="00542A74"/>
    <w:rsid w:val="00542CCA"/>
    <w:rsid w:val="0054309D"/>
    <w:rsid w:val="005436F3"/>
    <w:rsid w:val="00544451"/>
    <w:rsid w:val="005449D5"/>
    <w:rsid w:val="00544A6C"/>
    <w:rsid w:val="00551427"/>
    <w:rsid w:val="00551C0A"/>
    <w:rsid w:val="005532D9"/>
    <w:rsid w:val="005542EF"/>
    <w:rsid w:val="00554430"/>
    <w:rsid w:val="00555F85"/>
    <w:rsid w:val="0055630E"/>
    <w:rsid w:val="005567F7"/>
    <w:rsid w:val="00560551"/>
    <w:rsid w:val="00561FE9"/>
    <w:rsid w:val="00562804"/>
    <w:rsid w:val="00563061"/>
    <w:rsid w:val="00564093"/>
    <w:rsid w:val="00564DFE"/>
    <w:rsid w:val="00564F46"/>
    <w:rsid w:val="005659B2"/>
    <w:rsid w:val="00566CB6"/>
    <w:rsid w:val="00567AAC"/>
    <w:rsid w:val="0057295B"/>
    <w:rsid w:val="00572A2F"/>
    <w:rsid w:val="00572C28"/>
    <w:rsid w:val="00572D91"/>
    <w:rsid w:val="00574893"/>
    <w:rsid w:val="005753ED"/>
    <w:rsid w:val="00575E03"/>
    <w:rsid w:val="00576B9E"/>
    <w:rsid w:val="00577555"/>
    <w:rsid w:val="005803FA"/>
    <w:rsid w:val="005827DA"/>
    <w:rsid w:val="0058356E"/>
    <w:rsid w:val="00583A5E"/>
    <w:rsid w:val="00585DCB"/>
    <w:rsid w:val="005865C7"/>
    <w:rsid w:val="00590CD8"/>
    <w:rsid w:val="00593310"/>
    <w:rsid w:val="0059593D"/>
    <w:rsid w:val="00595C4D"/>
    <w:rsid w:val="00597498"/>
    <w:rsid w:val="0059767A"/>
    <w:rsid w:val="00597A01"/>
    <w:rsid w:val="00597B28"/>
    <w:rsid w:val="005A0462"/>
    <w:rsid w:val="005A43FC"/>
    <w:rsid w:val="005A588A"/>
    <w:rsid w:val="005A6007"/>
    <w:rsid w:val="005A6752"/>
    <w:rsid w:val="005A6DE4"/>
    <w:rsid w:val="005A7236"/>
    <w:rsid w:val="005A7777"/>
    <w:rsid w:val="005A7842"/>
    <w:rsid w:val="005B08B3"/>
    <w:rsid w:val="005B0F07"/>
    <w:rsid w:val="005B16D7"/>
    <w:rsid w:val="005B1B3D"/>
    <w:rsid w:val="005B1BB5"/>
    <w:rsid w:val="005B37DB"/>
    <w:rsid w:val="005B3AC2"/>
    <w:rsid w:val="005B439F"/>
    <w:rsid w:val="005B4492"/>
    <w:rsid w:val="005B49CC"/>
    <w:rsid w:val="005B62FA"/>
    <w:rsid w:val="005B6576"/>
    <w:rsid w:val="005C09F1"/>
    <w:rsid w:val="005C0B01"/>
    <w:rsid w:val="005C1CF3"/>
    <w:rsid w:val="005C37A8"/>
    <w:rsid w:val="005C3B0D"/>
    <w:rsid w:val="005C4B2D"/>
    <w:rsid w:val="005C5BC2"/>
    <w:rsid w:val="005C72E9"/>
    <w:rsid w:val="005C79F4"/>
    <w:rsid w:val="005D0472"/>
    <w:rsid w:val="005D163E"/>
    <w:rsid w:val="005D33A6"/>
    <w:rsid w:val="005D4199"/>
    <w:rsid w:val="005D4D03"/>
    <w:rsid w:val="005D5292"/>
    <w:rsid w:val="005D5470"/>
    <w:rsid w:val="005D637B"/>
    <w:rsid w:val="005D6B93"/>
    <w:rsid w:val="005E0829"/>
    <w:rsid w:val="005E14F6"/>
    <w:rsid w:val="005E162C"/>
    <w:rsid w:val="005E26A1"/>
    <w:rsid w:val="005E2B12"/>
    <w:rsid w:val="005E2D33"/>
    <w:rsid w:val="005E3651"/>
    <w:rsid w:val="005E43ED"/>
    <w:rsid w:val="005E494F"/>
    <w:rsid w:val="005E5312"/>
    <w:rsid w:val="005E588E"/>
    <w:rsid w:val="005E5B8D"/>
    <w:rsid w:val="005E5F0F"/>
    <w:rsid w:val="005E695B"/>
    <w:rsid w:val="005F0E22"/>
    <w:rsid w:val="005F1547"/>
    <w:rsid w:val="005F1604"/>
    <w:rsid w:val="005F24F4"/>
    <w:rsid w:val="005F2903"/>
    <w:rsid w:val="005F31D7"/>
    <w:rsid w:val="005F3AA3"/>
    <w:rsid w:val="005F537F"/>
    <w:rsid w:val="005F5931"/>
    <w:rsid w:val="005F7D07"/>
    <w:rsid w:val="0060020D"/>
    <w:rsid w:val="00602794"/>
    <w:rsid w:val="00602CF4"/>
    <w:rsid w:val="00604135"/>
    <w:rsid w:val="006058CB"/>
    <w:rsid w:val="00605AFB"/>
    <w:rsid w:val="0060733C"/>
    <w:rsid w:val="00607C36"/>
    <w:rsid w:val="0061140B"/>
    <w:rsid w:val="00613453"/>
    <w:rsid w:val="0061470B"/>
    <w:rsid w:val="00614908"/>
    <w:rsid w:val="00615029"/>
    <w:rsid w:val="00616593"/>
    <w:rsid w:val="00616AE1"/>
    <w:rsid w:val="00617F6B"/>
    <w:rsid w:val="0062067C"/>
    <w:rsid w:val="006214AD"/>
    <w:rsid w:val="0062541F"/>
    <w:rsid w:val="00625863"/>
    <w:rsid w:val="006260E5"/>
    <w:rsid w:val="0062683F"/>
    <w:rsid w:val="00627B69"/>
    <w:rsid w:val="00633754"/>
    <w:rsid w:val="006348F4"/>
    <w:rsid w:val="006358BE"/>
    <w:rsid w:val="00635B89"/>
    <w:rsid w:val="00635E85"/>
    <w:rsid w:val="00636C4C"/>
    <w:rsid w:val="00636E4B"/>
    <w:rsid w:val="006371FF"/>
    <w:rsid w:val="00643DD9"/>
    <w:rsid w:val="00644A75"/>
    <w:rsid w:val="006452B6"/>
    <w:rsid w:val="00645B41"/>
    <w:rsid w:val="006472A0"/>
    <w:rsid w:val="00651287"/>
    <w:rsid w:val="00651512"/>
    <w:rsid w:val="00653665"/>
    <w:rsid w:val="00653E27"/>
    <w:rsid w:val="00654956"/>
    <w:rsid w:val="00654DE7"/>
    <w:rsid w:val="0065533C"/>
    <w:rsid w:val="00656340"/>
    <w:rsid w:val="00656A9D"/>
    <w:rsid w:val="00656F5E"/>
    <w:rsid w:val="00660D19"/>
    <w:rsid w:val="00662CBC"/>
    <w:rsid w:val="0066449E"/>
    <w:rsid w:val="0067038D"/>
    <w:rsid w:val="00671A6A"/>
    <w:rsid w:val="00673F0C"/>
    <w:rsid w:val="00676223"/>
    <w:rsid w:val="00676A38"/>
    <w:rsid w:val="00680098"/>
    <w:rsid w:val="00680333"/>
    <w:rsid w:val="00680957"/>
    <w:rsid w:val="006821CE"/>
    <w:rsid w:val="00682CFC"/>
    <w:rsid w:val="00683B13"/>
    <w:rsid w:val="00686325"/>
    <w:rsid w:val="00686EC4"/>
    <w:rsid w:val="00687063"/>
    <w:rsid w:val="00687C14"/>
    <w:rsid w:val="00690E37"/>
    <w:rsid w:val="00691425"/>
    <w:rsid w:val="006955A5"/>
    <w:rsid w:val="00695E17"/>
    <w:rsid w:val="00696763"/>
    <w:rsid w:val="0069734A"/>
    <w:rsid w:val="006A139A"/>
    <w:rsid w:val="006A1939"/>
    <w:rsid w:val="006A303A"/>
    <w:rsid w:val="006A45A4"/>
    <w:rsid w:val="006A5C3E"/>
    <w:rsid w:val="006A5CC0"/>
    <w:rsid w:val="006A5DF0"/>
    <w:rsid w:val="006B0367"/>
    <w:rsid w:val="006B06E6"/>
    <w:rsid w:val="006B147C"/>
    <w:rsid w:val="006B1E00"/>
    <w:rsid w:val="006B202A"/>
    <w:rsid w:val="006B3AD9"/>
    <w:rsid w:val="006B3E3B"/>
    <w:rsid w:val="006B4199"/>
    <w:rsid w:val="006B4802"/>
    <w:rsid w:val="006B5097"/>
    <w:rsid w:val="006B5516"/>
    <w:rsid w:val="006B5D36"/>
    <w:rsid w:val="006B7A09"/>
    <w:rsid w:val="006C42CE"/>
    <w:rsid w:val="006C4DE9"/>
    <w:rsid w:val="006C5486"/>
    <w:rsid w:val="006C592D"/>
    <w:rsid w:val="006C5D93"/>
    <w:rsid w:val="006C74B3"/>
    <w:rsid w:val="006D096A"/>
    <w:rsid w:val="006D209C"/>
    <w:rsid w:val="006D3791"/>
    <w:rsid w:val="006D45C7"/>
    <w:rsid w:val="006D465F"/>
    <w:rsid w:val="006D46A6"/>
    <w:rsid w:val="006D4B56"/>
    <w:rsid w:val="006D7209"/>
    <w:rsid w:val="006D7EFF"/>
    <w:rsid w:val="006E11C9"/>
    <w:rsid w:val="006E31AE"/>
    <w:rsid w:val="006E4984"/>
    <w:rsid w:val="006E5E71"/>
    <w:rsid w:val="006E7EFC"/>
    <w:rsid w:val="006F0A6C"/>
    <w:rsid w:val="006F32BF"/>
    <w:rsid w:val="006F3567"/>
    <w:rsid w:val="006F38A2"/>
    <w:rsid w:val="006F38F6"/>
    <w:rsid w:val="006F3989"/>
    <w:rsid w:val="006F4219"/>
    <w:rsid w:val="006F55D6"/>
    <w:rsid w:val="006F575A"/>
    <w:rsid w:val="00700449"/>
    <w:rsid w:val="00700A73"/>
    <w:rsid w:val="00700F46"/>
    <w:rsid w:val="007015E9"/>
    <w:rsid w:val="00702A10"/>
    <w:rsid w:val="0070484E"/>
    <w:rsid w:val="00704ED8"/>
    <w:rsid w:val="0070601C"/>
    <w:rsid w:val="00707008"/>
    <w:rsid w:val="00710993"/>
    <w:rsid w:val="007125C7"/>
    <w:rsid w:val="00712884"/>
    <w:rsid w:val="00713C6D"/>
    <w:rsid w:val="00714D9B"/>
    <w:rsid w:val="00715090"/>
    <w:rsid w:val="00715379"/>
    <w:rsid w:val="0071587A"/>
    <w:rsid w:val="007159EB"/>
    <w:rsid w:val="007160E0"/>
    <w:rsid w:val="00716E3F"/>
    <w:rsid w:val="00717DE7"/>
    <w:rsid w:val="00720629"/>
    <w:rsid w:val="00720B16"/>
    <w:rsid w:val="007219C5"/>
    <w:rsid w:val="00721B5C"/>
    <w:rsid w:val="007223FC"/>
    <w:rsid w:val="00723E51"/>
    <w:rsid w:val="00725B78"/>
    <w:rsid w:val="00725F23"/>
    <w:rsid w:val="007267EB"/>
    <w:rsid w:val="0072737A"/>
    <w:rsid w:val="00730159"/>
    <w:rsid w:val="00730C0D"/>
    <w:rsid w:val="0073129C"/>
    <w:rsid w:val="00731C60"/>
    <w:rsid w:val="00731D68"/>
    <w:rsid w:val="007339DB"/>
    <w:rsid w:val="00735608"/>
    <w:rsid w:val="007356FC"/>
    <w:rsid w:val="00735CE3"/>
    <w:rsid w:val="00736DD5"/>
    <w:rsid w:val="0074101E"/>
    <w:rsid w:val="0074150A"/>
    <w:rsid w:val="00741FEC"/>
    <w:rsid w:val="007433D3"/>
    <w:rsid w:val="00743A86"/>
    <w:rsid w:val="00743F1B"/>
    <w:rsid w:val="00743F6E"/>
    <w:rsid w:val="0074430F"/>
    <w:rsid w:val="007448B9"/>
    <w:rsid w:val="007468E9"/>
    <w:rsid w:val="00746BED"/>
    <w:rsid w:val="00747D71"/>
    <w:rsid w:val="00750288"/>
    <w:rsid w:val="00751BF1"/>
    <w:rsid w:val="007537F1"/>
    <w:rsid w:val="007545CD"/>
    <w:rsid w:val="007549E4"/>
    <w:rsid w:val="00755E18"/>
    <w:rsid w:val="00756643"/>
    <w:rsid w:val="007567FF"/>
    <w:rsid w:val="00756DA9"/>
    <w:rsid w:val="0075794D"/>
    <w:rsid w:val="007608C8"/>
    <w:rsid w:val="00761696"/>
    <w:rsid w:val="007616B5"/>
    <w:rsid w:val="00761834"/>
    <w:rsid w:val="00761D56"/>
    <w:rsid w:val="007620D8"/>
    <w:rsid w:val="007631A8"/>
    <w:rsid w:val="0076420A"/>
    <w:rsid w:val="0076492F"/>
    <w:rsid w:val="0076493D"/>
    <w:rsid w:val="00764D0F"/>
    <w:rsid w:val="00764ED5"/>
    <w:rsid w:val="007665AE"/>
    <w:rsid w:val="007665E7"/>
    <w:rsid w:val="00766AE8"/>
    <w:rsid w:val="00767809"/>
    <w:rsid w:val="00773845"/>
    <w:rsid w:val="007745B6"/>
    <w:rsid w:val="0077605D"/>
    <w:rsid w:val="0077746C"/>
    <w:rsid w:val="007806D6"/>
    <w:rsid w:val="00780896"/>
    <w:rsid w:val="00780E48"/>
    <w:rsid w:val="00780FF2"/>
    <w:rsid w:val="007815A1"/>
    <w:rsid w:val="00783BF6"/>
    <w:rsid w:val="00784BA7"/>
    <w:rsid w:val="0078501F"/>
    <w:rsid w:val="00785229"/>
    <w:rsid w:val="0079186B"/>
    <w:rsid w:val="007919EE"/>
    <w:rsid w:val="0079267C"/>
    <w:rsid w:val="00792A9A"/>
    <w:rsid w:val="00792B29"/>
    <w:rsid w:val="00793312"/>
    <w:rsid w:val="0079391A"/>
    <w:rsid w:val="007943E6"/>
    <w:rsid w:val="00794B5C"/>
    <w:rsid w:val="00794C7A"/>
    <w:rsid w:val="00796A9E"/>
    <w:rsid w:val="00796D05"/>
    <w:rsid w:val="00797687"/>
    <w:rsid w:val="007A0BE3"/>
    <w:rsid w:val="007A25AF"/>
    <w:rsid w:val="007A2AE9"/>
    <w:rsid w:val="007A2DEB"/>
    <w:rsid w:val="007A30A5"/>
    <w:rsid w:val="007A568E"/>
    <w:rsid w:val="007A5FB9"/>
    <w:rsid w:val="007A651C"/>
    <w:rsid w:val="007A664A"/>
    <w:rsid w:val="007A6E4F"/>
    <w:rsid w:val="007A70C6"/>
    <w:rsid w:val="007A7382"/>
    <w:rsid w:val="007A7FF2"/>
    <w:rsid w:val="007B11D0"/>
    <w:rsid w:val="007B189F"/>
    <w:rsid w:val="007B1CB5"/>
    <w:rsid w:val="007B27E9"/>
    <w:rsid w:val="007B2987"/>
    <w:rsid w:val="007B39E1"/>
    <w:rsid w:val="007B6A8F"/>
    <w:rsid w:val="007B70D3"/>
    <w:rsid w:val="007B7D10"/>
    <w:rsid w:val="007C1116"/>
    <w:rsid w:val="007C12D9"/>
    <w:rsid w:val="007C3AA6"/>
    <w:rsid w:val="007C4B93"/>
    <w:rsid w:val="007C4EF2"/>
    <w:rsid w:val="007C55D4"/>
    <w:rsid w:val="007D093F"/>
    <w:rsid w:val="007D0BE8"/>
    <w:rsid w:val="007D0D6D"/>
    <w:rsid w:val="007D283E"/>
    <w:rsid w:val="007D36CA"/>
    <w:rsid w:val="007D4C02"/>
    <w:rsid w:val="007D5920"/>
    <w:rsid w:val="007D6496"/>
    <w:rsid w:val="007D6731"/>
    <w:rsid w:val="007D6837"/>
    <w:rsid w:val="007D7001"/>
    <w:rsid w:val="007D782F"/>
    <w:rsid w:val="007D7E87"/>
    <w:rsid w:val="007E0FEC"/>
    <w:rsid w:val="007E1666"/>
    <w:rsid w:val="007E1ECC"/>
    <w:rsid w:val="007E2A09"/>
    <w:rsid w:val="007E40DD"/>
    <w:rsid w:val="007E4D5F"/>
    <w:rsid w:val="007E52BF"/>
    <w:rsid w:val="007E554E"/>
    <w:rsid w:val="007E594F"/>
    <w:rsid w:val="007E5A59"/>
    <w:rsid w:val="007E71DB"/>
    <w:rsid w:val="007E7C73"/>
    <w:rsid w:val="007F0225"/>
    <w:rsid w:val="007F0AC8"/>
    <w:rsid w:val="007F10CE"/>
    <w:rsid w:val="007F167C"/>
    <w:rsid w:val="007F2066"/>
    <w:rsid w:val="007F2B93"/>
    <w:rsid w:val="007F4005"/>
    <w:rsid w:val="007F64E9"/>
    <w:rsid w:val="007F7D89"/>
    <w:rsid w:val="007F7EFE"/>
    <w:rsid w:val="007F7F51"/>
    <w:rsid w:val="0080100B"/>
    <w:rsid w:val="008014A8"/>
    <w:rsid w:val="00801BBC"/>
    <w:rsid w:val="00802320"/>
    <w:rsid w:val="00802684"/>
    <w:rsid w:val="00804380"/>
    <w:rsid w:val="00804490"/>
    <w:rsid w:val="00806655"/>
    <w:rsid w:val="008066E5"/>
    <w:rsid w:val="00806B2A"/>
    <w:rsid w:val="0080705A"/>
    <w:rsid w:val="008071EA"/>
    <w:rsid w:val="00810DA4"/>
    <w:rsid w:val="00813597"/>
    <w:rsid w:val="00813D3B"/>
    <w:rsid w:val="00814A29"/>
    <w:rsid w:val="00823846"/>
    <w:rsid w:val="008259B8"/>
    <w:rsid w:val="00825ADA"/>
    <w:rsid w:val="00825DEA"/>
    <w:rsid w:val="0082667C"/>
    <w:rsid w:val="008266E5"/>
    <w:rsid w:val="008269BB"/>
    <w:rsid w:val="00827362"/>
    <w:rsid w:val="008279A8"/>
    <w:rsid w:val="00827CE5"/>
    <w:rsid w:val="00827E59"/>
    <w:rsid w:val="0083160C"/>
    <w:rsid w:val="00832787"/>
    <w:rsid w:val="0083338A"/>
    <w:rsid w:val="00833923"/>
    <w:rsid w:val="0083465D"/>
    <w:rsid w:val="00834CDA"/>
    <w:rsid w:val="0083532F"/>
    <w:rsid w:val="008362EF"/>
    <w:rsid w:val="008367C0"/>
    <w:rsid w:val="00840F68"/>
    <w:rsid w:val="00843EBB"/>
    <w:rsid w:val="008443EB"/>
    <w:rsid w:val="00844E1C"/>
    <w:rsid w:val="00845002"/>
    <w:rsid w:val="008465EC"/>
    <w:rsid w:val="00847A9C"/>
    <w:rsid w:val="008528BA"/>
    <w:rsid w:val="00853C7D"/>
    <w:rsid w:val="00854421"/>
    <w:rsid w:val="00855674"/>
    <w:rsid w:val="00855C9D"/>
    <w:rsid w:val="008611EC"/>
    <w:rsid w:val="0086291A"/>
    <w:rsid w:val="00862D4F"/>
    <w:rsid w:val="00867BD0"/>
    <w:rsid w:val="00870112"/>
    <w:rsid w:val="00871456"/>
    <w:rsid w:val="00871856"/>
    <w:rsid w:val="00872ABA"/>
    <w:rsid w:val="00872FCE"/>
    <w:rsid w:val="00873D82"/>
    <w:rsid w:val="00874290"/>
    <w:rsid w:val="00874D57"/>
    <w:rsid w:val="00874EBD"/>
    <w:rsid w:val="008750A3"/>
    <w:rsid w:val="008761FC"/>
    <w:rsid w:val="00877D2F"/>
    <w:rsid w:val="008800C1"/>
    <w:rsid w:val="0088062E"/>
    <w:rsid w:val="00881137"/>
    <w:rsid w:val="00882559"/>
    <w:rsid w:val="00882933"/>
    <w:rsid w:val="00883A75"/>
    <w:rsid w:val="00883F98"/>
    <w:rsid w:val="00884396"/>
    <w:rsid w:val="008843FC"/>
    <w:rsid w:val="00885E0F"/>
    <w:rsid w:val="008862BD"/>
    <w:rsid w:val="008863E8"/>
    <w:rsid w:val="00886400"/>
    <w:rsid w:val="008917E7"/>
    <w:rsid w:val="008941BE"/>
    <w:rsid w:val="008947CF"/>
    <w:rsid w:val="008962E9"/>
    <w:rsid w:val="0089642E"/>
    <w:rsid w:val="0089653C"/>
    <w:rsid w:val="00896CA9"/>
    <w:rsid w:val="008A0D19"/>
    <w:rsid w:val="008A0DE6"/>
    <w:rsid w:val="008A1FF5"/>
    <w:rsid w:val="008A233D"/>
    <w:rsid w:val="008A237E"/>
    <w:rsid w:val="008A3BD1"/>
    <w:rsid w:val="008A447D"/>
    <w:rsid w:val="008A4AF5"/>
    <w:rsid w:val="008A4EFA"/>
    <w:rsid w:val="008A62A5"/>
    <w:rsid w:val="008A791B"/>
    <w:rsid w:val="008A7E2E"/>
    <w:rsid w:val="008B0488"/>
    <w:rsid w:val="008B3124"/>
    <w:rsid w:val="008B3B4B"/>
    <w:rsid w:val="008B5749"/>
    <w:rsid w:val="008B6744"/>
    <w:rsid w:val="008B72A5"/>
    <w:rsid w:val="008B7762"/>
    <w:rsid w:val="008C0421"/>
    <w:rsid w:val="008C0B42"/>
    <w:rsid w:val="008C1918"/>
    <w:rsid w:val="008C1A51"/>
    <w:rsid w:val="008C2A4A"/>
    <w:rsid w:val="008C2F29"/>
    <w:rsid w:val="008C4AD0"/>
    <w:rsid w:val="008C6B30"/>
    <w:rsid w:val="008C7E4D"/>
    <w:rsid w:val="008D087D"/>
    <w:rsid w:val="008D3033"/>
    <w:rsid w:val="008D493B"/>
    <w:rsid w:val="008D4A7C"/>
    <w:rsid w:val="008D51DA"/>
    <w:rsid w:val="008D53A9"/>
    <w:rsid w:val="008D5615"/>
    <w:rsid w:val="008D5F0D"/>
    <w:rsid w:val="008D683A"/>
    <w:rsid w:val="008D6F1D"/>
    <w:rsid w:val="008E0359"/>
    <w:rsid w:val="008E0805"/>
    <w:rsid w:val="008E0FFB"/>
    <w:rsid w:val="008E25B1"/>
    <w:rsid w:val="008E2B4D"/>
    <w:rsid w:val="008E3094"/>
    <w:rsid w:val="008E3295"/>
    <w:rsid w:val="008E55EA"/>
    <w:rsid w:val="008E5926"/>
    <w:rsid w:val="008E75C5"/>
    <w:rsid w:val="008E7887"/>
    <w:rsid w:val="008E7E6E"/>
    <w:rsid w:val="008F1194"/>
    <w:rsid w:val="008F1884"/>
    <w:rsid w:val="008F1AD8"/>
    <w:rsid w:val="008F237A"/>
    <w:rsid w:val="008F2796"/>
    <w:rsid w:val="008F34D3"/>
    <w:rsid w:val="008F63EB"/>
    <w:rsid w:val="008F6A2F"/>
    <w:rsid w:val="008F6B5E"/>
    <w:rsid w:val="008F755E"/>
    <w:rsid w:val="008F79D0"/>
    <w:rsid w:val="009008B1"/>
    <w:rsid w:val="00901DB3"/>
    <w:rsid w:val="00902015"/>
    <w:rsid w:val="00903531"/>
    <w:rsid w:val="00904A65"/>
    <w:rsid w:val="00905793"/>
    <w:rsid w:val="00907263"/>
    <w:rsid w:val="009073CE"/>
    <w:rsid w:val="00910C58"/>
    <w:rsid w:val="009123F6"/>
    <w:rsid w:val="00913E2A"/>
    <w:rsid w:val="0091468D"/>
    <w:rsid w:val="0091475E"/>
    <w:rsid w:val="00914F38"/>
    <w:rsid w:val="009163B6"/>
    <w:rsid w:val="00916B61"/>
    <w:rsid w:val="00917ED2"/>
    <w:rsid w:val="00917F42"/>
    <w:rsid w:val="009205E3"/>
    <w:rsid w:val="009217A9"/>
    <w:rsid w:val="00922F29"/>
    <w:rsid w:val="009231E6"/>
    <w:rsid w:val="00924303"/>
    <w:rsid w:val="00924926"/>
    <w:rsid w:val="00924ED9"/>
    <w:rsid w:val="0092594C"/>
    <w:rsid w:val="00926954"/>
    <w:rsid w:val="009277E9"/>
    <w:rsid w:val="00927A03"/>
    <w:rsid w:val="0093042C"/>
    <w:rsid w:val="00931316"/>
    <w:rsid w:val="009315B3"/>
    <w:rsid w:val="00933086"/>
    <w:rsid w:val="00933611"/>
    <w:rsid w:val="0093478E"/>
    <w:rsid w:val="00934A0F"/>
    <w:rsid w:val="00934ABD"/>
    <w:rsid w:val="00934FDD"/>
    <w:rsid w:val="009364C0"/>
    <w:rsid w:val="00937ED6"/>
    <w:rsid w:val="00940452"/>
    <w:rsid w:val="009406E7"/>
    <w:rsid w:val="00940B04"/>
    <w:rsid w:val="00944575"/>
    <w:rsid w:val="00944AB3"/>
    <w:rsid w:val="009465F6"/>
    <w:rsid w:val="009469A2"/>
    <w:rsid w:val="00950141"/>
    <w:rsid w:val="00950FC7"/>
    <w:rsid w:val="00951D07"/>
    <w:rsid w:val="00952A3E"/>
    <w:rsid w:val="00953FB3"/>
    <w:rsid w:val="0095455D"/>
    <w:rsid w:val="0095482D"/>
    <w:rsid w:val="009563AA"/>
    <w:rsid w:val="00957BED"/>
    <w:rsid w:val="0096004E"/>
    <w:rsid w:val="009623A4"/>
    <w:rsid w:val="00962AE7"/>
    <w:rsid w:val="00963229"/>
    <w:rsid w:val="0096515A"/>
    <w:rsid w:val="0096573E"/>
    <w:rsid w:val="00965C79"/>
    <w:rsid w:val="009662F5"/>
    <w:rsid w:val="00966601"/>
    <w:rsid w:val="00967094"/>
    <w:rsid w:val="00970079"/>
    <w:rsid w:val="009700A9"/>
    <w:rsid w:val="00970A79"/>
    <w:rsid w:val="00973C9C"/>
    <w:rsid w:val="009752BD"/>
    <w:rsid w:val="009758CF"/>
    <w:rsid w:val="00976C9C"/>
    <w:rsid w:val="00976CF4"/>
    <w:rsid w:val="009835C4"/>
    <w:rsid w:val="00983B0F"/>
    <w:rsid w:val="00984E05"/>
    <w:rsid w:val="00985554"/>
    <w:rsid w:val="00985A65"/>
    <w:rsid w:val="0098672A"/>
    <w:rsid w:val="00987830"/>
    <w:rsid w:val="00990141"/>
    <w:rsid w:val="00990D6F"/>
    <w:rsid w:val="0099131F"/>
    <w:rsid w:val="0099157D"/>
    <w:rsid w:val="00993A67"/>
    <w:rsid w:val="00994D7F"/>
    <w:rsid w:val="009962A0"/>
    <w:rsid w:val="0099644E"/>
    <w:rsid w:val="00996F8C"/>
    <w:rsid w:val="009A0627"/>
    <w:rsid w:val="009A44CB"/>
    <w:rsid w:val="009A454D"/>
    <w:rsid w:val="009A472B"/>
    <w:rsid w:val="009A5C14"/>
    <w:rsid w:val="009A5EC8"/>
    <w:rsid w:val="009A6141"/>
    <w:rsid w:val="009A750A"/>
    <w:rsid w:val="009A7763"/>
    <w:rsid w:val="009A7A9E"/>
    <w:rsid w:val="009A7B95"/>
    <w:rsid w:val="009B05E8"/>
    <w:rsid w:val="009B05F1"/>
    <w:rsid w:val="009B126C"/>
    <w:rsid w:val="009B19B4"/>
    <w:rsid w:val="009B2CF2"/>
    <w:rsid w:val="009B3751"/>
    <w:rsid w:val="009B45E7"/>
    <w:rsid w:val="009B493A"/>
    <w:rsid w:val="009B4DE3"/>
    <w:rsid w:val="009B537A"/>
    <w:rsid w:val="009B62CB"/>
    <w:rsid w:val="009B6612"/>
    <w:rsid w:val="009B6A55"/>
    <w:rsid w:val="009B751A"/>
    <w:rsid w:val="009C158C"/>
    <w:rsid w:val="009C196E"/>
    <w:rsid w:val="009C2F04"/>
    <w:rsid w:val="009C3B52"/>
    <w:rsid w:val="009C4A6F"/>
    <w:rsid w:val="009C55F9"/>
    <w:rsid w:val="009C6025"/>
    <w:rsid w:val="009C7197"/>
    <w:rsid w:val="009D161B"/>
    <w:rsid w:val="009D18A0"/>
    <w:rsid w:val="009D1EF0"/>
    <w:rsid w:val="009D478F"/>
    <w:rsid w:val="009D479C"/>
    <w:rsid w:val="009D5125"/>
    <w:rsid w:val="009D545D"/>
    <w:rsid w:val="009D6126"/>
    <w:rsid w:val="009D705F"/>
    <w:rsid w:val="009D707E"/>
    <w:rsid w:val="009D7772"/>
    <w:rsid w:val="009D7E79"/>
    <w:rsid w:val="009E1143"/>
    <w:rsid w:val="009E165F"/>
    <w:rsid w:val="009E26F3"/>
    <w:rsid w:val="009E2925"/>
    <w:rsid w:val="009E409E"/>
    <w:rsid w:val="009E4C22"/>
    <w:rsid w:val="009E63C4"/>
    <w:rsid w:val="009E7131"/>
    <w:rsid w:val="009F0065"/>
    <w:rsid w:val="009F0651"/>
    <w:rsid w:val="009F0908"/>
    <w:rsid w:val="009F1BCB"/>
    <w:rsid w:val="009F2488"/>
    <w:rsid w:val="009F3305"/>
    <w:rsid w:val="009F3650"/>
    <w:rsid w:val="009F6E81"/>
    <w:rsid w:val="009F7321"/>
    <w:rsid w:val="00A00194"/>
    <w:rsid w:val="00A001C6"/>
    <w:rsid w:val="00A00244"/>
    <w:rsid w:val="00A02BF2"/>
    <w:rsid w:val="00A031F9"/>
    <w:rsid w:val="00A03BD6"/>
    <w:rsid w:val="00A05A0B"/>
    <w:rsid w:val="00A05E0C"/>
    <w:rsid w:val="00A10C32"/>
    <w:rsid w:val="00A12FE6"/>
    <w:rsid w:val="00A14944"/>
    <w:rsid w:val="00A1714E"/>
    <w:rsid w:val="00A2017E"/>
    <w:rsid w:val="00A2337E"/>
    <w:rsid w:val="00A24A28"/>
    <w:rsid w:val="00A24B21"/>
    <w:rsid w:val="00A24FA6"/>
    <w:rsid w:val="00A253E4"/>
    <w:rsid w:val="00A2547A"/>
    <w:rsid w:val="00A261BA"/>
    <w:rsid w:val="00A27C2D"/>
    <w:rsid w:val="00A33A71"/>
    <w:rsid w:val="00A33CBD"/>
    <w:rsid w:val="00A343D4"/>
    <w:rsid w:val="00A403A8"/>
    <w:rsid w:val="00A404B2"/>
    <w:rsid w:val="00A406D2"/>
    <w:rsid w:val="00A41764"/>
    <w:rsid w:val="00A41901"/>
    <w:rsid w:val="00A41B44"/>
    <w:rsid w:val="00A41C86"/>
    <w:rsid w:val="00A428F3"/>
    <w:rsid w:val="00A42F93"/>
    <w:rsid w:val="00A44630"/>
    <w:rsid w:val="00A446D4"/>
    <w:rsid w:val="00A44AC4"/>
    <w:rsid w:val="00A4582E"/>
    <w:rsid w:val="00A466C5"/>
    <w:rsid w:val="00A472C5"/>
    <w:rsid w:val="00A50CD1"/>
    <w:rsid w:val="00A513F1"/>
    <w:rsid w:val="00A528CC"/>
    <w:rsid w:val="00A52EF0"/>
    <w:rsid w:val="00A53DF9"/>
    <w:rsid w:val="00A5472F"/>
    <w:rsid w:val="00A54C4F"/>
    <w:rsid w:val="00A560DE"/>
    <w:rsid w:val="00A565E9"/>
    <w:rsid w:val="00A56F02"/>
    <w:rsid w:val="00A57FD5"/>
    <w:rsid w:val="00A60463"/>
    <w:rsid w:val="00A60D31"/>
    <w:rsid w:val="00A61A8A"/>
    <w:rsid w:val="00A61B87"/>
    <w:rsid w:val="00A62028"/>
    <w:rsid w:val="00A628D7"/>
    <w:rsid w:val="00A6320B"/>
    <w:rsid w:val="00A6444C"/>
    <w:rsid w:val="00A64491"/>
    <w:rsid w:val="00A65141"/>
    <w:rsid w:val="00A66485"/>
    <w:rsid w:val="00A66DA4"/>
    <w:rsid w:val="00A71874"/>
    <w:rsid w:val="00A74126"/>
    <w:rsid w:val="00A7441C"/>
    <w:rsid w:val="00A75036"/>
    <w:rsid w:val="00A7606A"/>
    <w:rsid w:val="00A7702A"/>
    <w:rsid w:val="00A80332"/>
    <w:rsid w:val="00A80AA1"/>
    <w:rsid w:val="00A80D18"/>
    <w:rsid w:val="00A82149"/>
    <w:rsid w:val="00A8228B"/>
    <w:rsid w:val="00A82C28"/>
    <w:rsid w:val="00A84413"/>
    <w:rsid w:val="00A85069"/>
    <w:rsid w:val="00A851D3"/>
    <w:rsid w:val="00A85C99"/>
    <w:rsid w:val="00A85E2E"/>
    <w:rsid w:val="00A86059"/>
    <w:rsid w:val="00A8682A"/>
    <w:rsid w:val="00A87275"/>
    <w:rsid w:val="00A877EA"/>
    <w:rsid w:val="00A90434"/>
    <w:rsid w:val="00A90848"/>
    <w:rsid w:val="00A90ADF"/>
    <w:rsid w:val="00A90D5D"/>
    <w:rsid w:val="00A919A8"/>
    <w:rsid w:val="00A94817"/>
    <w:rsid w:val="00A95E04"/>
    <w:rsid w:val="00A9702D"/>
    <w:rsid w:val="00AA09CE"/>
    <w:rsid w:val="00AA109A"/>
    <w:rsid w:val="00AA184D"/>
    <w:rsid w:val="00AA21D4"/>
    <w:rsid w:val="00AA3ADF"/>
    <w:rsid w:val="00AA4945"/>
    <w:rsid w:val="00AA4E30"/>
    <w:rsid w:val="00AA4F18"/>
    <w:rsid w:val="00AA7490"/>
    <w:rsid w:val="00AA7EB9"/>
    <w:rsid w:val="00AB0321"/>
    <w:rsid w:val="00AB21EA"/>
    <w:rsid w:val="00AB29DA"/>
    <w:rsid w:val="00AB2D5C"/>
    <w:rsid w:val="00AB30C4"/>
    <w:rsid w:val="00AB38FC"/>
    <w:rsid w:val="00AB3BFD"/>
    <w:rsid w:val="00AB4582"/>
    <w:rsid w:val="00AB4664"/>
    <w:rsid w:val="00AB51C0"/>
    <w:rsid w:val="00AB538D"/>
    <w:rsid w:val="00AB70F7"/>
    <w:rsid w:val="00AC078F"/>
    <w:rsid w:val="00AC12F5"/>
    <w:rsid w:val="00AC2A9D"/>
    <w:rsid w:val="00AC56CE"/>
    <w:rsid w:val="00AC59CF"/>
    <w:rsid w:val="00AC604F"/>
    <w:rsid w:val="00AC71B2"/>
    <w:rsid w:val="00AC79C0"/>
    <w:rsid w:val="00AC7EE4"/>
    <w:rsid w:val="00AD240B"/>
    <w:rsid w:val="00AD2F15"/>
    <w:rsid w:val="00AD34FD"/>
    <w:rsid w:val="00AD4224"/>
    <w:rsid w:val="00AD4E75"/>
    <w:rsid w:val="00AD5D5A"/>
    <w:rsid w:val="00AD6DC7"/>
    <w:rsid w:val="00AD74C8"/>
    <w:rsid w:val="00AE047F"/>
    <w:rsid w:val="00AE3181"/>
    <w:rsid w:val="00AE357C"/>
    <w:rsid w:val="00AE3F94"/>
    <w:rsid w:val="00AE6795"/>
    <w:rsid w:val="00AE6CB3"/>
    <w:rsid w:val="00AE6ED6"/>
    <w:rsid w:val="00AE7EDF"/>
    <w:rsid w:val="00AF07F9"/>
    <w:rsid w:val="00AF165B"/>
    <w:rsid w:val="00AF16C9"/>
    <w:rsid w:val="00AF3257"/>
    <w:rsid w:val="00AF4186"/>
    <w:rsid w:val="00AF4323"/>
    <w:rsid w:val="00AF4AF8"/>
    <w:rsid w:val="00AF59DA"/>
    <w:rsid w:val="00B006E7"/>
    <w:rsid w:val="00B01969"/>
    <w:rsid w:val="00B02FCB"/>
    <w:rsid w:val="00B04BED"/>
    <w:rsid w:val="00B07347"/>
    <w:rsid w:val="00B10470"/>
    <w:rsid w:val="00B10AEC"/>
    <w:rsid w:val="00B11E89"/>
    <w:rsid w:val="00B12515"/>
    <w:rsid w:val="00B1367C"/>
    <w:rsid w:val="00B14BD4"/>
    <w:rsid w:val="00B16963"/>
    <w:rsid w:val="00B1774E"/>
    <w:rsid w:val="00B2034E"/>
    <w:rsid w:val="00B2044E"/>
    <w:rsid w:val="00B21DE8"/>
    <w:rsid w:val="00B234B3"/>
    <w:rsid w:val="00B24FA2"/>
    <w:rsid w:val="00B25E60"/>
    <w:rsid w:val="00B26121"/>
    <w:rsid w:val="00B27C22"/>
    <w:rsid w:val="00B27D31"/>
    <w:rsid w:val="00B30BB7"/>
    <w:rsid w:val="00B3130A"/>
    <w:rsid w:val="00B320FF"/>
    <w:rsid w:val="00B32385"/>
    <w:rsid w:val="00B32B9E"/>
    <w:rsid w:val="00B32FB1"/>
    <w:rsid w:val="00B350EC"/>
    <w:rsid w:val="00B35AFE"/>
    <w:rsid w:val="00B40329"/>
    <w:rsid w:val="00B40B8D"/>
    <w:rsid w:val="00B4103B"/>
    <w:rsid w:val="00B422E2"/>
    <w:rsid w:val="00B432A2"/>
    <w:rsid w:val="00B4416E"/>
    <w:rsid w:val="00B45440"/>
    <w:rsid w:val="00B4724A"/>
    <w:rsid w:val="00B5219A"/>
    <w:rsid w:val="00B53BE1"/>
    <w:rsid w:val="00B5466A"/>
    <w:rsid w:val="00B546E5"/>
    <w:rsid w:val="00B54E07"/>
    <w:rsid w:val="00B54EBB"/>
    <w:rsid w:val="00B565C8"/>
    <w:rsid w:val="00B575ED"/>
    <w:rsid w:val="00B57F78"/>
    <w:rsid w:val="00B62F9E"/>
    <w:rsid w:val="00B6326B"/>
    <w:rsid w:val="00B652B5"/>
    <w:rsid w:val="00B66F7A"/>
    <w:rsid w:val="00B67C43"/>
    <w:rsid w:val="00B67ED0"/>
    <w:rsid w:val="00B70E53"/>
    <w:rsid w:val="00B71451"/>
    <w:rsid w:val="00B74278"/>
    <w:rsid w:val="00B74705"/>
    <w:rsid w:val="00B74730"/>
    <w:rsid w:val="00B75149"/>
    <w:rsid w:val="00B773C5"/>
    <w:rsid w:val="00B80201"/>
    <w:rsid w:val="00B803D6"/>
    <w:rsid w:val="00B83257"/>
    <w:rsid w:val="00B83A93"/>
    <w:rsid w:val="00B83B89"/>
    <w:rsid w:val="00B903E3"/>
    <w:rsid w:val="00B90D97"/>
    <w:rsid w:val="00B911C2"/>
    <w:rsid w:val="00B91DF8"/>
    <w:rsid w:val="00B93396"/>
    <w:rsid w:val="00B95300"/>
    <w:rsid w:val="00B9543E"/>
    <w:rsid w:val="00B9594C"/>
    <w:rsid w:val="00B969CB"/>
    <w:rsid w:val="00B96F03"/>
    <w:rsid w:val="00B9734C"/>
    <w:rsid w:val="00BA0B05"/>
    <w:rsid w:val="00BA1C6F"/>
    <w:rsid w:val="00BA314C"/>
    <w:rsid w:val="00BA52F8"/>
    <w:rsid w:val="00BA6C1F"/>
    <w:rsid w:val="00BA6D21"/>
    <w:rsid w:val="00BB1BEE"/>
    <w:rsid w:val="00BB1E94"/>
    <w:rsid w:val="00BB57F4"/>
    <w:rsid w:val="00BB64DA"/>
    <w:rsid w:val="00BB667B"/>
    <w:rsid w:val="00BB7712"/>
    <w:rsid w:val="00BC1222"/>
    <w:rsid w:val="00BC177D"/>
    <w:rsid w:val="00BC1947"/>
    <w:rsid w:val="00BC1A41"/>
    <w:rsid w:val="00BC2114"/>
    <w:rsid w:val="00BC240F"/>
    <w:rsid w:val="00BC2908"/>
    <w:rsid w:val="00BC37A5"/>
    <w:rsid w:val="00BC3FC3"/>
    <w:rsid w:val="00BC5224"/>
    <w:rsid w:val="00BC6BAB"/>
    <w:rsid w:val="00BC6FDF"/>
    <w:rsid w:val="00BC7725"/>
    <w:rsid w:val="00BC7AE4"/>
    <w:rsid w:val="00BC7D79"/>
    <w:rsid w:val="00BD0075"/>
    <w:rsid w:val="00BD02DD"/>
    <w:rsid w:val="00BD09E2"/>
    <w:rsid w:val="00BD2C45"/>
    <w:rsid w:val="00BD4A4B"/>
    <w:rsid w:val="00BD4C27"/>
    <w:rsid w:val="00BD626E"/>
    <w:rsid w:val="00BD6E92"/>
    <w:rsid w:val="00BD74FA"/>
    <w:rsid w:val="00BD7A22"/>
    <w:rsid w:val="00BE05BB"/>
    <w:rsid w:val="00BE0F25"/>
    <w:rsid w:val="00BE207E"/>
    <w:rsid w:val="00BE274E"/>
    <w:rsid w:val="00BE2B1B"/>
    <w:rsid w:val="00BE336C"/>
    <w:rsid w:val="00BE4D2C"/>
    <w:rsid w:val="00BE5835"/>
    <w:rsid w:val="00BE7308"/>
    <w:rsid w:val="00BE74DF"/>
    <w:rsid w:val="00BE7988"/>
    <w:rsid w:val="00BE7F6B"/>
    <w:rsid w:val="00BF0382"/>
    <w:rsid w:val="00BF082E"/>
    <w:rsid w:val="00BF0FC4"/>
    <w:rsid w:val="00BF1E0A"/>
    <w:rsid w:val="00BF27E9"/>
    <w:rsid w:val="00BF4212"/>
    <w:rsid w:val="00BF6F76"/>
    <w:rsid w:val="00C02978"/>
    <w:rsid w:val="00C034A9"/>
    <w:rsid w:val="00C03859"/>
    <w:rsid w:val="00C03DBF"/>
    <w:rsid w:val="00C04FA0"/>
    <w:rsid w:val="00C05E01"/>
    <w:rsid w:val="00C05E42"/>
    <w:rsid w:val="00C06075"/>
    <w:rsid w:val="00C063F1"/>
    <w:rsid w:val="00C078BD"/>
    <w:rsid w:val="00C11AF5"/>
    <w:rsid w:val="00C13805"/>
    <w:rsid w:val="00C15CA6"/>
    <w:rsid w:val="00C16807"/>
    <w:rsid w:val="00C2025F"/>
    <w:rsid w:val="00C214FA"/>
    <w:rsid w:val="00C2167D"/>
    <w:rsid w:val="00C21BCC"/>
    <w:rsid w:val="00C228FA"/>
    <w:rsid w:val="00C23390"/>
    <w:rsid w:val="00C23C07"/>
    <w:rsid w:val="00C2403A"/>
    <w:rsid w:val="00C24CC2"/>
    <w:rsid w:val="00C260F7"/>
    <w:rsid w:val="00C2632E"/>
    <w:rsid w:val="00C266D3"/>
    <w:rsid w:val="00C266DA"/>
    <w:rsid w:val="00C26FE9"/>
    <w:rsid w:val="00C27941"/>
    <w:rsid w:val="00C27BD3"/>
    <w:rsid w:val="00C27D03"/>
    <w:rsid w:val="00C30D8F"/>
    <w:rsid w:val="00C31095"/>
    <w:rsid w:val="00C31607"/>
    <w:rsid w:val="00C32321"/>
    <w:rsid w:val="00C32332"/>
    <w:rsid w:val="00C349F0"/>
    <w:rsid w:val="00C34A1E"/>
    <w:rsid w:val="00C3720B"/>
    <w:rsid w:val="00C41423"/>
    <w:rsid w:val="00C41D5D"/>
    <w:rsid w:val="00C429A1"/>
    <w:rsid w:val="00C43335"/>
    <w:rsid w:val="00C4334F"/>
    <w:rsid w:val="00C4434A"/>
    <w:rsid w:val="00C44974"/>
    <w:rsid w:val="00C44E9E"/>
    <w:rsid w:val="00C46098"/>
    <w:rsid w:val="00C46439"/>
    <w:rsid w:val="00C46B32"/>
    <w:rsid w:val="00C47A26"/>
    <w:rsid w:val="00C50556"/>
    <w:rsid w:val="00C50E1F"/>
    <w:rsid w:val="00C516EC"/>
    <w:rsid w:val="00C53DC9"/>
    <w:rsid w:val="00C55526"/>
    <w:rsid w:val="00C569A6"/>
    <w:rsid w:val="00C571A9"/>
    <w:rsid w:val="00C57A73"/>
    <w:rsid w:val="00C615A7"/>
    <w:rsid w:val="00C616BF"/>
    <w:rsid w:val="00C62C5D"/>
    <w:rsid w:val="00C64873"/>
    <w:rsid w:val="00C65A0A"/>
    <w:rsid w:val="00C66628"/>
    <w:rsid w:val="00C6723F"/>
    <w:rsid w:val="00C67B39"/>
    <w:rsid w:val="00C734C0"/>
    <w:rsid w:val="00C73966"/>
    <w:rsid w:val="00C73C3D"/>
    <w:rsid w:val="00C7422F"/>
    <w:rsid w:val="00C751BF"/>
    <w:rsid w:val="00C7651A"/>
    <w:rsid w:val="00C77280"/>
    <w:rsid w:val="00C7772C"/>
    <w:rsid w:val="00C812AA"/>
    <w:rsid w:val="00C81AD1"/>
    <w:rsid w:val="00C83111"/>
    <w:rsid w:val="00C84265"/>
    <w:rsid w:val="00C84ED5"/>
    <w:rsid w:val="00C87250"/>
    <w:rsid w:val="00C9070B"/>
    <w:rsid w:val="00C941DC"/>
    <w:rsid w:val="00C94791"/>
    <w:rsid w:val="00C96465"/>
    <w:rsid w:val="00C96D0A"/>
    <w:rsid w:val="00C97EDB"/>
    <w:rsid w:val="00CA001B"/>
    <w:rsid w:val="00CA01AD"/>
    <w:rsid w:val="00CA0417"/>
    <w:rsid w:val="00CA0456"/>
    <w:rsid w:val="00CA0D73"/>
    <w:rsid w:val="00CA1A52"/>
    <w:rsid w:val="00CA2625"/>
    <w:rsid w:val="00CA2C90"/>
    <w:rsid w:val="00CA3024"/>
    <w:rsid w:val="00CA3E46"/>
    <w:rsid w:val="00CA485C"/>
    <w:rsid w:val="00CA5403"/>
    <w:rsid w:val="00CA5475"/>
    <w:rsid w:val="00CA69EC"/>
    <w:rsid w:val="00CA6FE3"/>
    <w:rsid w:val="00CA76CF"/>
    <w:rsid w:val="00CA7880"/>
    <w:rsid w:val="00CB1161"/>
    <w:rsid w:val="00CB19DA"/>
    <w:rsid w:val="00CB1BF5"/>
    <w:rsid w:val="00CB3AF4"/>
    <w:rsid w:val="00CB3F45"/>
    <w:rsid w:val="00CB40A0"/>
    <w:rsid w:val="00CB44F6"/>
    <w:rsid w:val="00CB51FF"/>
    <w:rsid w:val="00CB77CB"/>
    <w:rsid w:val="00CC0334"/>
    <w:rsid w:val="00CC1692"/>
    <w:rsid w:val="00CC1B8B"/>
    <w:rsid w:val="00CC1DF5"/>
    <w:rsid w:val="00CC3A59"/>
    <w:rsid w:val="00CC3B45"/>
    <w:rsid w:val="00CC4253"/>
    <w:rsid w:val="00CC444E"/>
    <w:rsid w:val="00CC4804"/>
    <w:rsid w:val="00CC5133"/>
    <w:rsid w:val="00CC5F27"/>
    <w:rsid w:val="00CC63FE"/>
    <w:rsid w:val="00CC7437"/>
    <w:rsid w:val="00CC7752"/>
    <w:rsid w:val="00CD16A3"/>
    <w:rsid w:val="00CD1841"/>
    <w:rsid w:val="00CD20E1"/>
    <w:rsid w:val="00CD3BBB"/>
    <w:rsid w:val="00CD3C54"/>
    <w:rsid w:val="00CD51EC"/>
    <w:rsid w:val="00CD6961"/>
    <w:rsid w:val="00CD7CC7"/>
    <w:rsid w:val="00CE081E"/>
    <w:rsid w:val="00CE08DD"/>
    <w:rsid w:val="00CE09F2"/>
    <w:rsid w:val="00CE2CDA"/>
    <w:rsid w:val="00CE3521"/>
    <w:rsid w:val="00CE3BC2"/>
    <w:rsid w:val="00CE4873"/>
    <w:rsid w:val="00CE5723"/>
    <w:rsid w:val="00CE57FF"/>
    <w:rsid w:val="00CE6ED8"/>
    <w:rsid w:val="00CE74C3"/>
    <w:rsid w:val="00CF0025"/>
    <w:rsid w:val="00CF0EFF"/>
    <w:rsid w:val="00CF1168"/>
    <w:rsid w:val="00CF1C88"/>
    <w:rsid w:val="00CF3FC7"/>
    <w:rsid w:val="00CF4077"/>
    <w:rsid w:val="00CF4841"/>
    <w:rsid w:val="00CF5493"/>
    <w:rsid w:val="00CF67D8"/>
    <w:rsid w:val="00CF694E"/>
    <w:rsid w:val="00CF6BF4"/>
    <w:rsid w:val="00CF77C7"/>
    <w:rsid w:val="00CF7DE9"/>
    <w:rsid w:val="00D01398"/>
    <w:rsid w:val="00D0189D"/>
    <w:rsid w:val="00D03B93"/>
    <w:rsid w:val="00D041B0"/>
    <w:rsid w:val="00D043DC"/>
    <w:rsid w:val="00D04528"/>
    <w:rsid w:val="00D04DD7"/>
    <w:rsid w:val="00D050BA"/>
    <w:rsid w:val="00D05E32"/>
    <w:rsid w:val="00D0640E"/>
    <w:rsid w:val="00D06FC6"/>
    <w:rsid w:val="00D106A3"/>
    <w:rsid w:val="00D11CE7"/>
    <w:rsid w:val="00D12281"/>
    <w:rsid w:val="00D13BE2"/>
    <w:rsid w:val="00D14D03"/>
    <w:rsid w:val="00D174F0"/>
    <w:rsid w:val="00D175B7"/>
    <w:rsid w:val="00D17707"/>
    <w:rsid w:val="00D26679"/>
    <w:rsid w:val="00D2772F"/>
    <w:rsid w:val="00D3020A"/>
    <w:rsid w:val="00D3079F"/>
    <w:rsid w:val="00D30C5E"/>
    <w:rsid w:val="00D3100A"/>
    <w:rsid w:val="00D312EB"/>
    <w:rsid w:val="00D318BF"/>
    <w:rsid w:val="00D3348F"/>
    <w:rsid w:val="00D3413F"/>
    <w:rsid w:val="00D3477D"/>
    <w:rsid w:val="00D3483B"/>
    <w:rsid w:val="00D3497A"/>
    <w:rsid w:val="00D35B95"/>
    <w:rsid w:val="00D36B51"/>
    <w:rsid w:val="00D3705B"/>
    <w:rsid w:val="00D373B0"/>
    <w:rsid w:val="00D403B7"/>
    <w:rsid w:val="00D40C75"/>
    <w:rsid w:val="00D40F22"/>
    <w:rsid w:val="00D4142C"/>
    <w:rsid w:val="00D4229B"/>
    <w:rsid w:val="00D42F0B"/>
    <w:rsid w:val="00D45597"/>
    <w:rsid w:val="00D45823"/>
    <w:rsid w:val="00D45C32"/>
    <w:rsid w:val="00D462AD"/>
    <w:rsid w:val="00D46FF7"/>
    <w:rsid w:val="00D47AD5"/>
    <w:rsid w:val="00D518C3"/>
    <w:rsid w:val="00D51C09"/>
    <w:rsid w:val="00D532C6"/>
    <w:rsid w:val="00D5426B"/>
    <w:rsid w:val="00D54C4D"/>
    <w:rsid w:val="00D5599A"/>
    <w:rsid w:val="00D55B21"/>
    <w:rsid w:val="00D5693C"/>
    <w:rsid w:val="00D569AD"/>
    <w:rsid w:val="00D5793A"/>
    <w:rsid w:val="00D605E5"/>
    <w:rsid w:val="00D62A8B"/>
    <w:rsid w:val="00D64868"/>
    <w:rsid w:val="00D6594B"/>
    <w:rsid w:val="00D65F89"/>
    <w:rsid w:val="00D71595"/>
    <w:rsid w:val="00D71B33"/>
    <w:rsid w:val="00D72158"/>
    <w:rsid w:val="00D72E9A"/>
    <w:rsid w:val="00D740F4"/>
    <w:rsid w:val="00D7422C"/>
    <w:rsid w:val="00D802FD"/>
    <w:rsid w:val="00D869C5"/>
    <w:rsid w:val="00D92888"/>
    <w:rsid w:val="00D932E1"/>
    <w:rsid w:val="00D937A6"/>
    <w:rsid w:val="00D94A5A"/>
    <w:rsid w:val="00D97721"/>
    <w:rsid w:val="00DA0427"/>
    <w:rsid w:val="00DA05B7"/>
    <w:rsid w:val="00DA127D"/>
    <w:rsid w:val="00DA266F"/>
    <w:rsid w:val="00DA26A7"/>
    <w:rsid w:val="00DA2928"/>
    <w:rsid w:val="00DA30E8"/>
    <w:rsid w:val="00DA3AE2"/>
    <w:rsid w:val="00DA3B33"/>
    <w:rsid w:val="00DA42A3"/>
    <w:rsid w:val="00DA5B4D"/>
    <w:rsid w:val="00DA7075"/>
    <w:rsid w:val="00DA74A2"/>
    <w:rsid w:val="00DB0842"/>
    <w:rsid w:val="00DB1B33"/>
    <w:rsid w:val="00DB3F35"/>
    <w:rsid w:val="00DB550E"/>
    <w:rsid w:val="00DB6144"/>
    <w:rsid w:val="00DB6664"/>
    <w:rsid w:val="00DB6EAC"/>
    <w:rsid w:val="00DB73FB"/>
    <w:rsid w:val="00DB745E"/>
    <w:rsid w:val="00DB7CD4"/>
    <w:rsid w:val="00DC0DBE"/>
    <w:rsid w:val="00DC217C"/>
    <w:rsid w:val="00DC429D"/>
    <w:rsid w:val="00DC458D"/>
    <w:rsid w:val="00DC62D9"/>
    <w:rsid w:val="00DC6BCD"/>
    <w:rsid w:val="00DC6E17"/>
    <w:rsid w:val="00DC6F8F"/>
    <w:rsid w:val="00DC747D"/>
    <w:rsid w:val="00DD26B7"/>
    <w:rsid w:val="00DD35D4"/>
    <w:rsid w:val="00DD3848"/>
    <w:rsid w:val="00DD4DCA"/>
    <w:rsid w:val="00DD5181"/>
    <w:rsid w:val="00DD569F"/>
    <w:rsid w:val="00DD5B3A"/>
    <w:rsid w:val="00DD5CCB"/>
    <w:rsid w:val="00DD6003"/>
    <w:rsid w:val="00DD7B1D"/>
    <w:rsid w:val="00DE1A4C"/>
    <w:rsid w:val="00DE285A"/>
    <w:rsid w:val="00DE2F3F"/>
    <w:rsid w:val="00DE3E14"/>
    <w:rsid w:val="00DE5417"/>
    <w:rsid w:val="00DE5630"/>
    <w:rsid w:val="00DE5DD0"/>
    <w:rsid w:val="00DE608E"/>
    <w:rsid w:val="00DE7227"/>
    <w:rsid w:val="00DE76FC"/>
    <w:rsid w:val="00DF011C"/>
    <w:rsid w:val="00DF0BB3"/>
    <w:rsid w:val="00DF33A3"/>
    <w:rsid w:val="00DF3789"/>
    <w:rsid w:val="00DF3F22"/>
    <w:rsid w:val="00DF4241"/>
    <w:rsid w:val="00DF45B4"/>
    <w:rsid w:val="00DF4BAB"/>
    <w:rsid w:val="00DF5D14"/>
    <w:rsid w:val="00DF608E"/>
    <w:rsid w:val="00DF6CC5"/>
    <w:rsid w:val="00DF6FF1"/>
    <w:rsid w:val="00DF76E0"/>
    <w:rsid w:val="00E0139A"/>
    <w:rsid w:val="00E015A9"/>
    <w:rsid w:val="00E02883"/>
    <w:rsid w:val="00E04029"/>
    <w:rsid w:val="00E04242"/>
    <w:rsid w:val="00E10861"/>
    <w:rsid w:val="00E120BC"/>
    <w:rsid w:val="00E1376C"/>
    <w:rsid w:val="00E15635"/>
    <w:rsid w:val="00E16BEE"/>
    <w:rsid w:val="00E21B02"/>
    <w:rsid w:val="00E23869"/>
    <w:rsid w:val="00E23EEA"/>
    <w:rsid w:val="00E251B1"/>
    <w:rsid w:val="00E25CA8"/>
    <w:rsid w:val="00E26156"/>
    <w:rsid w:val="00E27323"/>
    <w:rsid w:val="00E3046F"/>
    <w:rsid w:val="00E30962"/>
    <w:rsid w:val="00E3099D"/>
    <w:rsid w:val="00E31CB4"/>
    <w:rsid w:val="00E333FB"/>
    <w:rsid w:val="00E3345C"/>
    <w:rsid w:val="00E36150"/>
    <w:rsid w:val="00E367BF"/>
    <w:rsid w:val="00E36EA0"/>
    <w:rsid w:val="00E36F7B"/>
    <w:rsid w:val="00E379CA"/>
    <w:rsid w:val="00E40778"/>
    <w:rsid w:val="00E41FE9"/>
    <w:rsid w:val="00E4501A"/>
    <w:rsid w:val="00E45135"/>
    <w:rsid w:val="00E4586E"/>
    <w:rsid w:val="00E45DEB"/>
    <w:rsid w:val="00E464B9"/>
    <w:rsid w:val="00E46BFA"/>
    <w:rsid w:val="00E477BE"/>
    <w:rsid w:val="00E47B62"/>
    <w:rsid w:val="00E511EA"/>
    <w:rsid w:val="00E51517"/>
    <w:rsid w:val="00E51F74"/>
    <w:rsid w:val="00E54533"/>
    <w:rsid w:val="00E55868"/>
    <w:rsid w:val="00E60C14"/>
    <w:rsid w:val="00E61815"/>
    <w:rsid w:val="00E61B4D"/>
    <w:rsid w:val="00E63806"/>
    <w:rsid w:val="00E65A34"/>
    <w:rsid w:val="00E65D86"/>
    <w:rsid w:val="00E66967"/>
    <w:rsid w:val="00E6717D"/>
    <w:rsid w:val="00E673C6"/>
    <w:rsid w:val="00E67E1C"/>
    <w:rsid w:val="00E67F79"/>
    <w:rsid w:val="00E70E2A"/>
    <w:rsid w:val="00E71B63"/>
    <w:rsid w:val="00E71BD4"/>
    <w:rsid w:val="00E72C1A"/>
    <w:rsid w:val="00E74BBE"/>
    <w:rsid w:val="00E763CD"/>
    <w:rsid w:val="00E76A0F"/>
    <w:rsid w:val="00E7711B"/>
    <w:rsid w:val="00E77E51"/>
    <w:rsid w:val="00E807D4"/>
    <w:rsid w:val="00E8114F"/>
    <w:rsid w:val="00E82425"/>
    <w:rsid w:val="00E828F9"/>
    <w:rsid w:val="00E82AF3"/>
    <w:rsid w:val="00E82B64"/>
    <w:rsid w:val="00E83E08"/>
    <w:rsid w:val="00E850A3"/>
    <w:rsid w:val="00E8528B"/>
    <w:rsid w:val="00E859BA"/>
    <w:rsid w:val="00E864F1"/>
    <w:rsid w:val="00E86A15"/>
    <w:rsid w:val="00E87034"/>
    <w:rsid w:val="00E870B0"/>
    <w:rsid w:val="00E90733"/>
    <w:rsid w:val="00E90F26"/>
    <w:rsid w:val="00E931A2"/>
    <w:rsid w:val="00E93D9A"/>
    <w:rsid w:val="00E96340"/>
    <w:rsid w:val="00EA26A5"/>
    <w:rsid w:val="00EA2E2E"/>
    <w:rsid w:val="00EA38D5"/>
    <w:rsid w:val="00EA4363"/>
    <w:rsid w:val="00EA5409"/>
    <w:rsid w:val="00EA566B"/>
    <w:rsid w:val="00EA5F10"/>
    <w:rsid w:val="00EA5F30"/>
    <w:rsid w:val="00EA6EA0"/>
    <w:rsid w:val="00EA6F59"/>
    <w:rsid w:val="00EA725B"/>
    <w:rsid w:val="00EA789A"/>
    <w:rsid w:val="00EA7F85"/>
    <w:rsid w:val="00EB219C"/>
    <w:rsid w:val="00EB321E"/>
    <w:rsid w:val="00EB62A2"/>
    <w:rsid w:val="00EB63C2"/>
    <w:rsid w:val="00EB64FC"/>
    <w:rsid w:val="00EB7B3E"/>
    <w:rsid w:val="00EC0FC7"/>
    <w:rsid w:val="00EC3466"/>
    <w:rsid w:val="00EC37C6"/>
    <w:rsid w:val="00EC3CEA"/>
    <w:rsid w:val="00EC4D48"/>
    <w:rsid w:val="00EC6339"/>
    <w:rsid w:val="00EC744B"/>
    <w:rsid w:val="00EC778D"/>
    <w:rsid w:val="00EC7B5A"/>
    <w:rsid w:val="00ED1573"/>
    <w:rsid w:val="00ED1966"/>
    <w:rsid w:val="00ED419B"/>
    <w:rsid w:val="00ED4DA5"/>
    <w:rsid w:val="00ED5AAA"/>
    <w:rsid w:val="00ED5AF3"/>
    <w:rsid w:val="00ED6E55"/>
    <w:rsid w:val="00ED71E9"/>
    <w:rsid w:val="00ED7419"/>
    <w:rsid w:val="00ED7443"/>
    <w:rsid w:val="00EE050F"/>
    <w:rsid w:val="00EE081A"/>
    <w:rsid w:val="00EE1EB5"/>
    <w:rsid w:val="00EE243B"/>
    <w:rsid w:val="00EE5AEA"/>
    <w:rsid w:val="00EE60DB"/>
    <w:rsid w:val="00EE654A"/>
    <w:rsid w:val="00EE7E38"/>
    <w:rsid w:val="00EE7EEA"/>
    <w:rsid w:val="00EF1D7E"/>
    <w:rsid w:val="00EF23FD"/>
    <w:rsid w:val="00EF2D5D"/>
    <w:rsid w:val="00EF39FC"/>
    <w:rsid w:val="00EF449C"/>
    <w:rsid w:val="00EF4CEE"/>
    <w:rsid w:val="00EF53E2"/>
    <w:rsid w:val="00EF5638"/>
    <w:rsid w:val="00EF56DF"/>
    <w:rsid w:val="00EF6801"/>
    <w:rsid w:val="00EF6F0E"/>
    <w:rsid w:val="00EF7F09"/>
    <w:rsid w:val="00F016CA"/>
    <w:rsid w:val="00F01E4F"/>
    <w:rsid w:val="00F04143"/>
    <w:rsid w:val="00F0482C"/>
    <w:rsid w:val="00F05C44"/>
    <w:rsid w:val="00F05E09"/>
    <w:rsid w:val="00F0740D"/>
    <w:rsid w:val="00F07750"/>
    <w:rsid w:val="00F07780"/>
    <w:rsid w:val="00F07DB3"/>
    <w:rsid w:val="00F106C0"/>
    <w:rsid w:val="00F10988"/>
    <w:rsid w:val="00F10A7A"/>
    <w:rsid w:val="00F10A86"/>
    <w:rsid w:val="00F12149"/>
    <w:rsid w:val="00F12E25"/>
    <w:rsid w:val="00F13587"/>
    <w:rsid w:val="00F16387"/>
    <w:rsid w:val="00F173FD"/>
    <w:rsid w:val="00F203C7"/>
    <w:rsid w:val="00F210E0"/>
    <w:rsid w:val="00F21646"/>
    <w:rsid w:val="00F21917"/>
    <w:rsid w:val="00F21C85"/>
    <w:rsid w:val="00F23544"/>
    <w:rsid w:val="00F25ABF"/>
    <w:rsid w:val="00F25BBF"/>
    <w:rsid w:val="00F27A4B"/>
    <w:rsid w:val="00F27BB1"/>
    <w:rsid w:val="00F311E3"/>
    <w:rsid w:val="00F31BEE"/>
    <w:rsid w:val="00F32B0E"/>
    <w:rsid w:val="00F331AF"/>
    <w:rsid w:val="00F33DC4"/>
    <w:rsid w:val="00F35946"/>
    <w:rsid w:val="00F359C0"/>
    <w:rsid w:val="00F37DBE"/>
    <w:rsid w:val="00F40203"/>
    <w:rsid w:val="00F411E2"/>
    <w:rsid w:val="00F4212C"/>
    <w:rsid w:val="00F421EA"/>
    <w:rsid w:val="00F430AC"/>
    <w:rsid w:val="00F44E12"/>
    <w:rsid w:val="00F45308"/>
    <w:rsid w:val="00F462D5"/>
    <w:rsid w:val="00F46975"/>
    <w:rsid w:val="00F477B9"/>
    <w:rsid w:val="00F516B5"/>
    <w:rsid w:val="00F53604"/>
    <w:rsid w:val="00F54A39"/>
    <w:rsid w:val="00F54B2D"/>
    <w:rsid w:val="00F54BBB"/>
    <w:rsid w:val="00F55625"/>
    <w:rsid w:val="00F55FAE"/>
    <w:rsid w:val="00F56422"/>
    <w:rsid w:val="00F60171"/>
    <w:rsid w:val="00F603C9"/>
    <w:rsid w:val="00F607F4"/>
    <w:rsid w:val="00F6086F"/>
    <w:rsid w:val="00F613FA"/>
    <w:rsid w:val="00F61795"/>
    <w:rsid w:val="00F6631F"/>
    <w:rsid w:val="00F67447"/>
    <w:rsid w:val="00F7059C"/>
    <w:rsid w:val="00F72112"/>
    <w:rsid w:val="00F723D6"/>
    <w:rsid w:val="00F724AB"/>
    <w:rsid w:val="00F75018"/>
    <w:rsid w:val="00F764DF"/>
    <w:rsid w:val="00F76942"/>
    <w:rsid w:val="00F77E87"/>
    <w:rsid w:val="00F806A9"/>
    <w:rsid w:val="00F81390"/>
    <w:rsid w:val="00F81620"/>
    <w:rsid w:val="00F8217F"/>
    <w:rsid w:val="00F8229F"/>
    <w:rsid w:val="00F83113"/>
    <w:rsid w:val="00F83392"/>
    <w:rsid w:val="00F83C22"/>
    <w:rsid w:val="00F83E61"/>
    <w:rsid w:val="00F84521"/>
    <w:rsid w:val="00F8525D"/>
    <w:rsid w:val="00F86CF5"/>
    <w:rsid w:val="00F87451"/>
    <w:rsid w:val="00F906AB"/>
    <w:rsid w:val="00F91766"/>
    <w:rsid w:val="00F91A6E"/>
    <w:rsid w:val="00F9687E"/>
    <w:rsid w:val="00F96B7D"/>
    <w:rsid w:val="00FA0537"/>
    <w:rsid w:val="00FA0852"/>
    <w:rsid w:val="00FA1D08"/>
    <w:rsid w:val="00FA25EA"/>
    <w:rsid w:val="00FA2ECA"/>
    <w:rsid w:val="00FA2FA8"/>
    <w:rsid w:val="00FA3D82"/>
    <w:rsid w:val="00FA5F04"/>
    <w:rsid w:val="00FA65E5"/>
    <w:rsid w:val="00FA6A63"/>
    <w:rsid w:val="00FB1348"/>
    <w:rsid w:val="00FB1EA0"/>
    <w:rsid w:val="00FB2144"/>
    <w:rsid w:val="00FB2DA4"/>
    <w:rsid w:val="00FB45C2"/>
    <w:rsid w:val="00FB6B51"/>
    <w:rsid w:val="00FC2786"/>
    <w:rsid w:val="00FC36CB"/>
    <w:rsid w:val="00FC3779"/>
    <w:rsid w:val="00FC400D"/>
    <w:rsid w:val="00FC58AA"/>
    <w:rsid w:val="00FC5AC6"/>
    <w:rsid w:val="00FC6F54"/>
    <w:rsid w:val="00FC7979"/>
    <w:rsid w:val="00FC7CE2"/>
    <w:rsid w:val="00FD1489"/>
    <w:rsid w:val="00FD15A5"/>
    <w:rsid w:val="00FD2169"/>
    <w:rsid w:val="00FD245E"/>
    <w:rsid w:val="00FD24D9"/>
    <w:rsid w:val="00FD2B4A"/>
    <w:rsid w:val="00FD43CA"/>
    <w:rsid w:val="00FD4B6C"/>
    <w:rsid w:val="00FD67DB"/>
    <w:rsid w:val="00FD760A"/>
    <w:rsid w:val="00FD7C6C"/>
    <w:rsid w:val="00FE1B51"/>
    <w:rsid w:val="00FE1CB9"/>
    <w:rsid w:val="00FE54A8"/>
    <w:rsid w:val="00FE66D2"/>
    <w:rsid w:val="00FE6741"/>
    <w:rsid w:val="00FE6B1A"/>
    <w:rsid w:val="00FE730D"/>
    <w:rsid w:val="00FF06F9"/>
    <w:rsid w:val="00FF0FB4"/>
    <w:rsid w:val="00FF1A88"/>
    <w:rsid w:val="00FF2308"/>
    <w:rsid w:val="00FF257F"/>
    <w:rsid w:val="00FF2B2A"/>
    <w:rsid w:val="00FF2B97"/>
    <w:rsid w:val="00FF386C"/>
    <w:rsid w:val="00FF3AAA"/>
    <w:rsid w:val="00FF47D8"/>
    <w:rsid w:val="00FF4EE6"/>
    <w:rsid w:val="00FF683E"/>
    <w:rsid w:val="00FF6A5B"/>
    <w:rsid w:val="00FF7BBC"/>
    <w:rsid w:val="016367A9"/>
    <w:rsid w:val="028669BE"/>
    <w:rsid w:val="028E6154"/>
    <w:rsid w:val="02FF0E39"/>
    <w:rsid w:val="03040CCD"/>
    <w:rsid w:val="0337506D"/>
    <w:rsid w:val="03404E17"/>
    <w:rsid w:val="036C4C82"/>
    <w:rsid w:val="03C0185E"/>
    <w:rsid w:val="046B703C"/>
    <w:rsid w:val="04BD2C91"/>
    <w:rsid w:val="05091BBF"/>
    <w:rsid w:val="05C24554"/>
    <w:rsid w:val="061239DA"/>
    <w:rsid w:val="062671DC"/>
    <w:rsid w:val="065674E8"/>
    <w:rsid w:val="06F85D5A"/>
    <w:rsid w:val="071378F5"/>
    <w:rsid w:val="07731EDA"/>
    <w:rsid w:val="090B4468"/>
    <w:rsid w:val="09536CE2"/>
    <w:rsid w:val="097662B8"/>
    <w:rsid w:val="09EC4E9A"/>
    <w:rsid w:val="0A2B3E51"/>
    <w:rsid w:val="0A93603C"/>
    <w:rsid w:val="0A97493E"/>
    <w:rsid w:val="0AB715F7"/>
    <w:rsid w:val="0BC11263"/>
    <w:rsid w:val="0BD96283"/>
    <w:rsid w:val="0C510802"/>
    <w:rsid w:val="0D817E81"/>
    <w:rsid w:val="0D9C032D"/>
    <w:rsid w:val="0DAF4280"/>
    <w:rsid w:val="0E076AE9"/>
    <w:rsid w:val="0E421E9F"/>
    <w:rsid w:val="0EBD3DC2"/>
    <w:rsid w:val="0EF75F06"/>
    <w:rsid w:val="0FB924B8"/>
    <w:rsid w:val="10B81047"/>
    <w:rsid w:val="10E55ACF"/>
    <w:rsid w:val="113611C5"/>
    <w:rsid w:val="11624886"/>
    <w:rsid w:val="11663B15"/>
    <w:rsid w:val="12176AF0"/>
    <w:rsid w:val="12D90C47"/>
    <w:rsid w:val="13043ED4"/>
    <w:rsid w:val="132C1521"/>
    <w:rsid w:val="13BA3578"/>
    <w:rsid w:val="13F21EF0"/>
    <w:rsid w:val="1403461B"/>
    <w:rsid w:val="143D6DFB"/>
    <w:rsid w:val="14D230EC"/>
    <w:rsid w:val="154272B5"/>
    <w:rsid w:val="159A5456"/>
    <w:rsid w:val="15CF287D"/>
    <w:rsid w:val="15EE3AFE"/>
    <w:rsid w:val="169C4E56"/>
    <w:rsid w:val="174258ED"/>
    <w:rsid w:val="17E21328"/>
    <w:rsid w:val="18FE1D0C"/>
    <w:rsid w:val="190469FF"/>
    <w:rsid w:val="1A0B2B00"/>
    <w:rsid w:val="1C7E1E02"/>
    <w:rsid w:val="1CA848A1"/>
    <w:rsid w:val="1CE005C0"/>
    <w:rsid w:val="1CE354ED"/>
    <w:rsid w:val="1CFB75A6"/>
    <w:rsid w:val="1D1C03D7"/>
    <w:rsid w:val="1D4D3358"/>
    <w:rsid w:val="1D621892"/>
    <w:rsid w:val="1D7579CC"/>
    <w:rsid w:val="1D9317B9"/>
    <w:rsid w:val="1D9E6CC4"/>
    <w:rsid w:val="1DD151B5"/>
    <w:rsid w:val="1DE04BB8"/>
    <w:rsid w:val="1E757AD8"/>
    <w:rsid w:val="1F7E179E"/>
    <w:rsid w:val="1F964275"/>
    <w:rsid w:val="200377F1"/>
    <w:rsid w:val="20135EB8"/>
    <w:rsid w:val="213D2A55"/>
    <w:rsid w:val="21CC533A"/>
    <w:rsid w:val="22961598"/>
    <w:rsid w:val="22E22C59"/>
    <w:rsid w:val="24B578FA"/>
    <w:rsid w:val="251C6852"/>
    <w:rsid w:val="25A4761E"/>
    <w:rsid w:val="25BF622B"/>
    <w:rsid w:val="26B54B63"/>
    <w:rsid w:val="271F7879"/>
    <w:rsid w:val="27393819"/>
    <w:rsid w:val="2739606C"/>
    <w:rsid w:val="273D3222"/>
    <w:rsid w:val="280744DD"/>
    <w:rsid w:val="286C493A"/>
    <w:rsid w:val="28A0271E"/>
    <w:rsid w:val="29547BC4"/>
    <w:rsid w:val="296733FA"/>
    <w:rsid w:val="2A75021C"/>
    <w:rsid w:val="2AE45309"/>
    <w:rsid w:val="2B4E79D6"/>
    <w:rsid w:val="2C920118"/>
    <w:rsid w:val="2CCC7A2F"/>
    <w:rsid w:val="2D21013D"/>
    <w:rsid w:val="2D4E158F"/>
    <w:rsid w:val="2E8D4481"/>
    <w:rsid w:val="2F1C72FC"/>
    <w:rsid w:val="2FC4512F"/>
    <w:rsid w:val="305F56A6"/>
    <w:rsid w:val="30906EF6"/>
    <w:rsid w:val="30B63EEC"/>
    <w:rsid w:val="31E43451"/>
    <w:rsid w:val="31E85DFB"/>
    <w:rsid w:val="326F27DC"/>
    <w:rsid w:val="327A6A63"/>
    <w:rsid w:val="33CE43C5"/>
    <w:rsid w:val="33E2761E"/>
    <w:rsid w:val="33ED0162"/>
    <w:rsid w:val="35163620"/>
    <w:rsid w:val="36292D10"/>
    <w:rsid w:val="367C1606"/>
    <w:rsid w:val="36B56003"/>
    <w:rsid w:val="36C52477"/>
    <w:rsid w:val="36E35581"/>
    <w:rsid w:val="37482116"/>
    <w:rsid w:val="37791B81"/>
    <w:rsid w:val="37BD3B90"/>
    <w:rsid w:val="37D231F3"/>
    <w:rsid w:val="38124733"/>
    <w:rsid w:val="38460B75"/>
    <w:rsid w:val="38C04A2B"/>
    <w:rsid w:val="39B8452F"/>
    <w:rsid w:val="39C51092"/>
    <w:rsid w:val="39F6604A"/>
    <w:rsid w:val="3AB47011"/>
    <w:rsid w:val="3AC93C11"/>
    <w:rsid w:val="3AFA4DFF"/>
    <w:rsid w:val="3B4433D7"/>
    <w:rsid w:val="3CE10208"/>
    <w:rsid w:val="3CF727B5"/>
    <w:rsid w:val="3D5866E5"/>
    <w:rsid w:val="3D5F768E"/>
    <w:rsid w:val="3D8B00CB"/>
    <w:rsid w:val="3F830750"/>
    <w:rsid w:val="3FC741B0"/>
    <w:rsid w:val="3FEA00DC"/>
    <w:rsid w:val="40E8556B"/>
    <w:rsid w:val="41815D2F"/>
    <w:rsid w:val="419747DD"/>
    <w:rsid w:val="41F0685E"/>
    <w:rsid w:val="4254643D"/>
    <w:rsid w:val="42AC04D0"/>
    <w:rsid w:val="42CF7B25"/>
    <w:rsid w:val="42D00296"/>
    <w:rsid w:val="42FB7EAC"/>
    <w:rsid w:val="438A1CC5"/>
    <w:rsid w:val="439422FD"/>
    <w:rsid w:val="43A55CA5"/>
    <w:rsid w:val="43C425E1"/>
    <w:rsid w:val="4427562F"/>
    <w:rsid w:val="445A306B"/>
    <w:rsid w:val="44931256"/>
    <w:rsid w:val="45284074"/>
    <w:rsid w:val="45792FB7"/>
    <w:rsid w:val="457B724C"/>
    <w:rsid w:val="462A10E3"/>
    <w:rsid w:val="46CD39B0"/>
    <w:rsid w:val="46EE3A7C"/>
    <w:rsid w:val="477A1D28"/>
    <w:rsid w:val="47AE02B5"/>
    <w:rsid w:val="47BF466E"/>
    <w:rsid w:val="47D472D7"/>
    <w:rsid w:val="483A7F05"/>
    <w:rsid w:val="48912E94"/>
    <w:rsid w:val="49E44D8A"/>
    <w:rsid w:val="49EC5FF4"/>
    <w:rsid w:val="4A4051EF"/>
    <w:rsid w:val="4AD8290A"/>
    <w:rsid w:val="4AF24623"/>
    <w:rsid w:val="4B0D79C2"/>
    <w:rsid w:val="4B8078D6"/>
    <w:rsid w:val="4BEF5A8E"/>
    <w:rsid w:val="4C245667"/>
    <w:rsid w:val="4C421A8A"/>
    <w:rsid w:val="4DA43BD6"/>
    <w:rsid w:val="4DC63991"/>
    <w:rsid w:val="4DC73B97"/>
    <w:rsid w:val="4E5827B1"/>
    <w:rsid w:val="4E76155D"/>
    <w:rsid w:val="4E833A0E"/>
    <w:rsid w:val="4F2C3E65"/>
    <w:rsid w:val="50207E94"/>
    <w:rsid w:val="527B3ECE"/>
    <w:rsid w:val="52E30177"/>
    <w:rsid w:val="53417F4F"/>
    <w:rsid w:val="536E3862"/>
    <w:rsid w:val="550C0DEA"/>
    <w:rsid w:val="555B0AE3"/>
    <w:rsid w:val="55B151A9"/>
    <w:rsid w:val="55BF0E11"/>
    <w:rsid w:val="56136CDA"/>
    <w:rsid w:val="56182B77"/>
    <w:rsid w:val="56D67B51"/>
    <w:rsid w:val="56FA7272"/>
    <w:rsid w:val="579F67E1"/>
    <w:rsid w:val="58981098"/>
    <w:rsid w:val="5901277B"/>
    <w:rsid w:val="592525C4"/>
    <w:rsid w:val="59321CCB"/>
    <w:rsid w:val="59753409"/>
    <w:rsid w:val="59D455F2"/>
    <w:rsid w:val="5AC45BA6"/>
    <w:rsid w:val="5B263A9C"/>
    <w:rsid w:val="5B397FB7"/>
    <w:rsid w:val="5B490CC0"/>
    <w:rsid w:val="5B7E3700"/>
    <w:rsid w:val="5C161418"/>
    <w:rsid w:val="5C3E421A"/>
    <w:rsid w:val="5C62269E"/>
    <w:rsid w:val="5C9D39DA"/>
    <w:rsid w:val="5CB669E4"/>
    <w:rsid w:val="5D090ACA"/>
    <w:rsid w:val="5D433826"/>
    <w:rsid w:val="5D832EEF"/>
    <w:rsid w:val="5E1A7F73"/>
    <w:rsid w:val="5E390E1F"/>
    <w:rsid w:val="5E4635CA"/>
    <w:rsid w:val="5E584923"/>
    <w:rsid w:val="5E6621D5"/>
    <w:rsid w:val="5E8F6FF0"/>
    <w:rsid w:val="5EA12B1C"/>
    <w:rsid w:val="5EBF1F9E"/>
    <w:rsid w:val="5F3B1BE0"/>
    <w:rsid w:val="5F842392"/>
    <w:rsid w:val="5F991715"/>
    <w:rsid w:val="5FCF11E9"/>
    <w:rsid w:val="5FE4315F"/>
    <w:rsid w:val="600227C8"/>
    <w:rsid w:val="602B2D4A"/>
    <w:rsid w:val="607523D1"/>
    <w:rsid w:val="60F82C89"/>
    <w:rsid w:val="60FE2C3F"/>
    <w:rsid w:val="615146FA"/>
    <w:rsid w:val="62070FA1"/>
    <w:rsid w:val="62093885"/>
    <w:rsid w:val="621217BE"/>
    <w:rsid w:val="623B41C7"/>
    <w:rsid w:val="62526D3D"/>
    <w:rsid w:val="62CD2B33"/>
    <w:rsid w:val="63870B4C"/>
    <w:rsid w:val="63DB479D"/>
    <w:rsid w:val="64620820"/>
    <w:rsid w:val="64681E85"/>
    <w:rsid w:val="65991FF1"/>
    <w:rsid w:val="65EC7B94"/>
    <w:rsid w:val="6619624C"/>
    <w:rsid w:val="66342E08"/>
    <w:rsid w:val="66497A6B"/>
    <w:rsid w:val="666B0070"/>
    <w:rsid w:val="67A32D76"/>
    <w:rsid w:val="67AA3BE1"/>
    <w:rsid w:val="67BF6715"/>
    <w:rsid w:val="67E56BF0"/>
    <w:rsid w:val="68957C01"/>
    <w:rsid w:val="68A01520"/>
    <w:rsid w:val="68C6622F"/>
    <w:rsid w:val="69370731"/>
    <w:rsid w:val="69C04ABB"/>
    <w:rsid w:val="69E17CD8"/>
    <w:rsid w:val="69EB7AC5"/>
    <w:rsid w:val="6ACE4D37"/>
    <w:rsid w:val="6AD94EA8"/>
    <w:rsid w:val="6C1300A2"/>
    <w:rsid w:val="6C2D651B"/>
    <w:rsid w:val="6C43610C"/>
    <w:rsid w:val="6C485EB9"/>
    <w:rsid w:val="6CDE057E"/>
    <w:rsid w:val="6E7C4447"/>
    <w:rsid w:val="6EFC3A3C"/>
    <w:rsid w:val="6F03408E"/>
    <w:rsid w:val="6F227649"/>
    <w:rsid w:val="6F461335"/>
    <w:rsid w:val="70C7777F"/>
    <w:rsid w:val="72476A02"/>
    <w:rsid w:val="72620D8B"/>
    <w:rsid w:val="72AA2887"/>
    <w:rsid w:val="7396760B"/>
    <w:rsid w:val="73BC0182"/>
    <w:rsid w:val="73DC2F75"/>
    <w:rsid w:val="73E75469"/>
    <w:rsid w:val="74966354"/>
    <w:rsid w:val="750263A5"/>
    <w:rsid w:val="752F546D"/>
    <w:rsid w:val="756015F8"/>
    <w:rsid w:val="75A67A21"/>
    <w:rsid w:val="75E848BC"/>
    <w:rsid w:val="761F029E"/>
    <w:rsid w:val="762F4253"/>
    <w:rsid w:val="76355280"/>
    <w:rsid w:val="7655794F"/>
    <w:rsid w:val="7753681B"/>
    <w:rsid w:val="775F5B45"/>
    <w:rsid w:val="77667C2A"/>
    <w:rsid w:val="779C4B53"/>
    <w:rsid w:val="77B15C8C"/>
    <w:rsid w:val="77B91A0C"/>
    <w:rsid w:val="78431FAF"/>
    <w:rsid w:val="78823025"/>
    <w:rsid w:val="79153558"/>
    <w:rsid w:val="79421110"/>
    <w:rsid w:val="7A6E4950"/>
    <w:rsid w:val="7B12208E"/>
    <w:rsid w:val="7B2C1F5B"/>
    <w:rsid w:val="7B5A7743"/>
    <w:rsid w:val="7C27553B"/>
    <w:rsid w:val="7C391D27"/>
    <w:rsid w:val="7D312820"/>
    <w:rsid w:val="7DA17EF3"/>
    <w:rsid w:val="7DA85D23"/>
    <w:rsid w:val="7DAF6599"/>
    <w:rsid w:val="7FCC438E"/>
    <w:rsid w:val="7FCE147D"/>
    <w:rsid w:val="7FEB72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21"/>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3">
    <w:name w:val="heading 2"/>
    <w:basedOn w:val="1"/>
    <w:next w:val="1"/>
    <w:link w:val="22"/>
    <w:qFormat/>
    <w:uiPriority w:val="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23"/>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24"/>
    <w:unhideWhenUsed/>
    <w:qFormat/>
    <w:uiPriority w:val="99"/>
    <w:pPr>
      <w:jc w:val="left"/>
    </w:pPr>
  </w:style>
  <w:style w:type="paragraph" w:styleId="6">
    <w:name w:val="Body Text"/>
    <w:basedOn w:val="1"/>
    <w:link w:val="25"/>
    <w:qFormat/>
    <w:uiPriority w:val="1"/>
    <w:pPr>
      <w:autoSpaceDE w:val="0"/>
      <w:autoSpaceDN w:val="0"/>
      <w:adjustRightInd w:val="0"/>
      <w:spacing w:before="162"/>
      <w:ind w:left="120"/>
      <w:jc w:val="left"/>
    </w:pPr>
    <w:rPr>
      <w:rFonts w:ascii="宋体"/>
      <w:kern w:val="0"/>
      <w:sz w:val="20"/>
      <w:szCs w:val="21"/>
    </w:rPr>
  </w:style>
  <w:style w:type="paragraph" w:styleId="7">
    <w:name w:val="Date"/>
    <w:basedOn w:val="1"/>
    <w:next w:val="1"/>
    <w:link w:val="26"/>
    <w:unhideWhenUsed/>
    <w:qFormat/>
    <w:uiPriority w:val="99"/>
    <w:pPr>
      <w:ind w:left="100" w:leftChars="2500"/>
    </w:pPr>
  </w:style>
  <w:style w:type="paragraph" w:styleId="8">
    <w:name w:val="Balloon Text"/>
    <w:basedOn w:val="1"/>
    <w:link w:val="27"/>
    <w:unhideWhenUsed/>
    <w:qFormat/>
    <w:uiPriority w:val="99"/>
    <w:rPr>
      <w:kern w:val="0"/>
      <w:sz w:val="18"/>
      <w:szCs w:val="18"/>
    </w:rPr>
  </w:style>
  <w:style w:type="paragraph" w:styleId="9">
    <w:name w:val="footer"/>
    <w:basedOn w:val="1"/>
    <w:link w:val="28"/>
    <w:unhideWhenUsed/>
    <w:qFormat/>
    <w:uiPriority w:val="99"/>
    <w:pPr>
      <w:tabs>
        <w:tab w:val="center" w:pos="4153"/>
        <w:tab w:val="right" w:pos="8306"/>
      </w:tabs>
      <w:snapToGrid w:val="0"/>
      <w:jc w:val="left"/>
    </w:pPr>
    <w:rPr>
      <w:kern w:val="0"/>
      <w:sz w:val="18"/>
      <w:szCs w:val="18"/>
    </w:rPr>
  </w:style>
  <w:style w:type="paragraph" w:styleId="10">
    <w:name w:val="header"/>
    <w:basedOn w:val="1"/>
    <w:link w:val="29"/>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30"/>
    <w:unhideWhenUsed/>
    <w:qFormat/>
    <w:uiPriority w:val="99"/>
    <w:pPr>
      <w:snapToGrid w:val="0"/>
      <w:jc w:val="left"/>
    </w:pPr>
    <w:rPr>
      <w:sz w:val="18"/>
      <w:szCs w:val="18"/>
    </w:rPr>
  </w:style>
  <w:style w:type="paragraph" w:styleId="1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3">
    <w:name w:val="annotation subject"/>
    <w:basedOn w:val="5"/>
    <w:next w:val="5"/>
    <w:link w:val="31"/>
    <w:unhideWhenUsed/>
    <w:qFormat/>
    <w:uiPriority w:val="99"/>
    <w:rPr>
      <w:b/>
      <w:bCs/>
    </w:rPr>
  </w:style>
  <w:style w:type="table" w:styleId="15">
    <w:name w:val="Table Grid"/>
    <w:basedOn w:val="1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7">
    <w:name w:val="Strong"/>
    <w:qFormat/>
    <w:uiPriority w:val="22"/>
    <w:rPr>
      <w:b/>
      <w:bCs/>
    </w:rPr>
  </w:style>
  <w:style w:type="character" w:styleId="18">
    <w:name w:val="Hyperlink"/>
    <w:unhideWhenUsed/>
    <w:qFormat/>
    <w:uiPriority w:val="99"/>
    <w:rPr>
      <w:color w:val="0000FF"/>
      <w:u w:val="single"/>
    </w:rPr>
  </w:style>
  <w:style w:type="character" w:styleId="19">
    <w:name w:val="annotation reference"/>
    <w:unhideWhenUsed/>
    <w:qFormat/>
    <w:uiPriority w:val="99"/>
    <w:rPr>
      <w:sz w:val="21"/>
      <w:szCs w:val="21"/>
    </w:rPr>
  </w:style>
  <w:style w:type="character" w:styleId="20">
    <w:name w:val="footnote reference"/>
    <w:unhideWhenUsed/>
    <w:qFormat/>
    <w:uiPriority w:val="99"/>
    <w:rPr>
      <w:vertAlign w:val="superscript"/>
    </w:rPr>
  </w:style>
  <w:style w:type="character" w:customStyle="1" w:styleId="21">
    <w:name w:val="标题 1 Char"/>
    <w:link w:val="2"/>
    <w:qFormat/>
    <w:uiPriority w:val="1"/>
    <w:rPr>
      <w:rFonts w:ascii="黑体" w:hAnsi="Times New Roman" w:eastAsia="黑体" w:cs="黑体"/>
      <w:b/>
      <w:bCs/>
      <w:kern w:val="0"/>
      <w:sz w:val="36"/>
      <w:szCs w:val="36"/>
    </w:rPr>
  </w:style>
  <w:style w:type="character" w:customStyle="1" w:styleId="22">
    <w:name w:val="标题 2 Char"/>
    <w:link w:val="3"/>
    <w:qFormat/>
    <w:uiPriority w:val="9"/>
    <w:rPr>
      <w:rFonts w:ascii="Cambria" w:hAnsi="Cambria" w:eastAsia="宋体" w:cs="Times New Roman"/>
      <w:b/>
      <w:bCs/>
      <w:sz w:val="32"/>
      <w:szCs w:val="32"/>
    </w:rPr>
  </w:style>
  <w:style w:type="character" w:customStyle="1" w:styleId="23">
    <w:name w:val="标题 3 Char"/>
    <w:link w:val="4"/>
    <w:qFormat/>
    <w:uiPriority w:val="1"/>
    <w:rPr>
      <w:rFonts w:ascii="宋体" w:hAnsi="Times New Roman" w:eastAsia="宋体" w:cs="宋体"/>
      <w:b/>
      <w:bCs/>
      <w:kern w:val="0"/>
      <w:szCs w:val="21"/>
    </w:rPr>
  </w:style>
  <w:style w:type="character" w:customStyle="1" w:styleId="24">
    <w:name w:val="批注文字 Char"/>
    <w:link w:val="5"/>
    <w:qFormat/>
    <w:uiPriority w:val="99"/>
    <w:rPr>
      <w:kern w:val="2"/>
      <w:sz w:val="21"/>
      <w:szCs w:val="22"/>
    </w:rPr>
  </w:style>
  <w:style w:type="character" w:customStyle="1" w:styleId="25">
    <w:name w:val="正文文本 Char"/>
    <w:link w:val="6"/>
    <w:qFormat/>
    <w:uiPriority w:val="1"/>
    <w:rPr>
      <w:rFonts w:ascii="宋体" w:hAnsi="Times New Roman" w:eastAsia="宋体" w:cs="宋体"/>
      <w:kern w:val="0"/>
      <w:szCs w:val="21"/>
    </w:rPr>
  </w:style>
  <w:style w:type="character" w:customStyle="1" w:styleId="26">
    <w:name w:val="日期 Char"/>
    <w:link w:val="7"/>
    <w:semiHidden/>
    <w:qFormat/>
    <w:uiPriority w:val="99"/>
  </w:style>
  <w:style w:type="character" w:customStyle="1" w:styleId="27">
    <w:name w:val="批注框文本 Char"/>
    <w:link w:val="8"/>
    <w:semiHidden/>
    <w:qFormat/>
    <w:uiPriority w:val="99"/>
    <w:rPr>
      <w:sz w:val="18"/>
      <w:szCs w:val="18"/>
    </w:rPr>
  </w:style>
  <w:style w:type="character" w:customStyle="1" w:styleId="28">
    <w:name w:val="页脚 Char"/>
    <w:link w:val="9"/>
    <w:qFormat/>
    <w:uiPriority w:val="99"/>
    <w:rPr>
      <w:sz w:val="18"/>
      <w:szCs w:val="18"/>
    </w:rPr>
  </w:style>
  <w:style w:type="character" w:customStyle="1" w:styleId="29">
    <w:name w:val="页眉 Char"/>
    <w:link w:val="10"/>
    <w:qFormat/>
    <w:uiPriority w:val="99"/>
    <w:rPr>
      <w:sz w:val="18"/>
      <w:szCs w:val="18"/>
    </w:rPr>
  </w:style>
  <w:style w:type="character" w:customStyle="1" w:styleId="30">
    <w:name w:val="脚注文本 Char1"/>
    <w:link w:val="11"/>
    <w:semiHidden/>
    <w:qFormat/>
    <w:uiPriority w:val="99"/>
    <w:rPr>
      <w:kern w:val="2"/>
      <w:sz w:val="18"/>
      <w:szCs w:val="18"/>
    </w:rPr>
  </w:style>
  <w:style w:type="character" w:customStyle="1" w:styleId="31">
    <w:name w:val="批注主题 Char"/>
    <w:link w:val="13"/>
    <w:semiHidden/>
    <w:qFormat/>
    <w:uiPriority w:val="99"/>
    <w:rPr>
      <w:b/>
      <w:bCs/>
      <w:kern w:val="2"/>
      <w:sz w:val="21"/>
      <w:szCs w:val="22"/>
    </w:rPr>
  </w:style>
  <w:style w:type="character" w:customStyle="1" w:styleId="32">
    <w:name w:val="未处理的提及"/>
    <w:unhideWhenUsed/>
    <w:qFormat/>
    <w:uiPriority w:val="99"/>
    <w:rPr>
      <w:color w:val="605E5C"/>
      <w:shd w:val="clear" w:color="auto" w:fill="E1DFDD"/>
    </w:rPr>
  </w:style>
  <w:style w:type="paragraph" w:customStyle="1" w:styleId="33">
    <w:name w:val="Char Char Char Char Char Char Char Char Char Char Char Char"/>
    <w:basedOn w:val="1"/>
    <w:qFormat/>
    <w:uiPriority w:val="0"/>
    <w:pPr>
      <w:widowControl/>
      <w:spacing w:after="160" w:line="240" w:lineRule="exact"/>
      <w:jc w:val="left"/>
    </w:pPr>
    <w:rPr>
      <w:rFonts w:ascii="Tahoma" w:hAnsi="Tahoma" w:cs="Tahoma"/>
      <w:szCs w:val="21"/>
    </w:rPr>
  </w:style>
  <w:style w:type="paragraph" w:customStyle="1" w:styleId="34">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customStyle="1" w:styleId="35">
    <w:name w:val="修订1"/>
    <w:semiHidden/>
    <w:qFormat/>
    <w:uiPriority w:val="99"/>
    <w:rPr>
      <w:rFonts w:ascii="Times New Roman" w:hAnsi="Times New Roman" w:eastAsia="宋体" w:cs="Times New Roman"/>
      <w:kern w:val="2"/>
      <w:sz w:val="21"/>
      <w:szCs w:val="22"/>
      <w:lang w:val="en-US" w:eastAsia="zh-CN" w:bidi="ar-SA"/>
    </w:rPr>
  </w:style>
  <w:style w:type="paragraph" w:customStyle="1" w:styleId="36">
    <w:name w:val="Table Paragraph"/>
    <w:basedOn w:val="1"/>
    <w:qFormat/>
    <w:uiPriority w:val="1"/>
    <w:pPr>
      <w:autoSpaceDE w:val="0"/>
      <w:autoSpaceDN w:val="0"/>
      <w:adjustRightInd w:val="0"/>
      <w:jc w:val="left"/>
    </w:pPr>
    <w:rPr>
      <w:kern w:val="0"/>
      <w:sz w:val="24"/>
      <w:szCs w:val="24"/>
    </w:rPr>
  </w:style>
  <w:style w:type="paragraph" w:styleId="37">
    <w:name w:val="List Paragraph"/>
    <w:basedOn w:val="1"/>
    <w:qFormat/>
    <w:uiPriority w:val="72"/>
    <w:pPr>
      <w:ind w:firstLine="420" w:firstLineChars="200"/>
    </w:pPr>
  </w:style>
  <w:style w:type="character" w:customStyle="1" w:styleId="38">
    <w:name w:val="脚注文本 Char"/>
    <w:semiHidden/>
    <w:qFormat/>
    <w:uiPriority w:val="99"/>
    <w:rPr>
      <w:kern w:val="2"/>
      <w:sz w:val="18"/>
      <w:szCs w:val="18"/>
    </w:rPr>
  </w:style>
  <w:style w:type="character" w:customStyle="1" w:styleId="39">
    <w:name w:val="markedcontent"/>
    <w:qFormat/>
    <w:uiPriority w:val="0"/>
  </w:style>
  <w:style w:type="character" w:customStyle="1" w:styleId="40">
    <w:name w:val="fontstyle01"/>
    <w:qFormat/>
    <w:uiPriority w:val="0"/>
    <w:rPr>
      <w:rFonts w:hint="eastAsia" w:ascii="宋体" w:hAnsi="宋体" w:eastAsia="宋体"/>
      <w:color w:val="000000"/>
      <w:sz w:val="22"/>
      <w:szCs w:val="22"/>
    </w:rPr>
  </w:style>
  <w:style w:type="character" w:styleId="41">
    <w:name w:val="Placeholder Text"/>
    <w:basedOn w:val="16"/>
    <w:unhideWhenUsed/>
    <w:qFormat/>
    <w:uiPriority w:val="99"/>
    <w:rPr>
      <w:color w:val="808080"/>
    </w:rPr>
  </w:style>
  <w:style w:type="paragraph" w:customStyle="1" w:styleId="42">
    <w:name w:val="修订2"/>
    <w:hidden/>
    <w:unhideWhenUsed/>
    <w:qFormat/>
    <w:uiPriority w:val="99"/>
    <w:rPr>
      <w:rFonts w:ascii="Times New Roman" w:hAnsi="Times New Roman" w:eastAsia="宋体" w:cs="Times New Roman"/>
      <w:kern w:val="2"/>
      <w:sz w:val="21"/>
      <w:szCs w:val="22"/>
      <w:lang w:val="en-US" w:eastAsia="zh-CN" w:bidi="ar-SA"/>
    </w:rPr>
  </w:style>
  <w:style w:type="paragraph" w:customStyle="1" w:styleId="43">
    <w:name w:val="修订3"/>
    <w:hidden/>
    <w:unhideWhenUsed/>
    <w:qFormat/>
    <w:uiPriority w:val="99"/>
    <w:rPr>
      <w:rFonts w:ascii="Times New Roman" w:hAnsi="Times New Roman" w:eastAsia="宋体" w:cs="Times New Roman"/>
      <w:kern w:val="2"/>
      <w:sz w:val="21"/>
      <w:szCs w:val="22"/>
      <w:lang w:val="en-US" w:eastAsia="zh-CN" w:bidi="ar-SA"/>
    </w:rPr>
  </w:style>
  <w:style w:type="paragraph" w:customStyle="1" w:styleId="44">
    <w:name w:val="Revision"/>
    <w:hidden/>
    <w:unhideWhenUsed/>
    <w:qFormat/>
    <w:uiPriority w:val="99"/>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098"/>
    <customShpInfo spid="_x0000_s4099"/>
    <customShpInfo spid="_x0000_s409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5C84CD-8877-47DD-8E2C-A441A4C53E45}">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41</Pages>
  <Words>6234</Words>
  <Characters>35537</Characters>
  <Lines>296</Lines>
  <Paragraphs>83</Paragraphs>
  <TotalTime>0</TotalTime>
  <ScaleCrop>false</ScaleCrop>
  <LinksUpToDate>false</LinksUpToDate>
  <CharactersWithSpaces>41688</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2022-11-13T05:12:00Z</dcterms:created>
  <dc:creator>JSYH</dc:creator>
  <cp:lastModifiedBy>刘航宇</cp:lastModifiedBy>
  <cp:lastPrinted>2022-03-04T08:58:00Z</cp:lastPrinted>
  <dcterms:modified xsi:type="dcterms:W3CDTF">2022-12-27T08:38:12Z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A30B4F8233A641D28C6BDF6F2DC6A43F</vt:lpwstr>
  </property>
</Properties>
</file>