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ascii="楷体" w:hAnsi="楷体" w:eastAsia="楷体"/>
        </w:rPr>
      </w:pPr>
      <w:r>
        <mc:AlternateContent>
          <mc:Choice Requires="wps">
            <w:drawing>
              <wp:anchor distT="45720" distB="45720" distL="114300" distR="114300" simplePos="0" relativeHeight="251662336" behindDoc="0" locked="0" layoutInCell="1" allowOverlap="1">
                <wp:simplePos x="0" y="0"/>
                <wp:positionH relativeFrom="margin">
                  <wp:align>center</wp:align>
                </wp:positionH>
                <wp:positionV relativeFrom="paragraph">
                  <wp:posOffset>419100</wp:posOffset>
                </wp:positionV>
                <wp:extent cx="5756910" cy="2337435"/>
                <wp:effectExtent l="0" t="0" r="15240" b="24765"/>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56910" cy="2337683"/>
                        </a:xfrm>
                        <a:prstGeom prst="rect">
                          <a:avLst/>
                        </a:prstGeom>
                        <a:solidFill>
                          <a:srgbClr val="FFFFFF"/>
                        </a:solidFill>
                        <a:ln w="9525">
                          <a:solidFill>
                            <a:srgbClr val="000000"/>
                          </a:solidFill>
                          <a:miter lim="800000"/>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jc w:val="left"/>
                              <w:rPr>
                                <w:rFonts w:ascii="楷体" w:hAnsi="楷体" w:eastAsia="楷体"/>
                                <w:b/>
                                <w:u w:val="single"/>
                              </w:rPr>
                            </w:pPr>
                            <w:r>
                              <w:rPr>
                                <w:rFonts w:hint="eastAsia" w:ascii="楷体" w:hAnsi="楷体" w:eastAsia="楷体"/>
                                <w:b/>
                                <w:u w:val="single"/>
                              </w:rPr>
                              <w:t>本产品销售机构可为投资者提供“快速赎回”增值服务，客户可通过销售机构进行快速赎回，如无特殊情况，</w:t>
                            </w:r>
                            <w:r>
                              <w:rPr>
                                <w:rFonts w:hint="eastAsia" w:ascii="楷体" w:hAnsi="楷体" w:eastAsia="楷体"/>
                                <w:b/>
                                <w:u w:val="single"/>
                                <w:lang w:val="en-US" w:eastAsia="zh-CN"/>
                              </w:rPr>
                              <w:t>快速</w:t>
                            </w:r>
                            <w:r>
                              <w:rPr>
                                <w:rFonts w:hint="eastAsia" w:ascii="楷体" w:hAnsi="楷体" w:eastAsia="楷体"/>
                                <w:b/>
                                <w:u w:val="single"/>
                              </w:rPr>
                              <w:t>赎回资金将于赎回申请日当日到账。特别说明“快速赎回”为本理财产品的增值服务，是否开通以销售机构设置为准，“快速赎回”业务处理规则以销售机构的快速赎回服务协议约定为准。</w:t>
                            </w:r>
                          </w:p>
                          <w:p>
                            <w:pPr>
                              <w:numPr>
                                <w:ilvl w:val="0"/>
                                <w:numId w:val="1"/>
                              </w:numPr>
                              <w:jc w:val="left"/>
                              <w:rPr>
                                <w:rFonts w:ascii="楷体" w:hAnsi="楷体" w:eastAsia="楷体"/>
                                <w:b/>
                                <w:u w:val="single"/>
                              </w:rPr>
                            </w:pPr>
                            <w:r>
                              <w:rPr>
                                <w:rFonts w:hint="eastAsia" w:ascii="楷体" w:hAnsi="楷体" w:eastAsia="楷体"/>
                                <w:b/>
                                <w:u w:val="single"/>
                              </w:rPr>
                              <w:t>份额确认前投资者已扣划的申购资金属于在途待确认份额状态，苏银理财不计付在途资金从扣款日至份额确认日间的利息。</w:t>
                            </w:r>
                          </w:p>
                          <w:p>
                            <w:pPr>
                              <w:numPr>
                                <w:ilvl w:val="0"/>
                                <w:numId w:val="1"/>
                              </w:numPr>
                              <w:jc w:val="left"/>
                              <w:rPr>
                                <w:rFonts w:ascii="楷体" w:hAnsi="楷体" w:eastAsia="楷体"/>
                                <w:b/>
                                <w:u w:val="single"/>
                              </w:rPr>
                            </w:pPr>
                            <w:r>
                              <w:rPr>
                                <w:rFonts w:hint="eastAsia" w:ascii="楷体" w:hAnsi="楷体" w:eastAsia="楷体"/>
                                <w:b/>
                                <w:u w:val="single"/>
                              </w:rPr>
                              <w:t>本产品每日分红、红利再投，客户继续持有的红利份额可参与后续理财产品投资收益分配。</w:t>
                            </w:r>
                          </w:p>
                          <w:p>
                            <w:pPr>
                              <w:ind w:left="360" w:right="115" w:rightChars="55"/>
                              <w:rPr>
                                <w:rFonts w:ascii="楷体" w:hAnsi="楷体" w:eastAsia="楷体"/>
                              </w:rPr>
                            </w:pPr>
                            <w:r>
                              <w:rPr>
                                <w:rFonts w:hint="eastAsia" w:ascii="楷体" w:hAnsi="楷体" w:eastAsia="楷体"/>
                              </w:rPr>
                              <w:t>以上为本产品的特别提示，详细内容请仔细阅读理财产品合同。</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top:33pt;height:184.05pt;width:453.3pt;mso-position-horizontal:center;mso-position-horizontal-relative:margin;mso-wrap-distance-bottom:3.6pt;mso-wrap-distance-left:9pt;mso-wrap-distance-right:9pt;mso-wrap-distance-top:3.6pt;z-index:251662336;mso-width-relative:page;mso-height-relative:page;" fillcolor="#FFFFFF" filled="t" stroked="t" coordsize="21600,21600" o:gfxdata="UEsDBAoAAAAAAIdO4kAAAAAAAAAAAAAAAAAEAAAAZHJzL1BLAwQUAAAACACHTuJAv2xXL9cAAAAH&#10;AQAADwAAAGRycy9kb3ducmV2LnhtbE2PwU7DMBBE70j8g7VIXFBrh0amDXF6QALBjRZUrm68TSLs&#10;dbDdtPw95gSn1WhGM2/r9dlZNmGIgycFxVwAQ2q9GahT8P72OFsCi0mT0dYTKvjGCOvm8qLWlfEn&#10;2uC0TR3LJRQrraBPaaw4j22PTse5H5Gyd/DB6ZRl6LgJ+pTLneW3Qkju9EB5odcjPvTYfm6PTsGy&#10;fJ4+4sviddfKg12lm7vp6SsodX1ViHtgCc/pLwy/+Bkdmsy090cykVkF+ZGkQMp8s7sSUgLbKygX&#10;ZQG8qfl//uYHUEsDBBQAAAAIAIdO4kCY2mwQSQIAAJYEAAAOAAAAZHJzL2Uyb0RvYy54bWytVM2O&#10;0zAQviPxDpbvbNq03W2jpqtlV4uQlh9p4QFcx2ksbI+x3SbLA8AbcOLCnefqczB2sqUsIO2BHCJP&#10;ZvzNzPfNZHneaUV2wnkJpqTjkxElwnCopNmU9P2762dzSnxgpmIKjCjpnfD0fPX0ybK1hcihAVUJ&#10;RxDE+KK1JW1CsEWWed4IzfwJWGHQWYPTLKDpNlnlWIvoWmX5aHSateAq64AL7/HrVe+kA6J7DCDU&#10;teTiCvhWCxN6VCcUC9iSb6T1dJWqrWvBw5u69iIQVVLsNKQ3JsHzOr6z1ZIVG8dsI/lQAntMCQ96&#10;0kwaTHqAumKBka2Tf0BpyR14qMMJB531jSRGsIvx6AE3tw2zIvWCVHt7IN3/P1j+evfWEVmVNKfE&#10;MI2C779+2X/7sf/+meSRntb6AqNuLcaF7jl0ODSpVW9vgH/wxMBlw8xGXDgHbSNYheWN483s6GqP&#10;4yPIun0FFeZh2wAJqKudjtwhGwTRUZq7gzSiC4Tjx9nZ7HQxRhdHXz6ZnJ3OJykHK+6vW+fDCwGa&#10;xENJHWqf4NnuxodYDivuQ2I2D0pW11KpZLjN+lI5smM4J9fpGdB/C1OGtCVdzPJZz8A/IUbp+RuE&#10;lgHXR0ld0vlxkDKxDpFGdqg30hcZ67kL3bob5FhDdYdEOujHGZcZDw24T5S0OMol9R+3zAlK1EuD&#10;YizG02mc/WRMZ2c5Gu7Ysz72MMMRqqSBkv54Gfp92VonNw1m6uU3cIEC1jJRG0vtqxpkx3FNjA+r&#10;Fffh2E5Rv34nq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bFcv1wAAAAcBAAAPAAAAAAAAAAEA&#10;IAAAACIAAABkcnMvZG93bnJldi54bWxQSwECFAAUAAAACACHTuJAmNpsEEkCAACWBAAADgAAAAAA&#10;AAABACAAAAAmAQAAZHJzL2Uyb0RvYy54bWxQSwUGAAAAAAYABgBZAQAA4QUAAAAA&#10;">
                <v:fill on="t" focussize="0,0"/>
                <v:stroke color="#000000" miterlimit="8"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jc w:val="left"/>
                        <w:rPr>
                          <w:rFonts w:ascii="楷体" w:hAnsi="楷体" w:eastAsia="楷体"/>
                          <w:b/>
                          <w:u w:val="single"/>
                        </w:rPr>
                      </w:pPr>
                      <w:r>
                        <w:rPr>
                          <w:rFonts w:hint="eastAsia" w:ascii="楷体" w:hAnsi="楷体" w:eastAsia="楷体"/>
                          <w:b/>
                          <w:u w:val="single"/>
                        </w:rPr>
                        <w:t>本产品销售机构可为投资者提供“快速赎回”增值服务，客户可通过销售机构进行快速赎回，如无特殊情况，</w:t>
                      </w:r>
                      <w:r>
                        <w:rPr>
                          <w:rFonts w:hint="eastAsia" w:ascii="楷体" w:hAnsi="楷体" w:eastAsia="楷体"/>
                          <w:b/>
                          <w:u w:val="single"/>
                          <w:lang w:val="en-US" w:eastAsia="zh-CN"/>
                        </w:rPr>
                        <w:t>快速</w:t>
                      </w:r>
                      <w:r>
                        <w:rPr>
                          <w:rFonts w:hint="eastAsia" w:ascii="楷体" w:hAnsi="楷体" w:eastAsia="楷体"/>
                          <w:b/>
                          <w:u w:val="single"/>
                        </w:rPr>
                        <w:t>赎回资金将于赎回申请日当日到账。特别说明“快速赎回”为本理财产品的增值服务，是否开通以销售机构设置为准，“快速赎回”业务处理规则以销售机构的快速赎回服务协议约定为准。</w:t>
                      </w:r>
                    </w:p>
                    <w:p>
                      <w:pPr>
                        <w:numPr>
                          <w:ilvl w:val="0"/>
                          <w:numId w:val="1"/>
                        </w:numPr>
                        <w:jc w:val="left"/>
                        <w:rPr>
                          <w:rFonts w:ascii="楷体" w:hAnsi="楷体" w:eastAsia="楷体"/>
                          <w:b/>
                          <w:u w:val="single"/>
                        </w:rPr>
                      </w:pPr>
                      <w:r>
                        <w:rPr>
                          <w:rFonts w:hint="eastAsia" w:ascii="楷体" w:hAnsi="楷体" w:eastAsia="楷体"/>
                          <w:b/>
                          <w:u w:val="single"/>
                        </w:rPr>
                        <w:t>份额确认前投资者已扣划的申购资金属于在途待确认份额状态，苏银理财不计付在途资金从扣款日至份额确认日间的利息。</w:t>
                      </w:r>
                    </w:p>
                    <w:p>
                      <w:pPr>
                        <w:numPr>
                          <w:ilvl w:val="0"/>
                          <w:numId w:val="1"/>
                        </w:numPr>
                        <w:jc w:val="left"/>
                        <w:rPr>
                          <w:rFonts w:ascii="楷体" w:hAnsi="楷体" w:eastAsia="楷体"/>
                          <w:b/>
                          <w:u w:val="single"/>
                        </w:rPr>
                      </w:pPr>
                      <w:r>
                        <w:rPr>
                          <w:rFonts w:hint="eastAsia" w:ascii="楷体" w:hAnsi="楷体" w:eastAsia="楷体"/>
                          <w:b/>
                          <w:u w:val="single"/>
                        </w:rPr>
                        <w:t>本产品每日分红、红利再投，客户继续持有的红利份额可参与后续理财产品投资收益分配。</w:t>
                      </w:r>
                    </w:p>
                    <w:p>
                      <w:pPr>
                        <w:ind w:left="360" w:right="115" w:rightChars="55"/>
                        <w:rPr>
                          <w:rFonts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p>
    <w:p>
      <w:pPr>
        <w:pStyle w:val="12"/>
        <w:spacing w:before="0" w:beforeAutospacing="0" w:after="0" w:afterAutospacing="0" w:line="360" w:lineRule="auto"/>
        <w:jc w:val="center"/>
        <w:rPr>
          <w:rFonts w:ascii="楷体" w:hAnsi="楷体" w:eastAsia="楷体"/>
          <w:b/>
          <w:sz w:val="36"/>
          <w:szCs w:val="36"/>
        </w:rPr>
      </w:pPr>
      <w:r>
        <w:rPr>
          <w:rFonts w:hint="eastAsia" w:ascii="楷体" w:hAnsi="楷体" w:eastAsia="楷体"/>
          <w:b/>
          <w:sz w:val="36"/>
          <w:szCs w:val="36"/>
        </w:rPr>
        <w:t>“苏银理财启源融汇现金1号”</w:t>
      </w:r>
    </w:p>
    <w:p>
      <w:pPr>
        <w:pStyle w:val="12"/>
        <w:spacing w:before="0" w:beforeAutospacing="0" w:after="0" w:afterAutospacing="0" w:line="360" w:lineRule="auto"/>
        <w:jc w:val="center"/>
        <w:rPr>
          <w:rFonts w:ascii="楷体" w:hAnsi="楷体" w:eastAsia="楷体"/>
          <w:b/>
          <w:sz w:val="36"/>
          <w:szCs w:val="36"/>
        </w:rPr>
      </w:pPr>
      <w:bookmarkStart w:id="0" w:name="_GoBack"/>
      <w:bookmarkEnd w:id="0"/>
      <w:r>
        <w:rPr>
          <w:rFonts w:hint="eastAsia" w:ascii="楷体" w:hAnsi="楷体" w:eastAsia="楷体"/>
          <w:b/>
          <w:sz w:val="36"/>
          <w:szCs w:val="36"/>
        </w:rPr>
        <w:t>理财产品合同</w:t>
      </w:r>
    </w:p>
    <w:p>
      <w:pPr>
        <w:pStyle w:val="12"/>
        <w:spacing w:before="0" w:beforeAutospacing="0" w:after="0" w:afterAutospacing="0" w:line="360" w:lineRule="auto"/>
        <w:jc w:val="center"/>
        <w:rPr>
          <w:rFonts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0" w:afterAutospacing="0" w:line="360" w:lineRule="auto"/>
        <w:jc w:val="center"/>
        <w:rPr>
          <w:rFonts w:ascii="楷体" w:hAnsi="楷体" w:eastAsia="楷体"/>
          <w:b/>
        </w:rPr>
      </w:pPr>
      <w:r>
        <w:rPr>
          <w:rFonts w:hint="eastAsia" w:ascii="楷体" w:hAnsi="楷体" w:eastAsia="楷体"/>
          <w:b/>
        </w:rPr>
        <w:t>（2022年12月版）</w:t>
      </w:r>
    </w:p>
    <w:p>
      <w:pPr>
        <w:pStyle w:val="12"/>
        <w:spacing w:before="0" w:beforeAutospacing="0" w:after="0" w:afterAutospacing="0" w:line="360" w:lineRule="auto"/>
        <w:rPr>
          <w:rFonts w:ascii="楷体" w:hAnsi="楷体" w:eastAsia="楷体"/>
          <w:b/>
          <w:sz w:val="30"/>
          <w:szCs w:val="30"/>
        </w:rPr>
      </w:pPr>
    </w:p>
    <w:tbl>
      <w:tblPr>
        <w:tblStyle w:val="14"/>
        <w:tblW w:w="895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094"/>
        <w:gridCol w:w="286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序号</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理财产品合同中的具体文件名称</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“苏银理财启源融汇现金1号”理财产品风险揭示书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“苏银理财启源融汇现金1号”理财产品说明书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highlight w:val="yellow"/>
              </w:rPr>
            </w:pPr>
            <w:r>
              <w:rPr>
                <w:rFonts w:hint="eastAsia" w:ascii="楷体" w:hAnsi="楷体" w:eastAsia="楷体"/>
                <w:sz w:val="18"/>
                <w:szCs w:val="18"/>
              </w:rPr>
              <w:t>投资者权益须知</w:t>
            </w:r>
            <w:r>
              <w:rPr>
                <w:rStyle w:val="20"/>
                <w:rFonts w:hint="eastAsia" w:ascii="楷体" w:hAnsi="楷体" w:eastAsia="楷体"/>
                <w:sz w:val="18"/>
                <w:szCs w:val="18"/>
              </w:rPr>
              <w:footnoteReference w:id="0"/>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5</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highlight w:val="yellow"/>
              </w:rPr>
            </w:pPr>
            <w:r>
              <w:rPr>
                <w:rFonts w:hint="eastAsia" w:ascii="楷体" w:hAnsi="楷体" w:eastAsia="楷体"/>
                <w:sz w:val="18"/>
                <w:szCs w:val="18"/>
                <w:highlight w:val="none"/>
              </w:rPr>
              <w:t>理财产品（代理）销售协议书</w:t>
            </w:r>
            <w:r>
              <w:rPr>
                <w:rStyle w:val="20"/>
                <w:rFonts w:ascii="楷体" w:hAnsi="楷体" w:eastAsia="楷体"/>
                <w:sz w:val="18"/>
                <w:szCs w:val="18"/>
                <w:highlight w:val="none"/>
              </w:rPr>
              <w:footnoteReference w:id="1"/>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理财产品（代理）销售协议书</w:t>
            </w:r>
          </w:p>
        </w:tc>
      </w:tr>
    </w:tbl>
    <w:p>
      <w:pPr>
        <w:pStyle w:val="12"/>
        <w:spacing w:before="0" w:beforeAutospacing="0" w:after="0" w:afterAutospacing="0" w:line="280" w:lineRule="atLeast"/>
      </w:pPr>
    </w:p>
    <w:p>
      <w:pPr>
        <w:pStyle w:val="12"/>
        <w:spacing w:before="0" w:beforeAutospacing="0" w:after="0" w:afterAutospacing="0" w:line="280" w:lineRule="atLeast"/>
        <w:rPr>
          <w:rFonts w:ascii="楷体" w:hAnsi="楷体" w:eastAsia="楷体"/>
        </w:rPr>
      </w:pPr>
      <w:r>
        <w:rPr>
          <w:rStyle w:val="17"/>
          <w:rFonts w:hint="eastAsia" w:ascii="楷体" w:hAnsi="楷体" w:eastAsia="楷体"/>
          <w:bCs w:val="0"/>
        </w:rPr>
        <w:t>郑重提示：</w:t>
      </w:r>
    </w:p>
    <w:p>
      <w:pPr>
        <w:pStyle w:val="12"/>
        <w:spacing w:before="0" w:beforeAutospacing="0" w:after="0" w:afterAutospacing="0" w:line="280" w:lineRule="atLeast"/>
        <w:rPr>
          <w:rFonts w:ascii="楷体" w:hAnsi="楷体" w:eastAsia="楷体"/>
        </w:rPr>
      </w:pPr>
    </w:p>
    <w:p>
      <w:pPr>
        <w:pStyle w:val="12"/>
        <w:spacing w:before="0" w:beforeAutospacing="0" w:after="0" w:afterAutospacing="0"/>
        <w:ind w:firstLine="480" w:firstLineChars="200"/>
        <w:rPr>
          <w:rFonts w:ascii="楷体" w:hAnsi="楷体" w:eastAsia="楷体"/>
        </w:rPr>
      </w:pPr>
      <w:r>
        <w:rPr>
          <w:rFonts w:hint="eastAsia" w:ascii="楷体" w:hAnsi="楷体" w:eastAsia="楷体" w:cs="Times New Roman"/>
        </w:rPr>
        <w:t>《风险揭示书》、《理财产品说明书》、《理财产品投资协议书》、《投资者权益须知》、《理财产品（代理）销售协议书》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0" w:beforeAutospacing="0" w:after="0" w:afterAutospacing="0"/>
        <w:ind w:firstLine="480" w:firstLineChars="200"/>
        <w:rPr>
          <w:rFonts w:ascii="楷体" w:hAnsi="楷体" w:eastAsia="楷体"/>
        </w:rPr>
      </w:pPr>
    </w:p>
    <w:p>
      <w:pPr>
        <w:pStyle w:val="12"/>
        <w:spacing w:before="0" w:beforeAutospacing="0" w:after="0" w:afterAutospacing="0"/>
        <w:ind w:firstLine="480" w:firstLineChars="200"/>
        <w:rPr>
          <w:rFonts w:ascii="楷体" w:hAnsi="楷体" w:eastAsia="楷体" w:cs="Times New Roman"/>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spacing w:before="0" w:beforeAutospacing="0" w:after="0" w:afterAutospacing="0"/>
        <w:ind w:firstLine="480" w:firstLineChars="200"/>
        <w:rPr>
          <w:rFonts w:ascii="楷体" w:hAnsi="楷体" w:eastAsia="楷体"/>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“苏银理财启源融汇现金1号”理财产品说明书</w:t>
      </w:r>
    </w:p>
    <w:p>
      <w:pPr>
        <w:jc w:val="center"/>
        <w:rPr>
          <w:rFonts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ascii="楷体" w:hAnsi="楷体" w:eastAsia="楷体"/>
          <w:b/>
          <w:sz w:val="28"/>
          <w:szCs w:val="28"/>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其他风险等。请仔细阅读《“苏银理财启源融汇现金1号”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ascii="楷体" w:hAnsi="楷体" w:eastAsia="楷体"/>
          <w:b/>
          <w:bCs/>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该调整事项将于生效前</w:t>
      </w:r>
      <w:r>
        <w:rPr>
          <w:rFonts w:ascii="楷体" w:hAnsi="楷体" w:eastAsia="楷体"/>
          <w:sz w:val="24"/>
          <w:szCs w:val="24"/>
        </w:rPr>
        <w:t>2</w:t>
      </w:r>
      <w:r>
        <w:rPr>
          <w:rFonts w:hint="eastAsia" w:ascii="楷体" w:hAnsi="楷体" w:eastAsia="楷体"/>
          <w:sz w:val="24"/>
          <w:szCs w:val="24"/>
        </w:rPr>
        <w:t>个工作日按说明书约定的信息披露方式予以披露。</w:t>
      </w:r>
      <w:r>
        <w:rPr>
          <w:rFonts w:hint="eastAsia" w:ascii="楷体" w:hAnsi="楷体" w:eastAsia="楷体"/>
          <w:b/>
          <w:bCs/>
          <w:sz w:val="24"/>
          <w:szCs w:val="24"/>
          <w:u w:val="single"/>
        </w:rPr>
        <w:t>若本理财产品的投资者不接受上述调整，则应及时通过销售机构赎回本产品（高风险类型的理财产品超出比例范围投资较低风险资产的情况除外）；若本理财产品投资者未赎回本产品，则视为本理财产品投资者对相关调整无异议并继续持有本理财产品。</w:t>
      </w:r>
    </w:p>
    <w:p>
      <w:pPr>
        <w:numPr>
          <w:ilvl w:val="0"/>
          <w:numId w:val="2"/>
        </w:numPr>
        <w:rPr>
          <w:rFonts w:ascii="楷体" w:hAnsi="楷体" w:eastAsia="楷体"/>
          <w:sz w:val="24"/>
          <w:szCs w:val="24"/>
        </w:rPr>
      </w:pPr>
      <w:r>
        <w:rPr>
          <w:rFonts w:hint="eastAsia" w:ascii="楷体" w:hAnsi="楷体" w:eastAsia="楷体"/>
          <w:sz w:val="24"/>
          <w:szCs w:val="24"/>
        </w:rPr>
        <w:t>为贯彻落实银保监会和银行业理财登记托管中心的要求，苏银理财将向监管机构报送理财产品投资者身份信息、每日交易、持仓等信息。后续银保监会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ascii="楷体" w:hAnsi="楷体" w:eastAsia="楷体"/>
          <w:sz w:val="24"/>
          <w:szCs w:val="24"/>
        </w:rPr>
      </w:pPr>
      <w:r>
        <w:rPr>
          <w:rFonts w:hint="eastAsia" w:ascii="楷体" w:hAnsi="楷体" w:eastAsia="楷体"/>
          <w:sz w:val="24"/>
          <w:szCs w:val="24"/>
        </w:rPr>
        <w:t>投资者通过代销机构或直接与苏银理财签署理财合同，代销机构或苏银理财在划款时，不再通过任何方式与投资者进行最后确认，直接划款。</w:t>
      </w:r>
    </w:p>
    <w:p>
      <w:pPr>
        <w:numPr>
          <w:ilvl w:val="0"/>
          <w:numId w:val="2"/>
        </w:numPr>
        <w:rPr>
          <w:rFonts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1"/>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1"/>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795" w:type="dxa"/>
            <w:vAlign w:val="center"/>
          </w:tcPr>
          <w:p>
            <w:pPr>
              <w:pStyle w:val="36"/>
              <w:kinsoku w:val="0"/>
              <w:overflowPunct w:val="0"/>
              <w:spacing w:before="13"/>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苏银理财启源融汇现金1号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0"/>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795" w:type="dxa"/>
            <w:vAlign w:val="center"/>
          </w:tcPr>
          <w:p>
            <w:pPr>
              <w:pStyle w:val="36"/>
              <w:kinsoku w:val="0"/>
              <w:overflowPunct w:val="0"/>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Z7003121000014</w:t>
            </w:r>
          </w:p>
          <w:p>
            <w:pPr>
              <w:pStyle w:val="36"/>
              <w:kinsoku w:val="0"/>
              <w:overflowPunct w:val="0"/>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t>www.chinawealth.com．cn</w:t>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苏银理财启源现金1号-个人/</w:t>
            </w:r>
            <w:r>
              <w:rPr>
                <w:rFonts w:ascii="楷体" w:hAnsi="楷体" w:eastAsia="楷体" w:cs="宋体"/>
                <w:spacing w:val="-2"/>
                <w:sz w:val="21"/>
                <w:szCs w:val="21"/>
              </w:rPr>
              <w:t>J183008SA819</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苏银理财启源现金1号-直销/</w:t>
            </w:r>
            <w:r>
              <w:rPr>
                <w:rFonts w:ascii="楷体" w:hAnsi="楷体" w:eastAsia="楷体" w:cs="宋体"/>
                <w:spacing w:val="-2"/>
                <w:sz w:val="21"/>
                <w:szCs w:val="21"/>
              </w:rPr>
              <w:t>J183008SA81B</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苏银理财启源现金1号-对公/</w:t>
            </w:r>
            <w:r>
              <w:rPr>
                <w:rFonts w:ascii="楷体" w:hAnsi="楷体" w:eastAsia="楷体" w:cs="宋体"/>
                <w:spacing w:val="-2"/>
                <w:sz w:val="21"/>
                <w:szCs w:val="21"/>
              </w:rPr>
              <w:t>J183008SB81C</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苏银理财启源现金1号-私享/</w:t>
            </w:r>
            <w:r>
              <w:rPr>
                <w:rFonts w:ascii="楷体" w:hAnsi="楷体" w:eastAsia="楷体" w:cs="宋体"/>
                <w:spacing w:val="-2"/>
                <w:sz w:val="21"/>
                <w:szCs w:val="21"/>
              </w:rPr>
              <w:t>J183008SA81</w:t>
            </w:r>
            <w:r>
              <w:rPr>
                <w:rFonts w:hint="eastAsia" w:ascii="楷体" w:hAnsi="楷体" w:eastAsia="楷体" w:cs="宋体"/>
                <w:spacing w:val="-2"/>
                <w:sz w:val="21"/>
                <w:szCs w:val="21"/>
              </w:rPr>
              <w:t>D</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苏银理财启源现金1号-E/J01623</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苏银理财启源现金1号-F/J02008</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苏银理财启源现金1号-G/J02158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销售机构</w:t>
            </w:r>
          </w:p>
        </w:tc>
        <w:tc>
          <w:tcPr>
            <w:tcW w:w="6795" w:type="dxa"/>
            <w:vAlign w:val="center"/>
          </w:tcPr>
          <w:p>
            <w:pPr>
              <w:pStyle w:val="36"/>
              <w:kinsoku w:val="0"/>
              <w:overflowPunct w:val="0"/>
              <w:spacing w:before="13"/>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2"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795" w:type="dxa"/>
            <w:vAlign w:val="center"/>
          </w:tcPr>
          <w:p>
            <w:pPr>
              <w:pStyle w:val="36"/>
              <w:kinsoku w:val="0"/>
              <w:overflowPunct w:val="0"/>
              <w:spacing w:before="13"/>
              <w:ind w:left="59" w:right="73" w:rightChars="35"/>
              <w:jc w:val="both"/>
              <w:rPr>
                <w:rFonts w:ascii="楷体" w:hAnsi="楷体" w:eastAsia="楷体" w:cs="宋体"/>
                <w:b/>
                <w:spacing w:val="-2"/>
                <w:sz w:val="21"/>
                <w:szCs w:val="21"/>
                <w:u w:val="single"/>
              </w:rPr>
            </w:pPr>
            <w:r>
              <w:rPr>
                <w:rFonts w:hint="eastAsia" w:ascii="楷体" w:hAnsi="楷体" w:eastAsia="楷体" w:cs="宋体"/>
                <w:spacing w:val="-2"/>
                <w:sz w:val="21"/>
                <w:szCs w:val="21"/>
              </w:rPr>
              <w:t>1、★一级，本评级为苏银理财有限责任公司内部评级，由苏银理财根据理财产品的投资组合、同类产品过往业绩和风险状况等因素，对理财产品进行评级，仅供客户参考。</w:t>
            </w:r>
          </w:p>
          <w:p>
            <w:pPr>
              <w:pStyle w:val="36"/>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2、本产品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36"/>
              <w:kinsoku w:val="0"/>
              <w:overflowPunct w:val="0"/>
              <w:spacing w:before="13"/>
              <w:ind w:left="115" w:right="115" w:rightChars="55"/>
              <w:jc w:val="both"/>
              <w:rPr>
                <w:rFonts w:ascii="楷体" w:hAnsi="楷体" w:eastAsia="楷体" w:cs="宋体"/>
                <w:spacing w:val="-2"/>
                <w:sz w:val="21"/>
                <w:szCs w:val="21"/>
              </w:rPr>
            </w:pPr>
            <w:r>
              <w:rPr>
                <w:rFonts w:hint="eastAsia" w:ascii="楷体" w:hAnsi="楷体" w:eastAsia="楷体" w:cs="宋体"/>
                <w:bCs/>
                <w:spacing w:val="-2"/>
                <w:sz w:val="21"/>
                <w:szCs w:val="21"/>
              </w:rPr>
              <w:t>3、</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产品类型</w:t>
            </w:r>
          </w:p>
        </w:tc>
        <w:tc>
          <w:tcPr>
            <w:tcW w:w="6795" w:type="dxa"/>
            <w:vAlign w:val="center"/>
          </w:tcPr>
          <w:p>
            <w:pPr>
              <w:pStyle w:val="36"/>
              <w:kinsoku w:val="0"/>
              <w:overflowPunct w:val="0"/>
              <w:spacing w:before="12"/>
              <w:ind w:left="115" w:right="115" w:rightChars="55"/>
              <w:jc w:val="both"/>
              <w:rPr>
                <w:rFonts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苏银理财启源现金1号-个人：个人投资者；</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苏银理财启源现金1号-直销：个人投资者（仅限代销机构江苏银行直销银行渠道销售）；</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苏银理财启源现金1号-对公：机构投资者；</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苏银理财启源现金1号-私享：个人投资者（仅限销售机构江苏银行私行客户及其他销售机构的特定客群购买，具体以销售机构系统设置为准。</w:t>
            </w:r>
            <w:r>
              <w:rPr>
                <w:rFonts w:ascii="楷体" w:hAnsi="楷体" w:eastAsia="楷体" w:cs="宋体"/>
                <w:spacing w:val="-2"/>
                <w:sz w:val="21"/>
                <w:szCs w:val="21"/>
              </w:rPr>
              <w:t>江苏银行</w:t>
            </w:r>
            <w:r>
              <w:rPr>
                <w:rFonts w:hint="eastAsia" w:ascii="楷体" w:hAnsi="楷体" w:eastAsia="楷体" w:cs="宋体"/>
                <w:spacing w:val="-2"/>
                <w:sz w:val="21"/>
                <w:szCs w:val="21"/>
              </w:rPr>
              <w:t>私行客户指在江苏银行日均资产大于等于600万元的个人客户）；</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苏银理财启源现金1号-E：个人（非江苏银行渠道，具体以“</w:t>
            </w:r>
            <w:r>
              <w:rPr>
                <w:rFonts w:hint="eastAsia" w:ascii="楷体" w:hAnsi="楷体" w:eastAsia="楷体" w:cs="宋体"/>
                <w:b w:val="0"/>
                <w:color w:val="auto"/>
                <w:spacing w:val="-2"/>
                <w:sz w:val="21"/>
                <w:szCs w:val="21"/>
                <w:lang w:bidi="ar-SA"/>
              </w:rPr>
              <w:t>销售机构”公示为准</w:t>
            </w:r>
            <w:r>
              <w:rPr>
                <w:rFonts w:hint="eastAsia" w:ascii="楷体" w:hAnsi="楷体" w:eastAsia="楷体" w:cs="宋体"/>
                <w:spacing w:val="-2"/>
                <w:sz w:val="21"/>
                <w:szCs w:val="21"/>
              </w:rPr>
              <w:t>）；</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苏银理财启源现金1号-F：个人和机构投资者（非江苏银行渠道，具体以“销售机构”公示为准）。</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苏银理财启源现金1号-</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：个人和机构投资者</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rPr>
              <w:t>非江苏银行渠道，具体以“销售机构”公示为准）</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795" w:type="dxa"/>
            <w:vAlign w:val="center"/>
          </w:tcPr>
          <w:p>
            <w:pPr>
              <w:pStyle w:val="36"/>
              <w:kinsoku w:val="0"/>
              <w:overflowPunct w:val="0"/>
              <w:spacing w:before="14"/>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795" w:type="dxa"/>
            <w:vAlign w:val="center"/>
          </w:tcPr>
          <w:p>
            <w:pPr>
              <w:pStyle w:val="36"/>
              <w:spacing w:before="37" w:line="273" w:lineRule="auto"/>
              <w:ind w:left="103" w:right="103"/>
              <w:rPr>
                <w:rFonts w:ascii="楷体" w:hAnsi="楷体" w:eastAsia="楷体" w:cs="宋体"/>
                <w:spacing w:val="-2"/>
                <w:sz w:val="21"/>
                <w:szCs w:val="21"/>
              </w:rPr>
            </w:pPr>
            <w:r>
              <w:rPr>
                <w:rFonts w:hint="eastAsia" w:ascii="楷体" w:hAnsi="楷体" w:eastAsia="楷体" w:cs="宋体"/>
                <w:spacing w:val="-2"/>
                <w:sz w:val="21"/>
                <w:szCs w:val="21"/>
              </w:rPr>
              <w:t>7天通知存款利率（管理人</w:t>
            </w:r>
            <w:r>
              <w:rPr>
                <w:rFonts w:ascii="楷体" w:hAnsi="楷体" w:eastAsia="楷体" w:cs="宋体"/>
                <w:spacing w:val="-2"/>
                <w:sz w:val="21"/>
                <w:szCs w:val="21"/>
              </w:rPr>
              <w:t>参考过往投资经验，依据近期货币市场工具、债券等资产</w:t>
            </w:r>
            <w:r>
              <w:rPr>
                <w:rFonts w:hint="eastAsia" w:ascii="楷体" w:hAnsi="楷体" w:eastAsia="楷体" w:cs="宋体"/>
                <w:spacing w:val="-2"/>
                <w:sz w:val="21"/>
                <w:szCs w:val="21"/>
              </w:rPr>
              <w:t>投资</w:t>
            </w:r>
            <w:r>
              <w:rPr>
                <w:rFonts w:ascii="楷体" w:hAnsi="楷体" w:eastAsia="楷体" w:cs="宋体"/>
                <w:spacing w:val="-2"/>
                <w:sz w:val="21"/>
                <w:szCs w:val="21"/>
              </w:rPr>
              <w:t>收益水平，</w:t>
            </w:r>
            <w:r>
              <w:rPr>
                <w:rFonts w:hint="eastAsia" w:ascii="楷体" w:hAnsi="楷体" w:eastAsia="楷体" w:cs="宋体"/>
                <w:spacing w:val="-2"/>
                <w:sz w:val="21"/>
                <w:szCs w:val="21"/>
                <w:lang w:eastAsia="zh-CN"/>
              </w:rPr>
              <w:t>综合考虑各份额收取的销售服务费和投资管理费的情况，</w:t>
            </w:r>
            <w:r>
              <w:rPr>
                <w:rFonts w:ascii="楷体" w:hAnsi="楷体" w:eastAsia="楷体" w:cs="宋体"/>
                <w:spacing w:val="-2"/>
                <w:sz w:val="21"/>
                <w:szCs w:val="21"/>
              </w:rPr>
              <w:t>在产品说明书约定的投资范围和投资比例内模拟测算得出</w:t>
            </w:r>
            <w:r>
              <w:rPr>
                <w:rFonts w:hint="eastAsia" w:ascii="楷体" w:hAnsi="楷体" w:eastAsia="楷体" w:cs="宋体"/>
                <w:spacing w:val="-2"/>
                <w:sz w:val="21"/>
                <w:szCs w:val="21"/>
              </w:rPr>
              <w:t>）。</w:t>
            </w:r>
          </w:p>
          <w:p>
            <w:pPr>
              <w:ind w:left="115" w:right="115" w:rightChars="55"/>
              <w:rPr>
                <w:rFonts w:ascii="楷体" w:hAnsi="楷体" w:eastAsia="楷体" w:cs="宋体"/>
                <w:b/>
                <w:spacing w:val="-2"/>
                <w:kern w:val="0"/>
                <w:szCs w:val="21"/>
                <w:u w:val="single"/>
              </w:rPr>
            </w:pPr>
            <w:r>
              <w:rPr>
                <w:rFonts w:hint="eastAsia" w:ascii="楷体" w:hAnsi="楷体" w:eastAsia="楷体" w:cs="宋体"/>
                <w:b/>
                <w:spacing w:val="-2"/>
                <w:szCs w:val="21"/>
                <w:u w:val="single"/>
              </w:rPr>
              <w:t>本产品为净值型产品，业绩表现将随市场波动，具有不确定性。业绩比较基准仅作为管理人收取超额业绩报酬的依据，不代表理财产品未来表现，不等于理财产品实际收益，不作为产品收益的业绩保证，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初始募集规模1亿元，存量规模上限为1</w:t>
            </w:r>
            <w:r>
              <w:rPr>
                <w:rFonts w:hint="eastAsia" w:ascii="楷体" w:hAnsi="楷体" w:eastAsia="楷体" w:cs="宋体"/>
                <w:spacing w:val="-2"/>
                <w:sz w:val="21"/>
                <w:szCs w:val="21"/>
                <w:lang w:val="en-US" w:eastAsia="zh-CN"/>
              </w:rPr>
              <w:t>650</w:t>
            </w:r>
            <w:r>
              <w:rPr>
                <w:rFonts w:hint="eastAsia" w:ascii="楷体" w:hAnsi="楷体" w:eastAsia="楷体" w:cs="宋体"/>
                <w:spacing w:val="-2"/>
                <w:sz w:val="21"/>
                <w:szCs w:val="21"/>
              </w:rPr>
              <w:t>亿元，各份额发行规模上限如下：</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苏银理财启源现金1号-个人：发行规模上限</w:t>
            </w:r>
            <w:r>
              <w:rPr>
                <w:rFonts w:ascii="楷体" w:hAnsi="楷体" w:eastAsia="楷体" w:cs="宋体"/>
                <w:spacing w:val="-2"/>
                <w:sz w:val="21"/>
                <w:szCs w:val="21"/>
              </w:rPr>
              <w:t>100</w:t>
            </w:r>
            <w:r>
              <w:rPr>
                <w:rFonts w:hint="eastAsia" w:ascii="楷体" w:hAnsi="楷体" w:eastAsia="楷体" w:cs="宋体"/>
                <w:spacing w:val="-2"/>
                <w:sz w:val="21"/>
                <w:szCs w:val="21"/>
              </w:rPr>
              <w:t>0亿元。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苏银理财启源现金1号-直销：发行规模上限</w:t>
            </w:r>
            <w:r>
              <w:rPr>
                <w:rFonts w:ascii="楷体" w:hAnsi="楷体" w:eastAsia="楷体" w:cs="宋体"/>
                <w:spacing w:val="-2"/>
                <w:sz w:val="21"/>
                <w:szCs w:val="21"/>
              </w:rPr>
              <w:t>1</w:t>
            </w:r>
            <w:r>
              <w:rPr>
                <w:rFonts w:hint="eastAsia" w:ascii="楷体" w:hAnsi="楷体" w:eastAsia="楷体" w:cs="宋体"/>
                <w:spacing w:val="-2"/>
                <w:sz w:val="21"/>
                <w:szCs w:val="21"/>
              </w:rPr>
              <w:t>00亿元。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苏银理财启源现金1号-对公：发行规模上限200亿元。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苏银理财启源现金1号-私享：发行规模上限100亿元。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苏银理财启源现金1号-E：发行规模上限为</w:t>
            </w:r>
            <w:r>
              <w:rPr>
                <w:rFonts w:hint="eastAsia" w:ascii="楷体" w:hAnsi="楷体" w:eastAsia="楷体" w:cs="宋体"/>
                <w:spacing w:val="-2"/>
                <w:sz w:val="21"/>
                <w:szCs w:val="21"/>
                <w:lang w:val="en-US" w:eastAsia="zh-CN"/>
              </w:rPr>
              <w:t>100</w:t>
            </w:r>
            <w:r>
              <w:rPr>
                <w:rFonts w:hint="eastAsia" w:ascii="楷体" w:hAnsi="楷体" w:eastAsia="楷体" w:cs="宋体"/>
                <w:spacing w:val="-2"/>
                <w:sz w:val="21"/>
                <w:szCs w:val="21"/>
              </w:rPr>
              <w:t>亿元。</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苏银理财启源现金1号-F：发行规模上限为50亿元。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苏银理财启源现金1号-G：发行规模上限100亿元。</w:t>
            </w:r>
          </w:p>
          <w:p>
            <w:pPr>
              <w:pStyle w:val="36"/>
              <w:kinsoku/>
              <w:overflowPunct/>
              <w:spacing w:before="0"/>
              <w:ind w:left="0" w:right="0" w:rightChars="0"/>
              <w:jc w:val="left"/>
              <w:rPr>
                <w:rFonts w:ascii="楷体" w:hAnsi="楷体" w:eastAsia="楷体" w:cs="宋体"/>
                <w:spacing w:val="-2"/>
                <w:sz w:val="21"/>
                <w:szCs w:val="21"/>
              </w:rPr>
            </w:pPr>
            <w:r>
              <w:rPr>
                <w:rFonts w:hint="eastAsia" w:ascii="楷体" w:hAnsi="楷体" w:eastAsia="楷体" w:cs="宋体"/>
                <w:spacing w:val="-2"/>
                <w:sz w:val="21"/>
                <w:szCs w:val="21"/>
              </w:rPr>
              <w:t>管理人有权对各款产品发行规模上限根据实际业务需求进行调整。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认购起点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苏银理财启源现金1号-个人：首次认/申购起点金额为</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元,追加申购金额为0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苏银理财启源现金1号-直销：首次认/申购起点金额为</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元,追加申购金额为0.01元的整数倍。</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苏银理财启源现金1号-对公：首次认/申购起点金额为1万元,追加申购金额为0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苏银理财启源现金1号-私享：首次认/申购起点金额为100万元,追加申购金额为1万元的整数倍。</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苏银理财启源现金1号-E：首次认/申购起点金额为0.01元,追加申购金额为0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苏银理财启源现金1号-F：首次认/申购起点金额为0.01元,追加申购金额为0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苏银理财启源现金1号-</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：次认/申购起点金额为</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元,追加申购金额为0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ind w:left="115" w:right="115" w:rightChars="55"/>
              <w:rPr>
                <w:rFonts w:ascii="楷体" w:hAnsi="楷体" w:eastAsia="楷体" w:cs="宋体"/>
                <w:spacing w:val="-2"/>
                <w:szCs w:val="21"/>
              </w:rPr>
            </w:pPr>
            <w:r>
              <w:rPr>
                <w:rFonts w:hint="eastAsia" w:ascii="楷体" w:hAnsi="楷体" w:eastAsia="楷体" w:cs="宋体"/>
                <w:spacing w:val="-2"/>
                <w:szCs w:val="21"/>
              </w:rPr>
              <w:t>苏银理财有权对上述起点金额和递增金额进行调整，并在调整前进行公告。</w:t>
            </w:r>
          </w:p>
          <w:p>
            <w:pPr>
              <w:ind w:left="115" w:right="115" w:rightChars="55"/>
              <w:rPr>
                <w:rFonts w:ascii="楷体" w:hAnsi="楷体" w:eastAsia="楷体" w:cs="宋体"/>
                <w:spacing w:val="-2"/>
                <w:szCs w:val="21"/>
              </w:rPr>
            </w:pPr>
            <w:r>
              <w:rPr>
                <w:rFonts w:hint="eastAsia" w:ascii="楷体" w:hAnsi="楷体" w:eastAsia="楷体"/>
                <w:szCs w:val="21"/>
              </w:rPr>
              <w:t>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单一投资者单日累计认/申购上限</w:t>
            </w:r>
          </w:p>
        </w:tc>
        <w:tc>
          <w:tcPr>
            <w:tcW w:w="6795" w:type="dxa"/>
            <w:vAlign w:val="center"/>
          </w:tcPr>
          <w:p>
            <w:pPr>
              <w:pStyle w:val="36"/>
              <w:kinsoku w:val="0"/>
              <w:overflowPunct w:val="0"/>
              <w:spacing w:before="12"/>
              <w:ind w:left="115" w:right="115" w:rightChars="55"/>
              <w:jc w:val="both"/>
              <w:rPr>
                <w:rFonts w:ascii="楷体" w:hAnsi="楷体" w:eastAsia="楷体" w:cs="宋体"/>
                <w:b/>
                <w:spacing w:val="-2"/>
                <w:sz w:val="21"/>
                <w:szCs w:val="21"/>
                <w:u w:val="single"/>
              </w:rPr>
            </w:pPr>
            <w:r>
              <w:rPr>
                <w:rFonts w:hint="eastAsia" w:ascii="楷体" w:hAnsi="楷体" w:eastAsia="楷体" w:cs="宋体"/>
                <w:spacing w:val="-2"/>
                <w:sz w:val="21"/>
                <w:szCs w:val="21"/>
              </w:rPr>
              <w:t>各款产品</w:t>
            </w:r>
            <w:r>
              <w:rPr>
                <w:rFonts w:hint="eastAsia" w:ascii="楷体" w:hAnsi="楷体" w:eastAsia="楷体" w:cs="宋体"/>
                <w:b w:val="0"/>
                <w:spacing w:val="-2"/>
                <w:sz w:val="21"/>
                <w:szCs w:val="21"/>
              </w:rPr>
              <w:t>单一投资者单日累计认/申购上限</w:t>
            </w:r>
            <w:r>
              <w:rPr>
                <w:rFonts w:hint="eastAsia" w:ascii="楷体" w:hAnsi="楷体" w:eastAsia="楷体" w:cs="宋体"/>
                <w:spacing w:val="-2"/>
                <w:sz w:val="21"/>
                <w:szCs w:val="21"/>
              </w:rPr>
              <w:t>5000万元，超过单日累计认/申购上限时，管理人和销售机构有权拒绝投资者的认/申购申请。产品存续期内管理人和销售机构有权根据实际情况调整单日累计认</w:t>
            </w:r>
            <w:r>
              <w:rPr>
                <w:rFonts w:ascii="楷体" w:hAnsi="楷体" w:eastAsia="楷体" w:cs="宋体"/>
                <w:spacing w:val="-2"/>
                <w:sz w:val="21"/>
                <w:szCs w:val="21"/>
              </w:rPr>
              <w:t>/申购上限。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单一投资者持有上限</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苏银理财启源现金1号-个人：1亿元。</w:t>
            </w:r>
          </w:p>
          <w:p>
            <w:pPr>
              <w:pStyle w:val="36"/>
              <w:kinsoku w:val="0"/>
              <w:overflowPunct w:val="0"/>
              <w:spacing w:before="12"/>
              <w:ind w:left="115" w:right="115" w:rightChars="55"/>
            </w:pPr>
            <w:r>
              <w:rPr>
                <w:rFonts w:hint="eastAsia" w:ascii="楷体" w:hAnsi="楷体" w:eastAsia="楷体" w:cs="宋体"/>
                <w:spacing w:val="-2"/>
                <w:sz w:val="21"/>
                <w:szCs w:val="21"/>
              </w:rPr>
              <w:t>苏银理财启源现金1号-直销：1亿元。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苏银理财启源现金1号-对公：3亿元。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苏银理财启源现金1号-私享：3亿元。</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苏银理财启源现金1号-E: 1亿元。</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苏银理财启源现金1号-F：1亿元。</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苏银理财启源现金1号-G：1亿元</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ascii="楷体" w:hAnsi="楷体" w:eastAsia="楷体" w:cs="宋体"/>
                <w:b/>
                <w:spacing w:val="-2"/>
                <w:sz w:val="21"/>
                <w:szCs w:val="21"/>
                <w:u w:val="single"/>
              </w:rPr>
            </w:pPr>
            <w:r>
              <w:rPr>
                <w:rFonts w:hint="eastAsia" w:ascii="楷体" w:hAnsi="楷体" w:eastAsia="楷体" w:cs="宋体"/>
                <w:spacing w:val="-2"/>
                <w:sz w:val="21"/>
                <w:szCs w:val="21"/>
              </w:rPr>
              <w:t>产品存续期内管理人和销售机构有权根据实际情况调整单一投资者持有上限</w:t>
            </w:r>
            <w:r>
              <w:rPr>
                <w:rFonts w:ascii="楷体" w:hAnsi="楷体" w:eastAsia="楷体" w:cs="宋体"/>
                <w:spacing w:val="-2"/>
                <w:sz w:val="21"/>
                <w:szCs w:val="21"/>
              </w:rPr>
              <w:t>。</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b/>
                <w:spacing w:val="-2"/>
                <w:sz w:val="21"/>
                <w:szCs w:val="21"/>
                <w:u w:val="single"/>
              </w:rPr>
              <w:t>本理财产品不允许单一投资者持有份额超过本理财产品总份额的</w:t>
            </w:r>
            <w:r>
              <w:rPr>
                <w:rFonts w:ascii="楷体" w:hAnsi="楷体" w:eastAsia="楷体" w:cs="宋体"/>
                <w:b/>
                <w:spacing w:val="-2"/>
                <w:sz w:val="21"/>
                <w:szCs w:val="21"/>
                <w:u w:val="single"/>
              </w:rPr>
              <w:t>50%</w:t>
            </w:r>
            <w:r>
              <w:rPr>
                <w:rFonts w:hint="eastAsia" w:ascii="楷体" w:hAnsi="楷体" w:eastAsia="楷体" w:cs="宋体"/>
                <w:spacing w:val="-2"/>
                <w:sz w:val="21"/>
                <w:szCs w:val="21"/>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份额面值</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认购期</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2018年8月27日9:00至2018年8月29日17:00</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管理人在法律允许的范围内保留延长或提前终止产品认购期的权利。如有变动，实际产品认购期以管理人公告为准。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2018年8月30日</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或新的法律、法规导致本产品无法合法合规运行，或出现其他导致影响产品成立不可抗力因素，产品管理人有权利但无义务宣布产品不成立，并于产品认购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2041年3月8日（如遇节假日，顺延至下一工作日）</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在符合本理财产品说明书约定的条件下，管理人有权提前终止该产品，产品到期日受制于提前终止条款。详见下文“十三、产品的终止与清算”。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封闭期</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本产品募集结束后封闭运作两周（2018年8月30日至2018年9月12日），自2018年9月13日起开放申购/赎回。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开放日</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本理财产品存续期间，每个工作日为开放日（T日），管理人仅在工作日对投资者的申购、赎回申请进行确认。管理人有权根据资产运作情况、节假日安排调整开放日，并在调整前进行公告。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申购/赎回</w:t>
            </w:r>
          </w:p>
        </w:tc>
        <w:tc>
          <w:tcPr>
            <w:tcW w:w="6795" w:type="dxa"/>
            <w:vAlign w:val="center"/>
          </w:tcPr>
          <w:p>
            <w:pPr>
              <w:ind w:left="115" w:right="115" w:rightChars="55"/>
              <w:rPr>
                <w:rFonts w:ascii="楷体" w:hAnsi="楷体" w:eastAsia="楷体" w:cs="宋体"/>
                <w:spacing w:val="-2"/>
                <w:szCs w:val="21"/>
              </w:rPr>
            </w:pPr>
            <w:r>
              <w:rPr>
                <w:rFonts w:hint="eastAsia" w:ascii="楷体" w:hAnsi="楷体" w:eastAsia="楷体" w:cs="宋体"/>
                <w:b/>
                <w:bCs/>
                <w:spacing w:val="-2"/>
                <w:szCs w:val="21"/>
                <w:u w:val="single"/>
              </w:rPr>
              <w:t>每日0：00-24:00开放申购/赎回，系统清算时间除外。</w:t>
            </w:r>
            <w:r>
              <w:rPr>
                <w:rFonts w:hint="eastAsia" w:ascii="楷体" w:hAnsi="楷体" w:eastAsia="楷体" w:cs="宋体"/>
                <w:spacing w:val="-2"/>
                <w:szCs w:val="21"/>
              </w:rPr>
              <w:t>申购</w:t>
            </w:r>
            <w:r>
              <w:rPr>
                <w:rFonts w:ascii="楷体" w:hAnsi="楷体" w:eastAsia="楷体" w:cs="宋体"/>
                <w:spacing w:val="-2"/>
                <w:szCs w:val="21"/>
              </w:rPr>
              <w:t>/赎回</w:t>
            </w:r>
            <w:r>
              <w:rPr>
                <w:rFonts w:hint="eastAsia" w:ascii="楷体" w:hAnsi="楷体" w:eastAsia="楷体" w:cs="宋体"/>
                <w:spacing w:val="-2"/>
                <w:szCs w:val="21"/>
              </w:rPr>
              <w:t>确认规则详见下文“九、产品申购、赎回”。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巨额申购</w:t>
            </w:r>
          </w:p>
        </w:tc>
        <w:tc>
          <w:tcPr>
            <w:tcW w:w="6795" w:type="dxa"/>
            <w:vAlign w:val="center"/>
          </w:tcPr>
          <w:p>
            <w:pPr>
              <w:pStyle w:val="36"/>
              <w:kinsoku w:val="0"/>
              <w:overflowPunct w:val="0"/>
              <w:spacing w:before="12"/>
              <w:ind w:left="206" w:leftChars="98" w:right="115" w:rightChars="55" w:firstLine="0" w:firstLineChars="0"/>
              <w:rPr>
                <w:rFonts w:ascii="楷体" w:hAnsi="楷体" w:eastAsia="楷体" w:cs="宋体"/>
                <w:bCs/>
                <w:spacing w:val="-2"/>
                <w:szCs w:val="21"/>
              </w:rPr>
            </w:pPr>
            <w:r>
              <w:rPr>
                <w:rFonts w:hint="eastAsia" w:ascii="楷体" w:hAnsi="楷体" w:eastAsia="楷体" w:cs="宋体"/>
                <w:spacing w:val="-2"/>
                <w:sz w:val="21"/>
                <w:szCs w:val="21"/>
              </w:rPr>
              <w:t>产品单个开放日</w:t>
            </w:r>
            <w:r>
              <w:rPr>
                <w:rFonts w:hint="eastAsia" w:ascii="楷体" w:hAnsi="楷体" w:eastAsia="楷体" w:cs="宋体"/>
                <w:spacing w:val="-2"/>
                <w:sz w:val="21"/>
                <w:szCs w:val="21"/>
                <w:lang w:val="en-US" w:eastAsia="zh-CN"/>
              </w:rPr>
              <w:t>净</w:t>
            </w:r>
            <w:r>
              <w:rPr>
                <w:rFonts w:hint="eastAsia" w:ascii="楷体" w:hAnsi="楷体" w:eastAsia="楷体" w:cs="宋体"/>
                <w:spacing w:val="-2"/>
                <w:sz w:val="21"/>
                <w:szCs w:val="21"/>
              </w:rPr>
              <w:t>申购</w:t>
            </w:r>
            <w:r>
              <w:rPr>
                <w:rFonts w:hint="eastAsia" w:ascii="楷体" w:hAnsi="楷体" w:eastAsia="楷体" w:cs="宋体"/>
                <w:spacing w:val="-2"/>
                <w:sz w:val="21"/>
                <w:szCs w:val="21"/>
                <w:lang w:val="en-US" w:eastAsia="zh-CN"/>
              </w:rPr>
              <w:t>申请</w:t>
            </w:r>
            <w:r>
              <w:rPr>
                <w:rFonts w:hint="eastAsia" w:ascii="楷体" w:hAnsi="楷体" w:eastAsia="楷体" w:cs="宋体"/>
                <w:spacing w:val="-2"/>
                <w:sz w:val="21"/>
                <w:szCs w:val="21"/>
              </w:rPr>
              <w:t>折算产品份额超过上一日产品总份额</w:t>
            </w:r>
            <w:r>
              <w:rPr>
                <w:rFonts w:ascii="楷体" w:hAnsi="楷体" w:eastAsia="楷体" w:cs="宋体"/>
                <w:spacing w:val="-2"/>
                <w:sz w:val="21"/>
                <w:szCs w:val="21"/>
              </w:rPr>
              <w:t>20%时</w:t>
            </w:r>
            <w:r>
              <w:rPr>
                <w:rFonts w:hint="eastAsia" w:ascii="楷体" w:hAnsi="楷体" w:eastAsia="楷体" w:cs="宋体"/>
                <w:spacing w:val="-2"/>
                <w:sz w:val="21"/>
                <w:szCs w:val="21"/>
              </w:rPr>
              <w:t>，即认为发生了巨额申购。当出现巨额申购时，产品管理人有权拒绝客户的全部或部分申购申请。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快速赎回</w:t>
            </w:r>
          </w:p>
        </w:tc>
        <w:tc>
          <w:tcPr>
            <w:tcW w:w="6795" w:type="dxa"/>
            <w:vAlign w:val="center"/>
          </w:tcPr>
          <w:p>
            <w:pPr>
              <w:ind w:left="115" w:right="115" w:rightChars="55"/>
              <w:rPr>
                <w:rFonts w:ascii="楷体" w:hAnsi="楷体" w:eastAsia="楷体" w:cs="宋体"/>
                <w:bCs/>
                <w:spacing w:val="-2"/>
                <w:szCs w:val="21"/>
              </w:rPr>
            </w:pPr>
            <w:r>
              <w:rPr>
                <w:rFonts w:hint="eastAsia" w:ascii="楷体" w:hAnsi="楷体" w:eastAsia="楷体" w:cs="宋体"/>
                <w:b/>
                <w:bCs/>
                <w:spacing w:val="-2"/>
                <w:szCs w:val="21"/>
                <w:u w:val="single"/>
              </w:rPr>
              <w:t xml:space="preserve">1、本产品销售机构可为投资者提供 </w:t>
            </w:r>
            <w:r>
              <w:rPr>
                <w:rFonts w:ascii="楷体" w:hAnsi="楷体" w:eastAsia="楷体" w:cs="宋体"/>
                <w:b/>
                <w:bCs/>
                <w:spacing w:val="-2"/>
                <w:szCs w:val="21"/>
                <w:u w:val="single"/>
              </w:rPr>
              <w:t>“快速赎回”增值服务，客户可通过</w:t>
            </w:r>
            <w:r>
              <w:rPr>
                <w:rFonts w:hint="eastAsia" w:ascii="楷体" w:hAnsi="楷体" w:eastAsia="楷体" w:cs="宋体"/>
                <w:b/>
                <w:bCs/>
                <w:spacing w:val="-2"/>
                <w:szCs w:val="21"/>
                <w:u w:val="single"/>
              </w:rPr>
              <w:t>销售机构</w:t>
            </w:r>
            <w:r>
              <w:rPr>
                <w:rFonts w:ascii="楷体" w:hAnsi="楷体" w:eastAsia="楷体" w:cs="宋体"/>
                <w:b/>
                <w:bCs/>
                <w:spacing w:val="-2"/>
                <w:szCs w:val="21"/>
                <w:u w:val="single"/>
              </w:rPr>
              <w:t>渠道进行快速赎回，如无特殊情况，赎回资金将于赎回申请日当日到账。</w:t>
            </w:r>
            <w:r>
              <w:rPr>
                <w:rFonts w:hint="eastAsia" w:ascii="楷体" w:hAnsi="楷体" w:eastAsia="楷体" w:cs="宋体"/>
                <w:bCs/>
                <w:spacing w:val="-2"/>
                <w:szCs w:val="21"/>
              </w:rPr>
              <w:t>“快速赎回”为本理财产品的增值服务，具体业务处理原则以</w:t>
            </w:r>
            <w:r>
              <w:rPr>
                <w:rFonts w:hint="eastAsia" w:ascii="楷体" w:hAnsi="楷体" w:eastAsia="楷体" w:cs="宋体"/>
                <w:b w:val="0"/>
                <w:bCs/>
                <w:spacing w:val="-2"/>
                <w:szCs w:val="21"/>
                <w:u w:val="none"/>
              </w:rPr>
              <w:t>销售机构</w:t>
            </w:r>
            <w:r>
              <w:rPr>
                <w:rFonts w:hint="eastAsia" w:ascii="楷体" w:hAnsi="楷体" w:eastAsia="楷体" w:cs="宋体"/>
                <w:bCs/>
                <w:spacing w:val="-2"/>
                <w:szCs w:val="21"/>
              </w:rPr>
              <w:t>的快速赎回服务协议约定为准。管理人将根据快速赎回服务协议的约定，履行份额快速过户及理财份额收益划付等职责。</w:t>
            </w:r>
          </w:p>
          <w:p>
            <w:pPr>
              <w:ind w:right="115" w:rightChars="55" w:firstLine="206" w:firstLineChars="100"/>
              <w:rPr>
                <w:rFonts w:ascii="楷体" w:hAnsi="楷体" w:eastAsia="楷体" w:cs="宋体"/>
                <w:b/>
                <w:spacing w:val="-2"/>
                <w:szCs w:val="21"/>
                <w:u w:val="single"/>
              </w:rPr>
            </w:pPr>
            <w:r>
              <w:rPr>
                <w:rFonts w:ascii="楷体" w:hAnsi="楷体" w:eastAsia="楷体" w:cs="宋体"/>
                <w:bCs/>
                <w:spacing w:val="-2"/>
                <w:szCs w:val="21"/>
              </w:rPr>
              <w:t>2、面向江苏银行客户销售的</w:t>
            </w:r>
            <w:r>
              <w:rPr>
                <w:rFonts w:hint="eastAsia" w:ascii="楷体" w:hAnsi="楷体" w:eastAsia="楷体" w:cs="宋体"/>
                <w:bCs/>
                <w:spacing w:val="-2"/>
                <w:szCs w:val="21"/>
              </w:rPr>
              <w:t>（苏银理财启源现金</w:t>
            </w:r>
            <w:r>
              <w:rPr>
                <w:rFonts w:ascii="楷体" w:hAnsi="楷体" w:eastAsia="楷体" w:cs="宋体"/>
                <w:bCs/>
                <w:spacing w:val="-2"/>
                <w:szCs w:val="21"/>
              </w:rPr>
              <w:t>1号-个人/</w:t>
            </w:r>
            <w:r>
              <w:rPr>
                <w:rFonts w:hint="eastAsia" w:ascii="楷体" w:hAnsi="楷体" w:eastAsia="楷体" w:cs="宋体"/>
                <w:bCs/>
                <w:spacing w:val="-2"/>
                <w:szCs w:val="21"/>
              </w:rPr>
              <w:t>苏银理财启源现金</w:t>
            </w:r>
            <w:r>
              <w:rPr>
                <w:rFonts w:ascii="楷体" w:hAnsi="楷体" w:eastAsia="楷体" w:cs="宋体"/>
                <w:bCs/>
                <w:spacing w:val="-2"/>
                <w:szCs w:val="21"/>
              </w:rPr>
              <w:t>1号-直销/</w:t>
            </w:r>
            <w:r>
              <w:rPr>
                <w:rFonts w:hint="eastAsia" w:ascii="楷体" w:hAnsi="楷体" w:eastAsia="楷体" w:cs="宋体"/>
                <w:bCs/>
                <w:spacing w:val="-2"/>
                <w:szCs w:val="21"/>
              </w:rPr>
              <w:t>苏银理财启源现金</w:t>
            </w:r>
            <w:r>
              <w:rPr>
                <w:rFonts w:ascii="楷体" w:hAnsi="楷体" w:eastAsia="楷体" w:cs="宋体"/>
                <w:bCs/>
                <w:spacing w:val="-2"/>
                <w:szCs w:val="21"/>
              </w:rPr>
              <w:t>1号-对公/</w:t>
            </w:r>
            <w:r>
              <w:rPr>
                <w:rFonts w:hint="eastAsia" w:ascii="楷体" w:hAnsi="楷体" w:eastAsia="楷体" w:cs="宋体"/>
                <w:bCs/>
                <w:spacing w:val="-2"/>
                <w:szCs w:val="21"/>
              </w:rPr>
              <w:t>苏银理财启源现金</w:t>
            </w:r>
            <w:r>
              <w:rPr>
                <w:rFonts w:ascii="楷体" w:hAnsi="楷体" w:eastAsia="楷体" w:cs="宋体"/>
                <w:bCs/>
                <w:spacing w:val="-2"/>
                <w:szCs w:val="21"/>
              </w:rPr>
              <w:t>1号-私享</w:t>
            </w:r>
            <w:r>
              <w:rPr>
                <w:rFonts w:hint="eastAsia" w:ascii="楷体" w:hAnsi="楷体" w:eastAsia="楷体" w:cs="宋体"/>
                <w:bCs/>
                <w:spacing w:val="-2"/>
                <w:szCs w:val="21"/>
              </w:rPr>
              <w:t>）4款产品，</w:t>
            </w:r>
            <w:r>
              <w:rPr>
                <w:rFonts w:hint="eastAsia" w:ascii="楷体" w:hAnsi="楷体" w:eastAsia="楷体" w:cs="宋体"/>
                <w:b/>
                <w:bCs/>
                <w:spacing w:val="-2"/>
                <w:szCs w:val="21"/>
                <w:u w:val="single"/>
              </w:rPr>
              <w:t>每款产品每个自然日江苏银行为客户提供的</w:t>
            </w:r>
            <w:r>
              <w:rPr>
                <w:rFonts w:ascii="楷体" w:hAnsi="楷体" w:eastAsia="楷体" w:cs="宋体"/>
                <w:b/>
                <w:bCs/>
                <w:spacing w:val="-2"/>
                <w:szCs w:val="21"/>
                <w:u w:val="single"/>
              </w:rPr>
              <w:t>“快速赎回”</w:t>
            </w:r>
            <w:r>
              <w:rPr>
                <w:rFonts w:hint="eastAsia" w:ascii="楷体" w:hAnsi="楷体" w:eastAsia="楷体" w:cs="宋体"/>
                <w:b/>
                <w:bCs/>
                <w:spacing w:val="-2"/>
                <w:szCs w:val="21"/>
                <w:u w:val="single"/>
              </w:rPr>
              <w:t>限额为</w:t>
            </w:r>
            <w:r>
              <w:rPr>
                <w:rFonts w:ascii="楷体" w:hAnsi="楷体" w:eastAsia="楷体" w:cs="宋体"/>
                <w:b/>
                <w:bCs/>
                <w:spacing w:val="-2"/>
                <w:szCs w:val="21"/>
                <w:u w:val="single"/>
              </w:rPr>
              <w:t>1万元</w:t>
            </w:r>
            <w:r>
              <w:rPr>
                <w:rFonts w:hint="eastAsia" w:ascii="楷体" w:hAnsi="楷体" w:eastAsia="楷体" w:cs="宋体"/>
                <w:b/>
                <w:bCs/>
                <w:spacing w:val="-2"/>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巨额赎回</w:t>
            </w:r>
          </w:p>
        </w:tc>
        <w:tc>
          <w:tcPr>
            <w:tcW w:w="6795" w:type="dxa"/>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w:t>
            </w:r>
          </w:p>
          <w:p>
            <w:pPr>
              <w:ind w:left="115" w:right="115" w:rightChars="55"/>
              <w:rPr>
                <w:rFonts w:ascii="楷体" w:hAnsi="楷体" w:eastAsia="楷体" w:cs="宋体"/>
                <w:b/>
                <w:spacing w:val="-2"/>
                <w:szCs w:val="21"/>
                <w:u w:val="single"/>
              </w:rPr>
            </w:pPr>
            <w:r>
              <w:rPr>
                <w:rFonts w:hint="eastAsia" w:ascii="楷体" w:hAnsi="楷体" w:eastAsia="楷体" w:cs="宋体"/>
                <w:b/>
                <w:spacing w:val="-2"/>
                <w:szCs w:val="21"/>
                <w:u w:val="single"/>
              </w:rPr>
              <w:t>发生巨额赎回时，当日办理的赎回份额不得低于前一日终理财产品总份额的10%，对其余赎回申请管理人有权选择全额赎回、部分赎回或延缓支付赎回款项。对该产品单个份额持有人的赎回申请，按照其申请占当日申请赎回总份额的比例，确定该份额持有人当日办理的赎回份额。对于该开放日内净赎回额超过本产品上一工作日日终份额10%时，管理人有权拒绝超过10%以上部分的赎回申请，这可能影响投资者的资金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spacing w:val="-2"/>
                <w:sz w:val="21"/>
                <w:szCs w:val="21"/>
              </w:rPr>
            </w:pPr>
            <w:r>
              <w:rPr>
                <w:rFonts w:hint="eastAsia" w:ascii="楷体" w:hAnsi="楷体" w:eastAsia="楷体" w:cs="宋体"/>
                <w:b/>
                <w:spacing w:val="-2"/>
                <w:sz w:val="21"/>
                <w:szCs w:val="21"/>
              </w:rPr>
              <w:t>产品费用</w:t>
            </w:r>
          </w:p>
        </w:tc>
        <w:tc>
          <w:tcPr>
            <w:tcW w:w="6795" w:type="dxa"/>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本产品费用包括托管费、销售服务费、投资管理费以及产品运作和清算中产生的其他费用等。</w:t>
            </w:r>
          </w:p>
          <w:p>
            <w:pPr>
              <w:ind w:left="115" w:right="115" w:rightChars="55"/>
              <w:rPr>
                <w:rFonts w:ascii="楷体" w:hAnsi="楷体" w:eastAsia="楷体" w:cs="宋体"/>
                <w:spacing w:val="-2"/>
                <w:szCs w:val="21"/>
              </w:rPr>
            </w:pPr>
            <w:r>
              <w:rPr>
                <w:rFonts w:hint="eastAsia" w:ascii="楷体" w:hAnsi="楷体" w:eastAsia="楷体" w:cs="宋体"/>
                <w:spacing w:val="-2"/>
                <w:szCs w:val="21"/>
              </w:rPr>
              <w:t>1．托管费率：0.</w:t>
            </w:r>
            <w:r>
              <w:rPr>
                <w:rFonts w:ascii="楷体" w:hAnsi="楷体" w:eastAsia="楷体" w:cs="宋体"/>
                <w:spacing w:val="-2"/>
                <w:szCs w:val="21"/>
              </w:rPr>
              <w:t>02</w:t>
            </w:r>
            <w:r>
              <w:rPr>
                <w:rFonts w:hint="eastAsia" w:ascii="楷体" w:hAnsi="楷体" w:eastAsia="楷体" w:cs="宋体"/>
                <w:spacing w:val="-2"/>
                <w:szCs w:val="21"/>
              </w:rPr>
              <w:t>%/年；</w:t>
            </w:r>
          </w:p>
          <w:p>
            <w:pPr>
              <w:ind w:left="115" w:right="115" w:rightChars="55"/>
              <w:rPr>
                <w:rFonts w:ascii="楷体" w:hAnsi="楷体" w:eastAsia="楷体" w:cs="宋体"/>
                <w:spacing w:val="-2"/>
                <w:szCs w:val="21"/>
              </w:rPr>
            </w:pPr>
            <w:r>
              <w:rPr>
                <w:rFonts w:hint="eastAsia" w:ascii="楷体" w:hAnsi="楷体" w:eastAsia="楷体" w:cs="宋体"/>
                <w:spacing w:val="-2"/>
                <w:szCs w:val="21"/>
              </w:rPr>
              <w:t>2．销售服务费率：0.</w:t>
            </w:r>
            <w:r>
              <w:rPr>
                <w:rFonts w:ascii="楷体" w:hAnsi="楷体" w:eastAsia="楷体" w:cs="宋体"/>
                <w:spacing w:val="-2"/>
                <w:szCs w:val="21"/>
              </w:rPr>
              <w:t>20%/</w:t>
            </w:r>
            <w:r>
              <w:rPr>
                <w:rFonts w:hint="eastAsia" w:ascii="楷体" w:hAnsi="楷体" w:eastAsia="楷体" w:cs="宋体"/>
                <w:spacing w:val="-2"/>
                <w:szCs w:val="21"/>
              </w:rPr>
              <w:t>年；</w:t>
            </w:r>
          </w:p>
          <w:p>
            <w:pPr>
              <w:ind w:left="115" w:right="115" w:rightChars="55"/>
              <w:rPr>
                <w:rFonts w:hint="eastAsia" w:ascii="楷体" w:hAnsi="楷体" w:eastAsia="楷体" w:cs="宋体"/>
                <w:spacing w:val="-2"/>
                <w:szCs w:val="21"/>
                <w:lang w:val="en-US" w:eastAsia="zh-CN"/>
              </w:rPr>
            </w:pPr>
            <w:r>
              <w:rPr>
                <w:rFonts w:hint="eastAsia" w:ascii="楷体" w:hAnsi="楷体" w:eastAsia="楷体" w:cs="宋体"/>
                <w:spacing w:val="-2"/>
                <w:szCs w:val="21"/>
              </w:rPr>
              <w:t>3．投资管理费：启源现金1号-个人份额0</w:t>
            </w:r>
            <w:r>
              <w:rPr>
                <w:rFonts w:ascii="楷体" w:hAnsi="楷体" w:eastAsia="楷体" w:cs="宋体"/>
                <w:spacing w:val="-2"/>
                <w:szCs w:val="21"/>
              </w:rPr>
              <w:t>.50</w:t>
            </w:r>
            <w:r>
              <w:rPr>
                <w:rFonts w:hint="eastAsia" w:ascii="楷体" w:hAnsi="楷体" w:eastAsia="楷体" w:cs="宋体"/>
                <w:spacing w:val="-2"/>
                <w:szCs w:val="21"/>
              </w:rPr>
              <w:t>%/年，启源现金1号-直销份额0.</w:t>
            </w:r>
            <w:r>
              <w:rPr>
                <w:rFonts w:ascii="楷体" w:hAnsi="楷体" w:eastAsia="楷体" w:cs="宋体"/>
                <w:spacing w:val="-2"/>
                <w:szCs w:val="21"/>
              </w:rPr>
              <w:t>50</w:t>
            </w:r>
            <w:r>
              <w:rPr>
                <w:rFonts w:hint="eastAsia" w:ascii="楷体" w:hAnsi="楷体" w:eastAsia="楷体" w:cs="宋体"/>
                <w:spacing w:val="-2"/>
                <w:szCs w:val="21"/>
              </w:rPr>
              <w:t>%/年，启源现金1号-对公份额0.</w:t>
            </w:r>
            <w:r>
              <w:rPr>
                <w:rFonts w:ascii="楷体" w:hAnsi="楷体" w:eastAsia="楷体" w:cs="宋体"/>
                <w:spacing w:val="-2"/>
                <w:szCs w:val="21"/>
              </w:rPr>
              <w:t>80%/</w:t>
            </w:r>
            <w:r>
              <w:rPr>
                <w:rFonts w:hint="eastAsia" w:ascii="楷体" w:hAnsi="楷体" w:eastAsia="楷体" w:cs="宋体"/>
                <w:spacing w:val="-2"/>
                <w:szCs w:val="21"/>
              </w:rPr>
              <w:t>年，启源现金1号-私享份额0.</w:t>
            </w:r>
            <w:r>
              <w:rPr>
                <w:rFonts w:ascii="楷体" w:hAnsi="楷体" w:eastAsia="楷体" w:cs="宋体"/>
                <w:spacing w:val="-2"/>
                <w:szCs w:val="21"/>
              </w:rPr>
              <w:t>50</w:t>
            </w:r>
            <w:r>
              <w:rPr>
                <w:rFonts w:hint="eastAsia" w:ascii="楷体" w:hAnsi="楷体" w:eastAsia="楷体" w:cs="宋体"/>
                <w:spacing w:val="-2"/>
                <w:szCs w:val="21"/>
              </w:rPr>
              <w:t>%/年;启源现金1号-E份额0.</w:t>
            </w:r>
            <w:r>
              <w:rPr>
                <w:rFonts w:ascii="楷体" w:hAnsi="楷体" w:eastAsia="楷体" w:cs="宋体"/>
                <w:spacing w:val="-2"/>
                <w:szCs w:val="21"/>
              </w:rPr>
              <w:t>50</w:t>
            </w:r>
            <w:r>
              <w:rPr>
                <w:rFonts w:hint="eastAsia" w:ascii="楷体" w:hAnsi="楷体" w:eastAsia="楷体" w:cs="宋体"/>
                <w:spacing w:val="-2"/>
                <w:szCs w:val="21"/>
              </w:rPr>
              <w:t>%/年；启源现金1号-F份额0.</w:t>
            </w:r>
            <w:r>
              <w:rPr>
                <w:rFonts w:ascii="楷体" w:hAnsi="楷体" w:eastAsia="楷体" w:cs="宋体"/>
                <w:spacing w:val="-2"/>
                <w:szCs w:val="21"/>
              </w:rPr>
              <w:t>50</w:t>
            </w:r>
            <w:r>
              <w:rPr>
                <w:rFonts w:hint="eastAsia" w:ascii="楷体" w:hAnsi="楷体" w:eastAsia="楷体" w:cs="宋体"/>
                <w:spacing w:val="-2"/>
                <w:szCs w:val="21"/>
              </w:rPr>
              <w:t>%/年；启源现金1号-</w:t>
            </w:r>
            <w:r>
              <w:rPr>
                <w:rFonts w:hint="eastAsia" w:ascii="楷体" w:hAnsi="楷体" w:eastAsia="楷体" w:cs="宋体"/>
                <w:spacing w:val="-2"/>
                <w:szCs w:val="21"/>
                <w:lang w:val="en-US" w:eastAsia="zh-CN"/>
              </w:rPr>
              <w:t>G</w:t>
            </w:r>
            <w:r>
              <w:rPr>
                <w:rFonts w:hint="eastAsia" w:ascii="楷体" w:hAnsi="楷体" w:eastAsia="楷体" w:cs="宋体"/>
                <w:spacing w:val="-2"/>
                <w:szCs w:val="21"/>
              </w:rPr>
              <w:t>份额0.</w:t>
            </w:r>
            <w:r>
              <w:rPr>
                <w:rFonts w:ascii="楷体" w:hAnsi="楷体" w:eastAsia="楷体" w:cs="宋体"/>
                <w:spacing w:val="-2"/>
                <w:szCs w:val="21"/>
              </w:rPr>
              <w:t>50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p>
          <w:p>
            <w:pPr>
              <w:ind w:left="115" w:right="115" w:rightChars="55"/>
              <w:rPr>
                <w:rFonts w:ascii="楷体" w:hAnsi="楷体" w:eastAsia="楷体" w:cs="宋体"/>
                <w:spacing w:val="-2"/>
                <w:szCs w:val="21"/>
              </w:rPr>
            </w:pPr>
            <w:r>
              <w:rPr>
                <w:rFonts w:hint="eastAsia" w:ascii="楷体" w:hAnsi="楷体" w:eastAsia="楷体" w:cs="宋体"/>
                <w:b/>
                <w:bCs/>
                <w:spacing w:val="-2"/>
                <w:szCs w:val="21"/>
                <w:u w:val="single"/>
                <w:lang w:val="en-US" w:eastAsia="zh-CN"/>
              </w:rPr>
              <w:t>4</w:t>
            </w:r>
            <w:r>
              <w:rPr>
                <w:rFonts w:ascii="楷体" w:hAnsi="楷体" w:eastAsia="楷体" w:cs="宋体"/>
                <w:b/>
                <w:spacing w:val="-2"/>
                <w:szCs w:val="21"/>
                <w:u w:val="single"/>
              </w:rPr>
              <w:t>.强制赎回费</w:t>
            </w:r>
            <w:r>
              <w:rPr>
                <w:rFonts w:hint="eastAsia" w:ascii="楷体" w:hAnsi="楷体" w:eastAsia="楷体" w:cs="宋体"/>
                <w:spacing w:val="-2"/>
                <w:szCs w:val="21"/>
              </w:rPr>
              <w:t>：</w:t>
            </w:r>
          </w:p>
          <w:p>
            <w:pPr>
              <w:ind w:left="115" w:right="115" w:rightChars="55"/>
              <w:rPr>
                <w:rFonts w:ascii="楷体" w:hAnsi="楷体" w:eastAsia="楷体" w:cs="宋体"/>
                <w:spacing w:val="-2"/>
                <w:szCs w:val="21"/>
              </w:rPr>
            </w:pPr>
            <w:r>
              <w:rPr>
                <w:rFonts w:hint="eastAsia" w:ascii="楷体" w:hAnsi="楷体" w:eastAsia="楷体" w:cs="宋体"/>
                <w:spacing w:val="-2"/>
                <w:szCs w:val="21"/>
              </w:rPr>
              <w:t>（1）</w:t>
            </w:r>
            <w:r>
              <w:rPr>
                <w:rFonts w:hint="eastAsia" w:ascii="楷体" w:hAnsi="楷体" w:eastAsia="楷体" w:cs="宋体"/>
                <w:b/>
                <w:spacing w:val="-2"/>
                <w:szCs w:val="21"/>
                <w:u w:val="single"/>
              </w:rPr>
              <w:t>在满足相关流动性风险管理要求的前提下，当本产品持有的现金、国债、中央银行票据、政策性金融债券以及</w:t>
            </w:r>
            <w:r>
              <w:rPr>
                <w:rFonts w:ascii="楷体" w:hAnsi="楷体" w:eastAsia="楷体" w:cs="宋体"/>
                <w:b/>
                <w:spacing w:val="-2"/>
                <w:szCs w:val="21"/>
                <w:u w:val="single"/>
              </w:rPr>
              <w:t>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w:t>
            </w:r>
            <w:r>
              <w:rPr>
                <w:rFonts w:hint="eastAsia" w:ascii="楷体" w:hAnsi="楷体" w:eastAsia="楷体" w:cs="宋体"/>
                <w:spacing w:val="-2"/>
                <w:szCs w:val="21"/>
              </w:rPr>
              <w:t>管理人与托管人协商确认上述做法无益于本产品利益最大化的情形除外。</w:t>
            </w:r>
          </w:p>
          <w:p>
            <w:pPr>
              <w:ind w:left="115" w:right="115" w:rightChars="55"/>
              <w:rPr>
                <w:rFonts w:ascii="楷体" w:hAnsi="楷体" w:eastAsia="楷体" w:cs="宋体"/>
                <w:spacing w:val="-2"/>
                <w:szCs w:val="21"/>
              </w:rPr>
            </w:pPr>
            <w:r>
              <w:rPr>
                <w:rFonts w:hint="eastAsia" w:ascii="楷体" w:hAnsi="楷体" w:eastAsia="楷体" w:cs="宋体"/>
                <w:spacing w:val="-2"/>
                <w:szCs w:val="21"/>
              </w:rPr>
              <w:t>（2）本产品前10名投资者的持有份额合计超过本产品总份额50%的，当投资组合中现金、国债、中央银行票据、政策性金融债券以及5个交易日内到期的其他金融工具占本产品资产净值的比例合计低于10%且偏离度为负时，</w:t>
            </w:r>
            <w:r>
              <w:rPr>
                <w:rFonts w:hint="eastAsia" w:ascii="楷体" w:hAnsi="楷体" w:eastAsia="楷体" w:cs="宋体"/>
                <w:b/>
                <w:spacing w:val="-2"/>
                <w:szCs w:val="21"/>
                <w:u w:val="single"/>
              </w:rPr>
              <w:t>管理人有权对投资者超过本产品总份额</w:t>
            </w:r>
            <w:r>
              <w:rPr>
                <w:rFonts w:ascii="楷体" w:hAnsi="楷体" w:eastAsia="楷体" w:cs="宋体"/>
                <w:b/>
                <w:spacing w:val="-2"/>
                <w:szCs w:val="21"/>
                <w:u w:val="single"/>
              </w:rPr>
              <w:t>1%以上的赎回申请征收1%的强制赎回费用。</w:t>
            </w:r>
          </w:p>
          <w:p>
            <w:pPr>
              <w:ind w:right="115" w:rightChars="55"/>
              <w:rPr>
                <w:rFonts w:ascii="楷体" w:hAnsi="楷体" w:eastAsia="楷体" w:cs="宋体"/>
                <w:spacing w:val="-2"/>
                <w:szCs w:val="21"/>
              </w:rPr>
            </w:pPr>
            <w:r>
              <w:rPr>
                <w:rFonts w:hint="eastAsia" w:ascii="楷体" w:hAnsi="楷体" w:eastAsia="楷体" w:cs="宋体"/>
                <w:spacing w:val="-2"/>
                <w:szCs w:val="21"/>
              </w:rPr>
              <w:t>法律法规或监管机构另有规定的，从其规定。产品存续期内苏银理财可对</w:t>
            </w:r>
            <w:r>
              <w:rPr>
                <w:rFonts w:hint="eastAsia" w:ascii="楷体" w:hAnsi="楷体" w:eastAsia="楷体" w:cs="宋体"/>
                <w:spacing w:val="-2"/>
                <w:szCs w:val="21"/>
                <w:lang w:val="en-US" w:eastAsia="zh-CN"/>
              </w:rPr>
              <w:t>产品费用</w:t>
            </w:r>
            <w:r>
              <w:rPr>
                <w:rFonts w:hint="eastAsia" w:ascii="楷体" w:hAnsi="楷体" w:eastAsia="楷体" w:cs="宋体"/>
                <w:spacing w:val="-2"/>
                <w:szCs w:val="21"/>
              </w:rPr>
              <w:t>施行优惠，实际收取标准以管理人公告为准。</w:t>
            </w:r>
            <w:r>
              <w:rPr>
                <w:rFonts w:ascii="楷体" w:hAnsi="楷体" w:eastAsia="楷体" w:cs="宋体"/>
                <w:spacing w:val="-2"/>
                <w:szCs w:val="21"/>
              </w:rPr>
              <w:t>详见下文</w:t>
            </w:r>
            <w:r>
              <w:rPr>
                <w:rFonts w:hint="eastAsia" w:ascii="楷体" w:hAnsi="楷体" w:eastAsia="楷体" w:cs="宋体"/>
                <w:spacing w:val="-2"/>
                <w:szCs w:val="21"/>
              </w:rPr>
              <w:t>“十一、产品费用”。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估值日</w:t>
            </w:r>
          </w:p>
        </w:tc>
        <w:tc>
          <w:tcPr>
            <w:tcW w:w="6795" w:type="dxa"/>
            <w:tcBorders>
              <w:bottom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本理财产品存续期内，每个工作日为估值日。管理人于估值日后第一个工作日公布理财产品份额收益率。详见下文“十二、产品估值”。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收益分配</w:t>
            </w:r>
          </w:p>
        </w:tc>
        <w:tc>
          <w:tcPr>
            <w:tcW w:w="6795" w:type="dxa"/>
            <w:tcBorders>
              <w:bottom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本理财产品根据每日收益情况，以理财计划实际收益（如有）为基准，每日为投资者计提当日理财收益，每日结转份额，投资者继续持有的红利份额可参与后续理财产品投资收益分配。</w:t>
            </w:r>
          </w:p>
          <w:p>
            <w:pPr>
              <w:ind w:left="115" w:right="115" w:rightChars="55"/>
              <w:rPr>
                <w:rFonts w:ascii="楷体" w:hAnsi="楷体" w:eastAsia="楷体" w:cs="宋体"/>
                <w:spacing w:val="-2"/>
                <w:szCs w:val="21"/>
              </w:rPr>
            </w:pPr>
            <w:r>
              <w:rPr>
                <w:rFonts w:ascii="楷体" w:hAnsi="楷体" w:eastAsia="楷体" w:cs="宋体"/>
                <w:spacing w:val="-2"/>
                <w:szCs w:val="21"/>
              </w:rPr>
              <w:t>详见下文</w:t>
            </w:r>
            <w:r>
              <w:rPr>
                <w:rFonts w:hint="eastAsia" w:ascii="楷体" w:hAnsi="楷体" w:eastAsia="楷体" w:cs="宋体"/>
                <w:spacing w:val="-2"/>
                <w:szCs w:val="21"/>
              </w:rPr>
              <w:t>“十、收益分配”。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信息披露</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税款</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3"/>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任公司，苏银理财系根据中国银保监会批准设立的由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金额上限、认购资金的最近金额等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法律法规、监管政策和本理财计划文件约定的其他权利。</w:t>
      </w:r>
    </w:p>
    <w:p>
      <w:pPr>
        <w:numPr>
          <w:ilvl w:val="0"/>
          <w:numId w:val="3"/>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销售机构</w:t>
      </w:r>
    </w:p>
    <w:p>
      <w:pPr>
        <w:numPr>
          <w:ilvl w:val="0"/>
          <w:numId w:val="0"/>
        </w:numPr>
        <w:ind w:firstLine="480" w:firstLineChars="200"/>
        <w:outlineLvl w:val="9"/>
        <w:rPr>
          <w:rFonts w:hint="eastAsia" w:ascii="楷体" w:hAnsi="楷体" w:eastAsia="楷体"/>
          <w:b/>
          <w:sz w:val="24"/>
          <w:szCs w:val="24"/>
          <w:u w:val="singl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sz w:val="24"/>
          <w:szCs w:val="24"/>
          <w:u w:val="single"/>
        </w:rPr>
        <w:t>销售机构负责</w:t>
      </w:r>
      <w:r>
        <w:rPr>
          <w:rFonts w:ascii="楷体" w:hAnsi="楷体" w:eastAsia="楷体"/>
          <w:b/>
          <w:sz w:val="24"/>
          <w:szCs w:val="24"/>
          <w:u w:val="single"/>
        </w:rPr>
        <w:t>理财产品宣传推广、投资者风险承受能力评估和投资者适当性管理、理财产品客户身份识别及反洗钱</w:t>
      </w:r>
      <w:r>
        <w:rPr>
          <w:rFonts w:hint="eastAsia" w:ascii="楷体" w:hAnsi="楷体" w:eastAsia="楷体"/>
          <w:b/>
          <w:sz w:val="24"/>
          <w:szCs w:val="24"/>
          <w:u w:val="single"/>
        </w:rPr>
        <w:t>、反恐怖融资及非居民金融账户涉税信息</w:t>
      </w:r>
      <w:r>
        <w:rPr>
          <w:rFonts w:ascii="楷体" w:hAnsi="楷体" w:eastAsia="楷体"/>
          <w:b/>
          <w:sz w:val="24"/>
          <w:szCs w:val="24"/>
          <w:u w:val="single"/>
        </w:rPr>
        <w:t>调查、理财产品份额认购/申购/赎回、协助管理人与投资者订立理财产品合同、协助投资者与管理人沟通、接受投资者咨询和客户维护等销售服务</w:t>
      </w:r>
      <w:r>
        <w:rPr>
          <w:rFonts w:hint="eastAsia" w:ascii="楷体" w:hAnsi="楷体" w:eastAsia="楷体"/>
          <w:b/>
          <w:sz w:val="24"/>
          <w:szCs w:val="24"/>
          <w:u w:val="single"/>
        </w:rPr>
        <w:t>工作。销售机构不承担产品投资、兑付和风险管理责任，产品的投资、兑付和风险管理责任由管理人苏银理财承担。</w:t>
      </w:r>
      <w:r>
        <w:rPr>
          <w:rFonts w:hint="eastAsia" w:ascii="楷体" w:hAnsi="楷体" w:eastAsia="楷体"/>
          <w:sz w:val="24"/>
          <w:szCs w:val="24"/>
        </w:rPr>
        <w:t>销售机构名单以苏银理财官网（</w:t>
      </w:r>
      <w:r>
        <w:fldChar w:fldCharType="begin"/>
      </w:r>
      <w:r>
        <w:instrText xml:space="preserve"> HYPERLINK "http://www.suyinwealth.com" </w:instrText>
      </w:r>
      <w:r>
        <w:fldChar w:fldCharType="separate"/>
      </w:r>
      <w:r>
        <w:t>www.suyinwealth.com</w:t>
      </w:r>
      <w:r>
        <w:fldChar w:fldCharType="end"/>
      </w:r>
      <w:r>
        <w:rPr>
          <w:rFonts w:hint="eastAsia" w:ascii="楷体" w:hAnsi="楷体" w:eastAsia="楷体"/>
          <w:sz w:val="24"/>
          <w:szCs w:val="24"/>
        </w:rPr>
        <w:t>）本理财产品项下“销售商”公示为准</w:t>
      </w:r>
      <w:r>
        <w:rPr>
          <w:rFonts w:hint="eastAsia" w:ascii="楷体" w:hAnsi="楷体" w:eastAsia="楷体"/>
          <w:sz w:val="24"/>
          <w:szCs w:val="24"/>
          <w:lang w:eastAsia="zh-CN"/>
        </w:rPr>
        <w:t>。</w:t>
      </w:r>
    </w:p>
    <w:p>
      <w:pPr>
        <w:numPr>
          <w:ilvl w:val="0"/>
          <w:numId w:val="0"/>
        </w:numPr>
        <w:ind w:firstLine="562" w:firstLineChars="200"/>
        <w:outlineLvl w:val="9"/>
        <w:rPr>
          <w:rFonts w:ascii="楷体" w:hAnsi="楷体" w:eastAsia="楷体"/>
          <w:b/>
          <w:sz w:val="28"/>
          <w:szCs w:val="28"/>
        </w:rPr>
      </w:pPr>
      <w:r>
        <w:rPr>
          <w:rFonts w:hint="eastAsia" w:ascii="楷体" w:hAnsi="楷体" w:eastAsia="楷体"/>
          <w:b/>
          <w:sz w:val="28"/>
          <w:szCs w:val="28"/>
          <w:lang w:val="en-US" w:eastAsia="zh-CN"/>
        </w:rPr>
        <w:t>四、</w:t>
      </w:r>
      <w:r>
        <w:rPr>
          <w:rFonts w:hint="eastAsia" w:ascii="楷体" w:hAnsi="楷体" w:eastAsia="楷体"/>
          <w:b/>
          <w:sz w:val="28"/>
          <w:szCs w:val="28"/>
        </w:rPr>
        <w:t>投资合作机构</w:t>
      </w:r>
    </w:p>
    <w:p>
      <w:pPr>
        <w:ind w:firstLine="480" w:firstLineChars="200"/>
        <w:rPr>
          <w:rFonts w:ascii="楷体" w:hAnsi="楷体" w:eastAsia="楷体"/>
          <w:sz w:val="24"/>
          <w:szCs w:val="24"/>
        </w:rPr>
      </w:pPr>
      <w:r>
        <w:rPr>
          <w:rFonts w:hint="eastAsia" w:ascii="楷体" w:hAnsi="楷体" w:eastAsia="楷体"/>
          <w:sz w:val="24"/>
          <w:szCs w:val="24"/>
        </w:rPr>
        <w:t>暂无。</w:t>
      </w:r>
    </w:p>
    <w:p>
      <w:pPr>
        <w:ind w:firstLine="480" w:firstLineChars="200"/>
        <w:rPr>
          <w:rFonts w:ascii="楷体" w:hAnsi="楷体" w:eastAsia="楷体"/>
          <w:sz w:val="24"/>
          <w:szCs w:val="24"/>
        </w:rPr>
      </w:pPr>
      <w:r>
        <w:rPr>
          <w:rFonts w:hint="eastAsia" w:ascii="楷体" w:hAnsi="楷体" w:eastAsia="楷体"/>
          <w:sz w:val="24"/>
          <w:szCs w:val="24"/>
        </w:rPr>
        <w:t>产品存续期内合作机构如有增加，管理人将按照监管规定和内部管理制度要求对合作机构进行准入，签署相关合作协议后，发布新增投资合作机构公告，更新理财产品说明书中投资合作机构目录。</w:t>
      </w:r>
    </w:p>
    <w:p>
      <w:pPr>
        <w:numPr>
          <w:ilvl w:val="-1"/>
          <w:numId w:val="0"/>
        </w:numPr>
        <w:tabs>
          <w:tab w:val="left" w:pos="1134"/>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五、</w:t>
      </w:r>
      <w:r>
        <w:rPr>
          <w:rFonts w:hint="eastAsia" w:ascii="楷体" w:hAnsi="楷体" w:eastAsia="楷体"/>
          <w:b/>
          <w:sz w:val="28"/>
          <w:szCs w:val="28"/>
        </w:rPr>
        <w:t>名词释义</w:t>
      </w:r>
    </w:p>
    <w:p>
      <w:pPr>
        <w:ind w:firstLine="480" w:firstLineChars="200"/>
        <w:rPr>
          <w:rFonts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参与主体用语</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代销机构/销售机构：指符合《关于规范金融机构资产管理业务的指导意见》、《商业银行理财业务监督管理办法》、《商业银行理财子公司管理办法》、《理财公司理财产品销售管理暂行办法》和中国银保监会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理财产品用语</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本产品：指“苏银理财启源融汇现金1号”理财产品。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产品资产总值是指产品拥有的各类有价证券、银行存款、应收款项及其他资产的价值总和。</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产品负债总值是指产品运作及融资时形成的负债价值总和，包括融资资金本息、应付各项费用（包括托管费、销售服务费、投资管理费、超额业绩报酬、其他费用等）、应付税金及其他应付款项等。</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单位净值进行理财产品申购、赎回和终止时分配。</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业绩比较基准：指管理人基于过往投资经验及对产品存续期投资市场波动的预判而对本产品所设定的投资目标。业绩比较基准仅作为管理人收取超额业绩报酬的依据，不代表理财产品未来表现，不等于理财产品实际收益，不作为产品收益的业绩保证，投资须谨慎。</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理财产品本金/理财本金：指就每一投资者而言，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认购：指投资者根据理财产品说明书约定在认购期内申请购买本产品理财产品份额的行为。</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期间与日期</w:t>
      </w:r>
    </w:p>
    <w:p>
      <w:pPr>
        <w:numPr>
          <w:ilvl w:val="0"/>
          <w:numId w:val="8"/>
        </w:numPr>
        <w:tabs>
          <w:tab w:val="left" w:pos="728"/>
        </w:tabs>
        <w:ind w:left="0"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工作日：</w:t>
      </w:r>
      <w:r>
        <w:rPr>
          <w:rFonts w:ascii="楷体" w:hAnsi="楷体" w:eastAsia="楷体" w:cs="Calibri"/>
          <w:b/>
          <w:sz w:val="24"/>
          <w:szCs w:val="24"/>
          <w:u w:val="single"/>
        </w:rPr>
        <w:t>指上海证券交易所和深圳证券交易所的正常开盘交易日</w:t>
      </w:r>
      <w:r>
        <w:rPr>
          <w:rFonts w:hint="eastAsia" w:ascii="楷体" w:hAnsi="楷体" w:eastAsia="楷体" w:cs="Calibri"/>
          <w:b/>
          <w:sz w:val="24"/>
          <w:szCs w:val="24"/>
          <w:u w:val="single"/>
        </w:rPr>
        <w:t>。</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指上海证券交易所和深圳证券交易所的正常开盘交易日</w:t>
      </w:r>
      <w:r>
        <w:rPr>
          <w:rFonts w:hint="eastAsia" w:ascii="楷体" w:hAnsi="楷体" w:eastAsia="楷体" w:cs="Calibri"/>
          <w:sz w:val="24"/>
          <w:szCs w:val="24"/>
        </w:rPr>
        <w:t>。</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认购期：指理财产品成立前，理财产品管理人接受理财产品认购的时间。</w:t>
      </w:r>
    </w:p>
    <w:p>
      <w:pPr>
        <w:numPr>
          <w:ilvl w:val="0"/>
          <w:numId w:val="8"/>
        </w:numPr>
        <w:tabs>
          <w:tab w:val="left" w:pos="728"/>
        </w:tabs>
        <w:ind w:left="0"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开放日：本理财产品存续期间，每个工作日为开放日，管理人在开放日对投资者的申购、赎回申请进行确认。</w:t>
      </w:r>
    </w:p>
    <w:p>
      <w:pPr>
        <w:numPr>
          <w:ilvl w:val="0"/>
          <w:numId w:val="8"/>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产品存续期：指自理财产品成立日起，至理财产品终止日的期间。</w:t>
      </w:r>
    </w:p>
    <w:p>
      <w:pPr>
        <w:numPr>
          <w:ilvl w:val="0"/>
          <w:numId w:val="8"/>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清算期：指自本理财产品终止日至投资者理财本金及收益到账日之间的期间。</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其他</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元：指人民币元。</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0"/>
        </w:numPr>
        <w:tabs>
          <w:tab w:val="left" w:pos="1134"/>
        </w:tabs>
        <w:ind w:leftChars="200"/>
        <w:outlineLvl w:val="1"/>
        <w:rPr>
          <w:rFonts w:ascii="楷体" w:hAnsi="楷体" w:eastAsia="楷体"/>
          <w:b/>
          <w:sz w:val="28"/>
          <w:szCs w:val="28"/>
        </w:rPr>
      </w:pPr>
      <w:r>
        <w:rPr>
          <w:rFonts w:hint="eastAsia" w:ascii="楷体" w:hAnsi="楷体" w:eastAsia="楷体"/>
          <w:b/>
          <w:sz w:val="28"/>
          <w:szCs w:val="28"/>
          <w:lang w:val="en-US" w:eastAsia="zh-CN"/>
        </w:rPr>
        <w:t>六、</w:t>
      </w: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★一级，适合低风险型投资者，适合投资策略为风险控制</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rPr>
        <w:t>本产品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sz w:val="24"/>
          <w:szCs w:val="24"/>
          <w:u w:val="single"/>
        </w:rPr>
        <w:t>该产品通过代理销售机构渠道销售的，理财产品评级以代理销售机构最终披露的评级结果为准。</w:t>
      </w:r>
    </w:p>
    <w:p>
      <w:pPr>
        <w:ind w:firstLine="480" w:firstLineChars="200"/>
        <w:rPr>
          <w:rFonts w:ascii="楷体" w:hAnsi="楷体" w:eastAsia="楷体"/>
          <w:b/>
          <w:sz w:val="24"/>
          <w:szCs w:val="24"/>
          <w:u w:val="single"/>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vAlign w:val="bottom"/>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w:t>
            </w:r>
          </w:p>
        </w:tc>
        <w:tc>
          <w:tcPr>
            <w:tcW w:w="1842"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一级（PR1）</w:t>
            </w:r>
          </w:p>
        </w:tc>
        <w:tc>
          <w:tcPr>
            <w:tcW w:w="2268"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低风险</w:t>
            </w:r>
          </w:p>
        </w:tc>
        <w:tc>
          <w:tcPr>
            <w:tcW w:w="2084"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auto" w:fill="FFFFFF"/>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FFFFFF" w:fill="FFFFFF"/>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0"/>
        </w:numPr>
        <w:tabs>
          <w:tab w:val="left" w:pos="1134"/>
        </w:tabs>
        <w:ind w:leftChars="200"/>
        <w:outlineLvl w:val="1"/>
        <w:rPr>
          <w:rFonts w:ascii="楷体" w:hAnsi="楷体" w:eastAsia="楷体"/>
          <w:b/>
          <w:sz w:val="28"/>
          <w:szCs w:val="28"/>
        </w:rPr>
      </w:pPr>
      <w:r>
        <w:rPr>
          <w:rFonts w:hint="eastAsia" w:ascii="楷体" w:hAnsi="楷体" w:eastAsia="楷体"/>
          <w:b/>
          <w:sz w:val="28"/>
          <w:szCs w:val="28"/>
          <w:lang w:val="en-US" w:eastAsia="zh-CN"/>
        </w:rPr>
        <w:t>七、</w:t>
      </w: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ascii="楷体" w:hAnsi="楷体" w:eastAsia="楷体"/>
          <w:sz w:val="24"/>
          <w:szCs w:val="24"/>
          <w:highlight w:val="none"/>
        </w:rPr>
      </w:pPr>
      <w:r>
        <w:rPr>
          <w:rFonts w:hint="eastAsia" w:ascii="楷体" w:hAnsi="楷体" w:eastAsia="楷体"/>
          <w:kern w:val="2"/>
          <w:sz w:val="24"/>
          <w:szCs w:val="24"/>
          <w:highlight w:val="none"/>
        </w:rPr>
        <w:t>本理财产品</w:t>
      </w:r>
      <w:r>
        <w:rPr>
          <w:rFonts w:hint="eastAsia" w:ascii="楷体" w:hAnsi="楷体" w:eastAsia="楷体"/>
          <w:sz w:val="24"/>
          <w:szCs w:val="24"/>
          <w:highlight w:val="none"/>
        </w:rPr>
        <w:t>将募集资金100%</w:t>
      </w:r>
      <w:r>
        <w:rPr>
          <w:rFonts w:hint="eastAsia" w:ascii="楷体" w:hAnsi="楷体" w:eastAsia="楷体"/>
          <w:kern w:val="2"/>
          <w:sz w:val="24"/>
          <w:szCs w:val="24"/>
          <w:highlight w:val="none"/>
        </w:rPr>
        <w:t>投资于法律法规及银行业监督管理机构允许投资的金融工具，包括现金，期限在一年以内（含一年）的银行存款、债券回购、中央银行票据、同业存单；剩余期限在</w:t>
      </w:r>
      <w:r>
        <w:rPr>
          <w:rFonts w:ascii="楷体" w:hAnsi="楷体" w:eastAsia="楷体"/>
          <w:kern w:val="2"/>
          <w:sz w:val="24"/>
          <w:szCs w:val="24"/>
          <w:highlight w:val="none"/>
        </w:rPr>
        <w:t>397天以内（含397天）的债券、</w:t>
      </w:r>
      <w:r>
        <w:rPr>
          <w:rFonts w:hint="eastAsia" w:ascii="楷体" w:hAnsi="楷体" w:eastAsia="楷体"/>
          <w:kern w:val="2"/>
          <w:sz w:val="24"/>
          <w:szCs w:val="24"/>
          <w:highlight w:val="none"/>
        </w:rPr>
        <w:t>在银行间市场和证券交易所市场发行的资产支持证券，以及银行业监督管理机构认可的其他具有良好流动性的货币市场工具。</w:t>
      </w:r>
      <w:r>
        <w:rPr>
          <w:rFonts w:hint="eastAsia" w:ascii="楷体" w:hAnsi="楷体" w:eastAsia="楷体"/>
          <w:sz w:val="24"/>
          <w:szCs w:val="24"/>
          <w:highlight w:val="none"/>
        </w:rPr>
        <w:t>管理人可直接或间接通过各类资管计划</w:t>
      </w:r>
      <w:r>
        <w:rPr>
          <w:rFonts w:hint="eastAsia" w:ascii="楷体" w:hAnsi="楷体" w:eastAsia="楷体"/>
          <w:kern w:val="2"/>
          <w:sz w:val="24"/>
          <w:szCs w:val="24"/>
          <w:highlight w:val="none"/>
        </w:rPr>
        <w:t>投资于上述资产。</w:t>
      </w:r>
    </w:p>
    <w:p>
      <w:pPr>
        <w:ind w:firstLine="480" w:firstLineChars="200"/>
        <w:rPr>
          <w:rFonts w:ascii="楷体" w:hAnsi="楷体" w:eastAsia="楷体"/>
          <w:sz w:val="24"/>
          <w:szCs w:val="24"/>
        </w:rPr>
      </w:pPr>
      <w:r>
        <w:rPr>
          <w:rFonts w:hint="eastAsia" w:ascii="楷体" w:hAnsi="楷体" w:eastAsia="楷体"/>
          <w:sz w:val="24"/>
          <w:szCs w:val="24"/>
        </w:rPr>
        <w:t>非因管理人主观因素导致突破前述比例限制的，管理人将在流动性受限资产可出售、可转让或者恢复交易的</w:t>
      </w:r>
      <w:r>
        <w:rPr>
          <w:rFonts w:ascii="楷体" w:hAnsi="楷体" w:eastAsia="楷体"/>
          <w:kern w:val="2"/>
          <w:sz w:val="24"/>
          <w:szCs w:val="24"/>
          <w:highlight w:val="none"/>
        </w:rPr>
        <w:t>15个交易日</w:t>
      </w:r>
      <w:r>
        <w:rPr>
          <w:rFonts w:hint="eastAsia" w:ascii="楷体" w:hAnsi="楷体" w:eastAsia="楷体"/>
          <w:sz w:val="24"/>
          <w:szCs w:val="24"/>
        </w:rPr>
        <w:t>内调整至符合相关要求。相关法律法规和监管部门对以上投资范围和配置比例有另行规定的，按照监管最新规定执行。</w:t>
      </w:r>
    </w:p>
    <w:p>
      <w:pPr>
        <w:numPr>
          <w:ilvl w:val="0"/>
          <w:numId w:val="1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投资限制</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1</w:t>
      </w:r>
      <w:r>
        <w:rPr>
          <w:rFonts w:hint="eastAsia" w:ascii="楷体" w:hAnsi="楷体" w:eastAsia="楷体" w:cs="Calibri"/>
          <w:b/>
          <w:sz w:val="24"/>
          <w:szCs w:val="24"/>
          <w:u w:val="single"/>
        </w:rPr>
        <w:t>．本理财产品的投资集中度要求如下：</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（1）本理财产品投资于单只证券或单只公募证券投资基金的市值不超过本产品净资产的10%。投资于国债、地方政府债、央票、政府机构债、政策性银行债的除外。</w:t>
      </w:r>
    </w:p>
    <w:p>
      <w:pPr>
        <w:ind w:firstLine="480" w:firstLineChars="200"/>
        <w:rPr>
          <w:rFonts w:ascii="楷体" w:hAnsi="楷体" w:eastAsia="楷体" w:cs="Calibri"/>
          <w:sz w:val="24"/>
          <w:szCs w:val="24"/>
        </w:rPr>
      </w:pPr>
      <w:r>
        <w:rPr>
          <w:rFonts w:hint="eastAsia" w:ascii="楷体" w:hAnsi="楷体" w:eastAsia="楷体" w:cs="Calibri"/>
          <w:sz w:val="24"/>
          <w:szCs w:val="24"/>
        </w:rPr>
        <w:t>（2）管理人发行的全部公募理财产品投资单只证券或者单只证券投资基金的市值不得超过该证券市值或者证券投资基金市值的30%。</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（3）本理财产品投资于同一机构发行的债券及其作为原始权益人的资产支持证券的比例合计不得超过本理财产品资产净值的10%，投资于国债、中央银行票据、政策性金融债券的除外。</w:t>
      </w:r>
    </w:p>
    <w:p>
      <w:pPr>
        <w:ind w:firstLine="480" w:firstLineChars="200"/>
        <w:rPr>
          <w:rFonts w:ascii="楷体" w:hAnsi="楷体" w:eastAsia="楷体" w:cs="Calibri"/>
          <w:sz w:val="24"/>
          <w:szCs w:val="24"/>
        </w:rPr>
      </w:pPr>
      <w:r>
        <w:rPr>
          <w:rFonts w:hint="eastAsia" w:ascii="楷体" w:hAnsi="楷体" w:eastAsia="楷体" w:cs="Calibri"/>
          <w:sz w:val="24"/>
          <w:szCs w:val="24"/>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银保监会认可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ind w:firstLine="480" w:firstLineChars="200"/>
        <w:rPr>
          <w:rFonts w:ascii="楷体" w:hAnsi="楷体" w:eastAsia="楷体" w:cs="Calibri"/>
          <w:sz w:val="24"/>
          <w:szCs w:val="24"/>
        </w:rPr>
      </w:pPr>
      <w:r>
        <w:rPr>
          <w:rFonts w:hint="eastAsia" w:ascii="楷体" w:hAnsi="楷体" w:eastAsia="楷体" w:cs="Calibri"/>
          <w:sz w:val="24"/>
          <w:szCs w:val="24"/>
        </w:rPr>
        <w:t>（6）管理人管理的全部现金管理类产品投资于同一商业银行的存款、同业存单和债券，不得超过该商业银行最近一个季度末净资产的10%。</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因非管理人主观因素致使不符合上述第（1）项、第（2）项比例限制的，管理人将在流动性受限资产可出售、可转让或者恢复交易的10个交易日内调整至符合相关要求。</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因非管理人主观因素导致突破上述第（3）项至第（6）项比例限制的，管理人应当在10个交易日内调整至符合要求，银保监会规定的特殊情形除外。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本理财产品拟投资于主体信用评级低于AA＋的商业银行的银行存款与同业存单的，应当经管理人董事会审议批准，相关交易应当事先告知托管人，并作为重大事项履行信息披露程序。</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2</w:t>
      </w:r>
      <w:r>
        <w:rPr>
          <w:rFonts w:hint="eastAsia" w:ascii="楷体" w:hAnsi="楷体" w:eastAsia="楷体" w:cs="Calibri"/>
          <w:b/>
          <w:sz w:val="24"/>
          <w:szCs w:val="24"/>
          <w:u w:val="single"/>
        </w:rPr>
        <w:t>．本理财产品不得投资以下金融工具：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（1）股票；</w:t>
      </w:r>
    </w:p>
    <w:p>
      <w:pPr>
        <w:ind w:firstLine="480" w:firstLineChars="200"/>
        <w:rPr>
          <w:rFonts w:ascii="楷体" w:hAnsi="楷体" w:eastAsia="楷体" w:cs="Calibri"/>
          <w:sz w:val="24"/>
          <w:szCs w:val="24"/>
        </w:rPr>
      </w:pPr>
      <w:r>
        <w:rPr>
          <w:rFonts w:hint="eastAsia" w:ascii="楷体" w:hAnsi="楷体" w:eastAsia="楷体" w:cs="Calibri"/>
          <w:sz w:val="24"/>
          <w:szCs w:val="24"/>
        </w:rPr>
        <w:t>（2）可转换债券、可交换债券；</w:t>
      </w:r>
    </w:p>
    <w:p>
      <w:pPr>
        <w:ind w:firstLine="480" w:firstLineChars="200"/>
        <w:rPr>
          <w:rFonts w:ascii="楷体" w:hAnsi="楷体" w:eastAsia="楷体" w:cs="Calibri"/>
          <w:sz w:val="24"/>
          <w:szCs w:val="24"/>
        </w:rPr>
      </w:pPr>
      <w:r>
        <w:rPr>
          <w:rFonts w:hint="eastAsia" w:ascii="楷体" w:hAnsi="楷体" w:eastAsia="楷体" w:cs="Calibri"/>
          <w:sz w:val="24"/>
          <w:szCs w:val="24"/>
        </w:rPr>
        <w:t>（3）以定期存款利率为基准利率的浮动利率债券，已进入最后一个利率调整期的除外；</w:t>
      </w:r>
    </w:p>
    <w:p>
      <w:pPr>
        <w:ind w:firstLine="480" w:firstLineChars="200"/>
        <w:rPr>
          <w:rFonts w:ascii="楷体" w:hAnsi="楷体" w:eastAsia="楷体" w:cs="Calibri"/>
          <w:sz w:val="24"/>
          <w:szCs w:val="24"/>
        </w:rPr>
      </w:pPr>
      <w:r>
        <w:rPr>
          <w:rFonts w:hint="eastAsia" w:ascii="楷体" w:hAnsi="楷体" w:eastAsia="楷体" w:cs="Calibri"/>
          <w:sz w:val="24"/>
          <w:szCs w:val="24"/>
        </w:rPr>
        <w:t>（4）信用等级在AA＋以下的债券、资产支持证券；</w:t>
      </w:r>
    </w:p>
    <w:p>
      <w:pPr>
        <w:ind w:firstLine="480" w:firstLineChars="200"/>
        <w:rPr>
          <w:rFonts w:ascii="楷体" w:hAnsi="楷体" w:eastAsia="楷体" w:cs="Calibri"/>
          <w:sz w:val="24"/>
          <w:szCs w:val="24"/>
        </w:rPr>
      </w:pPr>
      <w:r>
        <w:rPr>
          <w:rFonts w:hint="eastAsia" w:ascii="楷体" w:hAnsi="楷体" w:eastAsia="楷体" w:cs="Calibri"/>
          <w:sz w:val="24"/>
          <w:szCs w:val="24"/>
        </w:rPr>
        <w:t>（5）银保监会、中国人民银行禁止投资的其他金融工具。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3</w:t>
      </w:r>
      <w:r>
        <w:rPr>
          <w:rFonts w:hint="eastAsia" w:ascii="楷体" w:hAnsi="楷体" w:eastAsia="楷体" w:cs="Calibri"/>
          <w:b/>
          <w:sz w:val="24"/>
          <w:szCs w:val="24"/>
          <w:u w:val="single"/>
        </w:rPr>
        <w:t>．本产品应当确保持有足够的具有良好流动性的资产，并符合以下要求：</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（1）本理财产品持有不低于本理财产品资产净值5%的现金、国债、中央银行票据、政策性金融债券。</w:t>
      </w:r>
    </w:p>
    <w:p>
      <w:pPr>
        <w:ind w:firstLine="480" w:firstLineChars="200"/>
        <w:rPr>
          <w:rFonts w:ascii="楷体" w:hAnsi="楷体" w:eastAsia="楷体" w:cs="Calibri"/>
          <w:sz w:val="24"/>
          <w:szCs w:val="24"/>
        </w:rPr>
      </w:pPr>
      <w:r>
        <w:rPr>
          <w:rFonts w:hint="eastAsia" w:ascii="楷体" w:hAnsi="楷体" w:eastAsia="楷体" w:cs="Calibri"/>
          <w:sz w:val="24"/>
          <w:szCs w:val="24"/>
        </w:rPr>
        <w:t>（2）本理财产品持有不低于本理财产品资产净值10%的现金、国债、中央银行票据、政策性金融债券以及五个交易日内到期的其他金融工具。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p>
    <w:p>
      <w:pPr>
        <w:ind w:firstLine="480" w:firstLineChars="200"/>
        <w:rPr>
          <w:rFonts w:ascii="楷体" w:hAnsi="楷体" w:eastAsia="楷体" w:cs="Calibri"/>
          <w:sz w:val="24"/>
          <w:szCs w:val="24"/>
        </w:rPr>
      </w:pPr>
      <w:r>
        <w:rPr>
          <w:rFonts w:hint="eastAsia" w:ascii="楷体" w:hAnsi="楷体" w:eastAsia="楷体" w:cs="Calibri"/>
          <w:sz w:val="24"/>
          <w:szCs w:val="24"/>
        </w:rPr>
        <w:t>（</w:t>
      </w:r>
      <w:r>
        <w:rPr>
          <w:rFonts w:ascii="楷体" w:hAnsi="楷体" w:eastAsia="楷体" w:cs="Calibri"/>
          <w:sz w:val="24"/>
          <w:szCs w:val="24"/>
        </w:rPr>
        <w:t>4）本理财产品的杠杆水平不得超过120%，发生巨额赎回、连续3个交易日累计赎回20%以上或者连续5个交易日累计赎回30%以上的情形除外。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w:t>
      </w:r>
      <w:r>
        <w:rPr>
          <w:rFonts w:ascii="楷体" w:hAnsi="楷体" w:eastAsia="楷体" w:cs="Calibri"/>
          <w:sz w:val="24"/>
          <w:szCs w:val="24"/>
        </w:rPr>
        <w:t>2）项、第（4）项比例限制的，</w:t>
      </w:r>
      <w:r>
        <w:rPr>
          <w:rFonts w:hint="eastAsia" w:ascii="楷体" w:hAnsi="楷体" w:eastAsia="楷体" w:cs="Calibri"/>
          <w:sz w:val="24"/>
          <w:szCs w:val="24"/>
        </w:rPr>
        <w:t>管理人应当在</w:t>
      </w:r>
      <w:r>
        <w:rPr>
          <w:rFonts w:ascii="楷体" w:hAnsi="楷体" w:eastAsia="楷体" w:cs="Calibri"/>
          <w:sz w:val="24"/>
          <w:szCs w:val="24"/>
          <w:highlight w:val="none"/>
        </w:rPr>
        <w:t>10个交易日</w:t>
      </w:r>
      <w:r>
        <w:rPr>
          <w:rFonts w:hint="eastAsia" w:ascii="楷体" w:hAnsi="楷体" w:eastAsia="楷体" w:cs="Calibri"/>
          <w:sz w:val="24"/>
          <w:szCs w:val="24"/>
        </w:rPr>
        <w:t>内调整至符合要求；因非管理人主观因素导致突破上述第（3）项比例限制的，管理人不得主动新增流动性受限资产的投资。</w:t>
      </w:r>
    </w:p>
    <w:p>
      <w:pPr>
        <w:ind w:firstLine="480" w:firstLineChars="200"/>
        <w:rPr>
          <w:rFonts w:ascii="楷体" w:hAnsi="楷体" w:eastAsia="楷体" w:cs="Calibri"/>
          <w:sz w:val="24"/>
          <w:szCs w:val="24"/>
        </w:rPr>
      </w:pPr>
      <w:r>
        <w:rPr>
          <w:rFonts w:hint="eastAsia" w:ascii="楷体" w:hAnsi="楷体" w:eastAsia="楷体" w:cs="Calibri"/>
          <w:sz w:val="24"/>
          <w:szCs w:val="24"/>
        </w:rPr>
        <w:t>4</w:t>
      </w:r>
      <w:r>
        <w:rPr>
          <w:rFonts w:ascii="楷体" w:hAnsi="楷体" w:eastAsia="楷体" w:cs="Calibri"/>
          <w:sz w:val="24"/>
          <w:szCs w:val="24"/>
        </w:rPr>
        <w:t>.</w:t>
      </w:r>
      <w:r>
        <w:rPr>
          <w:rFonts w:hint="eastAsia"/>
        </w:rPr>
        <w:t xml:space="preserve"> </w:t>
      </w:r>
      <w:r>
        <w:rPr>
          <w:rFonts w:hint="eastAsia" w:ascii="楷体" w:hAnsi="楷体" w:eastAsia="楷体" w:cs="Calibri"/>
          <w:sz w:val="24"/>
          <w:szCs w:val="24"/>
        </w:rPr>
        <w:t>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5.</w:t>
      </w:r>
      <w:r>
        <w:rPr>
          <w:b/>
          <w:u w:val="single"/>
        </w:rPr>
        <w:t xml:space="preserve"> </w:t>
      </w:r>
      <w:r>
        <w:rPr>
          <w:rFonts w:hint="eastAsia" w:ascii="楷体" w:hAnsi="楷体" w:eastAsia="楷体" w:cs="Calibri"/>
          <w:b/>
          <w:sz w:val="24"/>
          <w:szCs w:val="24"/>
          <w:u w:val="single"/>
        </w:rPr>
        <w:t>在开放日前一工作日内，本理财产品</w:t>
      </w:r>
      <w:r>
        <w:rPr>
          <w:rFonts w:ascii="楷体" w:hAnsi="楷体" w:eastAsia="楷体" w:cs="Calibri"/>
          <w:b/>
          <w:sz w:val="24"/>
          <w:szCs w:val="24"/>
          <w:u w:val="single"/>
        </w:rPr>
        <w:t>7个工作日可变现资产的可变现价</w:t>
      </w:r>
      <w:r>
        <w:rPr>
          <w:rFonts w:hint="eastAsia" w:ascii="楷体" w:hAnsi="楷体" w:eastAsia="楷体" w:cs="Calibri"/>
          <w:b/>
          <w:sz w:val="24"/>
          <w:szCs w:val="24"/>
          <w:u w:val="single"/>
        </w:rPr>
        <w:t>值应当不低于本产品净资产的</w:t>
      </w:r>
      <w:r>
        <w:rPr>
          <w:rFonts w:ascii="楷体" w:hAnsi="楷体" w:eastAsia="楷体" w:cs="Calibri"/>
          <w:b/>
          <w:sz w:val="24"/>
          <w:szCs w:val="24"/>
          <w:u w:val="single"/>
        </w:rPr>
        <w:t>10%。</w:t>
      </w:r>
    </w:p>
    <w:p>
      <w:pPr>
        <w:ind w:firstLine="480" w:firstLineChars="200"/>
        <w:rPr>
          <w:rFonts w:ascii="楷体" w:hAnsi="楷体" w:eastAsia="楷体" w:cs="Calibri"/>
          <w:sz w:val="24"/>
          <w:szCs w:val="24"/>
        </w:rPr>
      </w:pPr>
      <w:r>
        <w:rPr>
          <w:rFonts w:hint="eastAsia" w:ascii="楷体" w:hAnsi="楷体" w:eastAsia="楷体" w:cs="Calibri"/>
          <w:sz w:val="24"/>
          <w:szCs w:val="24"/>
        </w:rPr>
        <w:t>6</w:t>
      </w:r>
      <w:r>
        <w:rPr>
          <w:rFonts w:ascii="楷体" w:hAnsi="楷体" w:eastAsia="楷体" w:cs="Calibri"/>
          <w:sz w:val="24"/>
          <w:szCs w:val="24"/>
        </w:rPr>
        <w:t>.</w:t>
      </w:r>
      <w:r>
        <w:rPr>
          <w:rFonts w:hint="eastAsia"/>
        </w:rPr>
        <w:t xml:space="preserve"> </w:t>
      </w:r>
      <w:r>
        <w:rPr>
          <w:rFonts w:hint="eastAsia" w:ascii="楷体" w:hAnsi="楷体" w:eastAsia="楷体" w:cs="Calibri"/>
          <w:b/>
          <w:sz w:val="24"/>
          <w:szCs w:val="24"/>
          <w:u w:val="single"/>
        </w:rPr>
        <w:t>本理财产品投资组合的平均剩余期限不得超过</w:t>
      </w:r>
      <w:r>
        <w:rPr>
          <w:rFonts w:ascii="楷体" w:hAnsi="楷体" w:eastAsia="楷体" w:cs="Calibri"/>
          <w:b/>
          <w:sz w:val="24"/>
          <w:szCs w:val="24"/>
          <w:u w:val="single"/>
        </w:rPr>
        <w:t>120天，平均剩余存续期限不得超过240</w:t>
      </w:r>
      <w:r>
        <w:rPr>
          <w:rFonts w:hint="eastAsia" w:ascii="楷体" w:hAnsi="楷体" w:eastAsia="楷体" w:cs="Calibri"/>
          <w:b/>
          <w:sz w:val="24"/>
          <w:szCs w:val="24"/>
          <w:u w:val="single"/>
        </w:rPr>
        <w:t>天。</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（∑本理财产品的资产×剩余期限—∑本理财产品的负债×剩余期限＋债券卖出回购×剩余期限）/（本理财产品的资产—本理财产品的负债＋债券卖出回购）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投资组合平均剩余存续期限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（∑本理财产品的资产×剩余存续期限—∑本理财产品的负债×剩余存续期限＋债券卖出回购×剩余存续期限）/（本理财产品的资产—本理财产品的负债＋债券卖出回购）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投资组合中债券的剩余期限和剩余存续期限是指计算日至债券到期日为止所剩余的天数，以下情况除外：</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允许投资的可变利率或者浮动利率债券的剩余期限以计算日至下一个利率调整日的实际剩余天数计算。</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允许投资的可变利率或者浮动利率债券的剩余存续期限以计算日至债券到期日的实际剩余天数计算。</w:t>
      </w:r>
    </w:p>
    <w:p>
      <w:pPr>
        <w:ind w:firstLine="482" w:firstLineChars="200"/>
        <w:rPr>
          <w:rFonts w:ascii="楷体" w:hAnsi="楷体" w:eastAsia="楷体" w:cs="Calibri"/>
          <w:sz w:val="24"/>
          <w:szCs w:val="24"/>
        </w:rPr>
      </w:pPr>
      <w:r>
        <w:rPr>
          <w:rFonts w:ascii="楷体" w:hAnsi="楷体" w:eastAsia="楷体" w:cs="Calibri"/>
          <w:b/>
          <w:sz w:val="24"/>
          <w:szCs w:val="24"/>
          <w:u w:val="single"/>
        </w:rPr>
        <w:t>7.</w:t>
      </w:r>
      <w:r>
        <w:rPr>
          <w:rFonts w:hint="eastAsia" w:ascii="楷体" w:hAnsi="楷体" w:eastAsia="楷体" w:cs="Calibri"/>
          <w:b/>
          <w:sz w:val="24"/>
          <w:szCs w:val="24"/>
          <w:u w:val="single"/>
        </w:rPr>
        <w:t>管理人应根据投资者集中度情况对投资组合实施调整，并遵守以下要求</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（1）当前1</w:t>
      </w:r>
      <w:r>
        <w:rPr>
          <w:rFonts w:ascii="楷体" w:hAnsi="楷体" w:eastAsia="楷体" w:cs="Calibri"/>
          <w:sz w:val="24"/>
          <w:szCs w:val="24"/>
        </w:rPr>
        <w:t>0</w:t>
      </w:r>
      <w:r>
        <w:rPr>
          <w:rFonts w:hint="eastAsia" w:ascii="楷体" w:hAnsi="楷体" w:eastAsia="楷体" w:cs="Calibri"/>
          <w:sz w:val="24"/>
          <w:szCs w:val="24"/>
        </w:rPr>
        <w:t>名投资者的持有份额合计超过本理财产品总份额的</w:t>
      </w:r>
      <w:r>
        <w:rPr>
          <w:rFonts w:ascii="楷体" w:hAnsi="楷体" w:eastAsia="楷体" w:cs="Calibri"/>
          <w:b/>
          <w:sz w:val="24"/>
          <w:szCs w:val="24"/>
          <w:u w:val="single"/>
        </w:rPr>
        <w:t>50%</w:t>
      </w:r>
      <w:r>
        <w:rPr>
          <w:rFonts w:hint="eastAsia" w:ascii="楷体" w:hAnsi="楷体" w:eastAsia="楷体" w:cs="Calibri"/>
          <w:sz w:val="24"/>
          <w:szCs w:val="24"/>
        </w:rPr>
        <w:t>时，投资组合的平均剩余期限不得超过60天，平均剩余存续期限不得超过120天，投资组合中现金、国债、中央银行票据、政策性金融债券以及5个交易日内到期的其他金融工具占本理财产品资产净值的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w:t>
      </w:r>
      <w:r>
        <w:rPr>
          <w:rFonts w:ascii="楷体" w:hAnsi="楷体" w:eastAsia="楷体" w:cs="Calibri"/>
          <w:b/>
          <w:sz w:val="24"/>
          <w:szCs w:val="24"/>
          <w:u w:val="single"/>
        </w:rPr>
        <w:t>30%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（2）当前10名投资者的持有份额合计超过本理财产品总份额的</w:t>
      </w:r>
      <w:r>
        <w:rPr>
          <w:rFonts w:ascii="楷体" w:hAnsi="楷体" w:eastAsia="楷体" w:cs="Calibri"/>
          <w:b/>
          <w:sz w:val="24"/>
          <w:szCs w:val="24"/>
          <w:u w:val="single"/>
        </w:rPr>
        <w:t>20%</w:t>
      </w:r>
      <w:r>
        <w:rPr>
          <w:rFonts w:hint="eastAsia" w:ascii="楷体" w:hAnsi="楷体" w:eastAsia="楷体" w:cs="Calibri"/>
          <w:sz w:val="24"/>
          <w:szCs w:val="24"/>
        </w:rPr>
        <w:t>时，投资组合的平均剩余期限不得超过90天，平均剩余存续期限不得超过180天，投资组合中现金、国债、中央银行票据、政策性金融债券以及5个交易日内到期的其他金融工具占本理财产品资产净值的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w:t>
      </w:r>
      <w:r>
        <w:rPr>
          <w:rFonts w:ascii="楷体" w:hAnsi="楷体" w:eastAsia="楷体" w:cs="Calibri"/>
          <w:b/>
          <w:sz w:val="24"/>
          <w:szCs w:val="24"/>
          <w:u w:val="single"/>
        </w:rPr>
        <w:t>20%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非因管理人主观因素导致突破上述第（1）项、第（2）项比例限制的，管理人应当在10个交易日内调整至符合要求，银保监会规定的特殊情形除外。</w:t>
      </w:r>
    </w:p>
    <w:p>
      <w:pPr>
        <w:ind w:firstLine="480" w:firstLineChars="200"/>
        <w:rPr>
          <w:rFonts w:ascii="楷体" w:hAnsi="楷体" w:eastAsia="楷体" w:cs="Calibri"/>
          <w:b/>
          <w:sz w:val="24"/>
          <w:szCs w:val="24"/>
        </w:rPr>
      </w:pPr>
      <w:r>
        <w:rPr>
          <w:rFonts w:ascii="楷体" w:hAnsi="楷体" w:eastAsia="楷体" w:cs="Calibri"/>
          <w:sz w:val="24"/>
          <w:szCs w:val="24"/>
        </w:rPr>
        <w:t>8.</w:t>
      </w:r>
      <w:r>
        <w:rPr>
          <w:rFonts w:hint="eastAsia"/>
        </w:rPr>
        <w:t xml:space="preserve"> </w:t>
      </w:r>
      <w:r>
        <w:rPr>
          <w:rFonts w:hint="eastAsia" w:ascii="楷体" w:hAnsi="楷体" w:eastAsia="楷体" w:cs="Calibri"/>
          <w:sz w:val="24"/>
          <w:szCs w:val="24"/>
        </w:rPr>
        <w:t>如法律法规或监管政策对上述限制有最新规定的， 可参照法律法规或监管政策的规定调整。</w:t>
      </w:r>
    </w:p>
    <w:p>
      <w:pPr>
        <w:numPr>
          <w:ilvl w:val="0"/>
          <w:numId w:val="1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杠杆水平限制</w:t>
      </w:r>
    </w:p>
    <w:p>
      <w:pPr>
        <w:ind w:firstLine="482" w:firstLineChars="200"/>
        <w:rPr>
          <w:rFonts w:ascii="楷体" w:hAnsi="楷体" w:eastAsia="楷体"/>
          <w:sz w:val="24"/>
          <w:szCs w:val="24"/>
        </w:rPr>
      </w:pPr>
      <w:r>
        <w:rPr>
          <w:rFonts w:hint="eastAsia" w:ascii="楷体" w:hAnsi="楷体" w:eastAsia="楷体"/>
          <w:b/>
          <w:sz w:val="24"/>
          <w:szCs w:val="24"/>
          <w:u w:val="single"/>
        </w:rPr>
        <w:t>本理财产品资产总值</w:t>
      </w:r>
      <w:r>
        <w:rPr>
          <w:rFonts w:ascii="楷体" w:hAnsi="楷体" w:eastAsia="楷体"/>
          <w:b/>
          <w:sz w:val="24"/>
          <w:szCs w:val="24"/>
          <w:u w:val="single"/>
        </w:rPr>
        <w:t>/理财产品资产净值不超过120%</w:t>
      </w:r>
      <w:r>
        <w:rPr>
          <w:rFonts w:hint="eastAsia" w:ascii="楷体" w:hAnsi="楷体" w:eastAsia="楷体"/>
          <w:sz w:val="24"/>
          <w:szCs w:val="24"/>
        </w:rPr>
        <w:t>（如监管有最新规定的参照监管规定调整）。</w:t>
      </w:r>
    </w:p>
    <w:p>
      <w:pPr>
        <w:numPr>
          <w:ilvl w:val="0"/>
          <w:numId w:val="1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该调整事项将于生效前</w:t>
      </w:r>
      <w:r>
        <w:rPr>
          <w:rFonts w:ascii="楷体" w:hAnsi="楷体" w:eastAsia="楷体"/>
          <w:sz w:val="24"/>
          <w:szCs w:val="24"/>
        </w:rPr>
        <w:t>2</w:t>
      </w:r>
      <w:r>
        <w:rPr>
          <w:rFonts w:hint="eastAsia" w:ascii="楷体" w:hAnsi="楷体" w:eastAsia="楷体"/>
          <w:sz w:val="24"/>
          <w:szCs w:val="24"/>
        </w:rPr>
        <w:t>个工作日按本理财产品说明书约定的信息披露方式予以披露。若本理财产品的投资者不接受上述调整，则应及时通过销售机构赎回本产品（高风险类型的理财产品超出比例范围投资较低风险资产的情况除外）；若本理财产品投资者未赎回本产品，则视为本理财产品投资者对相关调整无异议并继续持有本理财产品。</w:t>
      </w:r>
    </w:p>
    <w:p>
      <w:pPr>
        <w:numPr>
          <w:ilvl w:val="0"/>
          <w:numId w:val="0"/>
        </w:numPr>
        <w:tabs>
          <w:tab w:val="left" w:pos="1134"/>
        </w:tabs>
        <w:ind w:leftChars="200"/>
        <w:outlineLvl w:val="1"/>
        <w:rPr>
          <w:rFonts w:ascii="楷体" w:hAnsi="楷体" w:eastAsia="楷体"/>
          <w:b/>
          <w:sz w:val="28"/>
          <w:szCs w:val="28"/>
        </w:rPr>
      </w:pPr>
      <w:r>
        <w:rPr>
          <w:rFonts w:hint="eastAsia" w:ascii="楷体" w:hAnsi="楷体" w:eastAsia="楷体"/>
          <w:b/>
          <w:sz w:val="28"/>
          <w:szCs w:val="28"/>
          <w:lang w:val="en-US" w:eastAsia="zh-CN"/>
        </w:rPr>
        <w:t>八、</w:t>
      </w:r>
      <w:r>
        <w:rPr>
          <w:rFonts w:hint="eastAsia" w:ascii="楷体" w:hAnsi="楷体" w:eastAsia="楷体"/>
          <w:b/>
          <w:sz w:val="28"/>
          <w:szCs w:val="28"/>
        </w:rPr>
        <w:t>产品认购</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认购期间：2</w:t>
      </w:r>
      <w:r>
        <w:rPr>
          <w:rFonts w:ascii="楷体" w:hAnsi="楷体" w:eastAsia="楷体" w:cs="Calibri"/>
          <w:sz w:val="24"/>
          <w:szCs w:val="24"/>
        </w:rPr>
        <w:t>018</w:t>
      </w:r>
      <w:r>
        <w:rPr>
          <w:rFonts w:hint="eastAsia" w:ascii="楷体" w:hAnsi="楷体" w:eastAsia="楷体" w:cs="Calibri"/>
          <w:sz w:val="24"/>
          <w:szCs w:val="24"/>
        </w:rPr>
        <w:t>年8月2</w:t>
      </w:r>
      <w:r>
        <w:rPr>
          <w:rFonts w:ascii="楷体" w:hAnsi="楷体" w:eastAsia="楷体" w:cs="Calibri"/>
          <w:sz w:val="24"/>
          <w:szCs w:val="24"/>
        </w:rPr>
        <w:t>7</w:t>
      </w:r>
      <w:r>
        <w:rPr>
          <w:rFonts w:hint="eastAsia" w:ascii="楷体" w:hAnsi="楷体" w:eastAsia="楷体" w:cs="Calibri"/>
          <w:sz w:val="24"/>
          <w:szCs w:val="24"/>
        </w:rPr>
        <w:t>日9:00至2</w:t>
      </w:r>
      <w:r>
        <w:rPr>
          <w:rFonts w:ascii="楷体" w:hAnsi="楷体" w:eastAsia="楷体" w:cs="Calibri"/>
          <w:sz w:val="24"/>
          <w:szCs w:val="24"/>
        </w:rPr>
        <w:t>018</w:t>
      </w:r>
      <w:r>
        <w:rPr>
          <w:rFonts w:hint="eastAsia" w:ascii="楷体" w:hAnsi="楷体" w:eastAsia="楷体" w:cs="Calibri"/>
          <w:sz w:val="24"/>
          <w:szCs w:val="24"/>
        </w:rPr>
        <w:t>年8月2</w:t>
      </w:r>
      <w:r>
        <w:rPr>
          <w:rFonts w:ascii="楷体" w:hAnsi="楷体" w:eastAsia="楷体" w:cs="Calibri"/>
          <w:sz w:val="24"/>
          <w:szCs w:val="24"/>
        </w:rPr>
        <w:t>9</w:t>
      </w:r>
      <w:r>
        <w:rPr>
          <w:rFonts w:hint="eastAsia" w:ascii="楷体" w:hAnsi="楷体" w:eastAsia="楷体" w:cs="Calibri"/>
          <w:sz w:val="24"/>
          <w:szCs w:val="24"/>
        </w:rPr>
        <w:t>日17:00。</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本理财产品采取金额认购，投资者单笔认购起点金额及追加金额如下表：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2"/>
        <w:gridCol w:w="1405"/>
        <w:gridCol w:w="1834"/>
        <w:gridCol w:w="2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销售名称</w:t>
            </w:r>
          </w:p>
        </w:tc>
        <w:tc>
          <w:tcPr>
            <w:tcW w:w="1405"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销售代码</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首次认/申购</w:t>
            </w:r>
          </w:p>
          <w:p>
            <w:pPr>
              <w:tabs>
                <w:tab w:val="left" w:pos="993"/>
              </w:tabs>
              <w:jc w:val="center"/>
              <w:rPr>
                <w:rFonts w:ascii="楷体" w:hAnsi="楷体" w:eastAsia="楷体" w:cs="Calibri"/>
                <w:szCs w:val="21"/>
              </w:rPr>
            </w:pPr>
            <w:r>
              <w:rPr>
                <w:rFonts w:hint="eastAsia" w:ascii="楷体" w:hAnsi="楷体" w:eastAsia="楷体" w:cs="Calibri"/>
                <w:szCs w:val="21"/>
              </w:rPr>
              <w:t>起点金额</w:t>
            </w:r>
          </w:p>
        </w:tc>
        <w:tc>
          <w:tcPr>
            <w:tcW w:w="2301"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追加申购金额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苏银理财</w:t>
            </w:r>
            <w:r>
              <w:rPr>
                <w:rFonts w:hint="eastAsia" w:ascii="楷体" w:hAnsi="楷体" w:eastAsia="楷体" w:cs="Calibri"/>
                <w:szCs w:val="21"/>
              </w:rPr>
              <w:t>启源现金1号-个人</w:t>
            </w:r>
          </w:p>
        </w:tc>
        <w:tc>
          <w:tcPr>
            <w:tcW w:w="1405" w:type="dxa"/>
            <w:vAlign w:val="center"/>
          </w:tcPr>
          <w:p>
            <w:pPr>
              <w:tabs>
                <w:tab w:val="left" w:pos="993"/>
              </w:tabs>
              <w:jc w:val="center"/>
              <w:rPr>
                <w:rFonts w:ascii="楷体" w:hAnsi="楷体" w:eastAsia="楷体" w:cs="Calibri"/>
                <w:szCs w:val="21"/>
              </w:rPr>
            </w:pPr>
            <w:r>
              <w:rPr>
                <w:rFonts w:cs="Calibri"/>
                <w:sz w:val="18"/>
                <w:szCs w:val="18"/>
              </w:rPr>
              <w:t>J183008SA819</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1元</w:t>
            </w:r>
          </w:p>
        </w:tc>
        <w:tc>
          <w:tcPr>
            <w:tcW w:w="2301"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苏银理财启源现金1号-直销</w:t>
            </w:r>
          </w:p>
        </w:tc>
        <w:tc>
          <w:tcPr>
            <w:tcW w:w="1405" w:type="dxa"/>
            <w:vAlign w:val="center"/>
          </w:tcPr>
          <w:p>
            <w:pPr>
              <w:tabs>
                <w:tab w:val="left" w:pos="993"/>
              </w:tabs>
              <w:jc w:val="center"/>
              <w:rPr>
                <w:rFonts w:cs="Calibri"/>
                <w:sz w:val="18"/>
                <w:szCs w:val="18"/>
              </w:rPr>
            </w:pPr>
            <w:r>
              <w:rPr>
                <w:rFonts w:cs="Calibri"/>
                <w:sz w:val="18"/>
                <w:szCs w:val="18"/>
              </w:rPr>
              <w:t>J183008SA81B</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1元</w:t>
            </w:r>
          </w:p>
        </w:tc>
        <w:tc>
          <w:tcPr>
            <w:tcW w:w="2301" w:type="dxa"/>
            <w:vAlign w:val="center"/>
          </w:tcPr>
          <w:p>
            <w:pPr>
              <w:tabs>
                <w:tab w:val="left" w:pos="993"/>
              </w:tabs>
              <w:jc w:val="center"/>
              <w:rPr>
                <w:rFonts w:ascii="楷体" w:hAnsi="楷体" w:eastAsia="楷体" w:cs="宋体"/>
                <w:spacing w:val="-2"/>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苏银理财</w:t>
            </w:r>
            <w:r>
              <w:rPr>
                <w:rFonts w:hint="eastAsia" w:ascii="楷体" w:hAnsi="楷体" w:eastAsia="楷体" w:cs="Calibri"/>
                <w:szCs w:val="21"/>
              </w:rPr>
              <w:t>启源现金1号-对公</w:t>
            </w:r>
          </w:p>
        </w:tc>
        <w:tc>
          <w:tcPr>
            <w:tcW w:w="1405" w:type="dxa"/>
            <w:vAlign w:val="center"/>
          </w:tcPr>
          <w:p>
            <w:pPr>
              <w:tabs>
                <w:tab w:val="left" w:pos="993"/>
              </w:tabs>
              <w:jc w:val="center"/>
              <w:rPr>
                <w:rFonts w:cs="Calibri"/>
                <w:sz w:val="18"/>
                <w:szCs w:val="18"/>
              </w:rPr>
            </w:pPr>
            <w:r>
              <w:rPr>
                <w:rFonts w:cs="Calibri"/>
                <w:sz w:val="18"/>
                <w:szCs w:val="18"/>
              </w:rPr>
              <w:t>J183008SB81C</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1万元</w:t>
            </w:r>
          </w:p>
        </w:tc>
        <w:tc>
          <w:tcPr>
            <w:tcW w:w="2301" w:type="dxa"/>
          </w:tcPr>
          <w:p>
            <w:pPr>
              <w:tabs>
                <w:tab w:val="left" w:pos="993"/>
              </w:tabs>
              <w:jc w:val="center"/>
              <w:rPr>
                <w:rFonts w:ascii="楷体" w:hAnsi="楷体" w:eastAsia="楷体" w:cs="宋体"/>
                <w:spacing w:val="-2"/>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苏银理财启源现金1号-私享</w:t>
            </w:r>
          </w:p>
        </w:tc>
        <w:tc>
          <w:tcPr>
            <w:tcW w:w="1405" w:type="dxa"/>
            <w:vAlign w:val="center"/>
          </w:tcPr>
          <w:p>
            <w:pPr>
              <w:tabs>
                <w:tab w:val="left" w:pos="993"/>
              </w:tabs>
              <w:jc w:val="center"/>
              <w:rPr>
                <w:rFonts w:cs="Calibri"/>
                <w:sz w:val="18"/>
                <w:szCs w:val="18"/>
              </w:rPr>
            </w:pPr>
            <w:r>
              <w:rPr>
                <w:rFonts w:cs="Calibri"/>
                <w:sz w:val="18"/>
                <w:szCs w:val="18"/>
              </w:rPr>
              <w:t>J183008SA81</w:t>
            </w:r>
            <w:r>
              <w:rPr>
                <w:rFonts w:hint="eastAsia" w:cs="Calibri"/>
                <w:sz w:val="18"/>
                <w:szCs w:val="18"/>
              </w:rPr>
              <w:t>D</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1</w:t>
            </w:r>
            <w:r>
              <w:rPr>
                <w:rFonts w:ascii="楷体" w:hAnsi="楷体" w:eastAsia="楷体" w:cs="Calibri"/>
                <w:szCs w:val="21"/>
              </w:rPr>
              <w:t>00</w:t>
            </w:r>
            <w:r>
              <w:rPr>
                <w:rFonts w:hint="eastAsia" w:ascii="楷体" w:hAnsi="楷体" w:eastAsia="楷体" w:cs="Calibri"/>
                <w:szCs w:val="21"/>
              </w:rPr>
              <w:t>万元</w:t>
            </w:r>
          </w:p>
        </w:tc>
        <w:tc>
          <w:tcPr>
            <w:tcW w:w="2301" w:type="dxa"/>
            <w:vAlign w:val="center"/>
          </w:tcPr>
          <w:p>
            <w:pPr>
              <w:tabs>
                <w:tab w:val="left" w:pos="993"/>
              </w:tabs>
              <w:jc w:val="center"/>
              <w:rPr>
                <w:rFonts w:ascii="楷体" w:hAnsi="楷体" w:eastAsia="楷体" w:cs="宋体"/>
                <w:spacing w:val="-2"/>
                <w:szCs w:val="21"/>
              </w:rPr>
            </w:pPr>
            <w:r>
              <w:rPr>
                <w:rFonts w:hint="eastAsia" w:ascii="楷体" w:hAnsi="楷体" w:eastAsia="楷体" w:cs="Calibri"/>
                <w:szCs w:val="21"/>
              </w:rPr>
              <w:t>1万元的整数倍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宋体"/>
                <w:spacing w:val="-2"/>
                <w:szCs w:val="21"/>
              </w:rPr>
            </w:pPr>
            <w:r>
              <w:rPr>
                <w:rFonts w:hint="eastAsia" w:ascii="楷体" w:hAnsi="楷体" w:eastAsia="楷体" w:cs="宋体"/>
                <w:spacing w:val="-2"/>
                <w:szCs w:val="21"/>
              </w:rPr>
              <w:t>苏银理财启源现金 1 号-E</w:t>
            </w:r>
          </w:p>
        </w:tc>
        <w:tc>
          <w:tcPr>
            <w:tcW w:w="1405" w:type="dxa"/>
            <w:vAlign w:val="center"/>
          </w:tcPr>
          <w:p>
            <w:pPr>
              <w:tabs>
                <w:tab w:val="left" w:pos="993"/>
              </w:tabs>
              <w:jc w:val="center"/>
              <w:rPr>
                <w:rFonts w:cs="Calibri"/>
                <w:sz w:val="18"/>
                <w:szCs w:val="18"/>
              </w:rPr>
            </w:pPr>
            <w:r>
              <w:rPr>
                <w:rFonts w:hint="eastAsia" w:cs="Calibri"/>
                <w:sz w:val="18"/>
                <w:szCs w:val="18"/>
              </w:rPr>
              <w:t xml:space="preserve">J01623 </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0.01 元</w:t>
            </w:r>
          </w:p>
        </w:tc>
        <w:tc>
          <w:tcPr>
            <w:tcW w:w="2301"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宋体"/>
                <w:spacing w:val="-2"/>
                <w:szCs w:val="21"/>
              </w:rPr>
            </w:pPr>
            <w:r>
              <w:rPr>
                <w:rFonts w:hint="eastAsia" w:ascii="楷体" w:hAnsi="楷体" w:eastAsia="楷体" w:cs="宋体"/>
                <w:spacing w:val="-2"/>
                <w:szCs w:val="21"/>
              </w:rPr>
              <w:t>苏银理财启源现金 1 号-F</w:t>
            </w:r>
          </w:p>
        </w:tc>
        <w:tc>
          <w:tcPr>
            <w:tcW w:w="1405" w:type="dxa"/>
            <w:vAlign w:val="center"/>
          </w:tcPr>
          <w:p>
            <w:pPr>
              <w:tabs>
                <w:tab w:val="left" w:pos="993"/>
              </w:tabs>
              <w:jc w:val="center"/>
              <w:rPr>
                <w:rFonts w:cs="Calibri"/>
                <w:sz w:val="18"/>
                <w:szCs w:val="18"/>
              </w:rPr>
            </w:pPr>
            <w:r>
              <w:rPr>
                <w:rFonts w:hint="eastAsia" w:cs="Calibri"/>
                <w:sz w:val="18"/>
                <w:szCs w:val="18"/>
              </w:rPr>
              <w:t>J02008</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0.01 元</w:t>
            </w:r>
          </w:p>
        </w:tc>
        <w:tc>
          <w:tcPr>
            <w:tcW w:w="2301" w:type="dxa"/>
            <w:vAlign w:val="center"/>
          </w:tcPr>
          <w:p>
            <w:pPr>
              <w:tabs>
                <w:tab w:val="left" w:pos="993"/>
              </w:tabs>
              <w:jc w:val="center"/>
              <w:rPr>
                <w:rFonts w:ascii="楷体" w:hAnsi="楷体" w:eastAsia="楷体" w:cs="Calibri"/>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苏银理财启源现金1号-G</w:t>
            </w:r>
          </w:p>
        </w:tc>
        <w:tc>
          <w:tcPr>
            <w:tcW w:w="1405" w:type="dxa"/>
            <w:vAlign w:val="center"/>
          </w:tcPr>
          <w:p>
            <w:pPr>
              <w:tabs>
                <w:tab w:val="left" w:pos="993"/>
              </w:tabs>
              <w:jc w:val="center"/>
              <w:rPr>
                <w:rFonts w:hint="default" w:eastAsia="宋体" w:cs="Calibri"/>
                <w:sz w:val="18"/>
                <w:szCs w:val="18"/>
                <w:lang w:val="en-US" w:eastAsia="zh-CN"/>
              </w:rPr>
            </w:pPr>
            <w:r>
              <w:rPr>
                <w:rFonts w:hint="eastAsia" w:cs="Calibri"/>
                <w:sz w:val="18"/>
                <w:szCs w:val="18"/>
                <w:lang w:val="en-US" w:eastAsia="zh-CN"/>
              </w:rPr>
              <w:t>J02158</w:t>
            </w:r>
          </w:p>
        </w:tc>
        <w:tc>
          <w:tcPr>
            <w:tcW w:w="1834" w:type="dxa"/>
            <w:vAlign w:val="center"/>
          </w:tcPr>
          <w:p>
            <w:pPr>
              <w:tabs>
                <w:tab w:val="left" w:pos="993"/>
              </w:tabs>
              <w:jc w:val="center"/>
              <w:rPr>
                <w:rFonts w:hint="default" w:ascii="楷体" w:hAnsi="楷体" w:eastAsia="楷体" w:cs="Calibri"/>
                <w:szCs w:val="21"/>
                <w:lang w:val="en-US" w:eastAsia="zh-CN"/>
              </w:rPr>
            </w:pPr>
            <w:r>
              <w:rPr>
                <w:rFonts w:hint="eastAsia" w:ascii="楷体" w:hAnsi="楷体" w:eastAsia="楷体" w:cs="Calibri"/>
                <w:szCs w:val="21"/>
                <w:lang w:val="en-US" w:eastAsia="zh-CN"/>
              </w:rPr>
              <w:t>1元</w:t>
            </w:r>
          </w:p>
        </w:tc>
        <w:tc>
          <w:tcPr>
            <w:tcW w:w="2301" w:type="dxa"/>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0</w:t>
            </w:r>
            <w:r>
              <w:rPr>
                <w:rFonts w:ascii="楷体" w:hAnsi="楷体" w:eastAsia="楷体" w:cs="宋体"/>
                <w:spacing w:val="-2"/>
                <w:szCs w:val="21"/>
              </w:rPr>
              <w:t>.</w:t>
            </w:r>
            <w:r>
              <w:rPr>
                <w:rFonts w:hint="eastAsia" w:ascii="楷体" w:hAnsi="楷体" w:eastAsia="楷体" w:cs="宋体"/>
                <w:spacing w:val="-2"/>
                <w:szCs w:val="21"/>
              </w:rPr>
              <w:t>01元的整数倍</w:t>
            </w:r>
          </w:p>
        </w:tc>
      </w:tr>
    </w:tbl>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单一投资者单日累计认购上限：5000万元，</w:t>
      </w:r>
      <w:r>
        <w:rPr>
          <w:rFonts w:hint="eastAsia" w:ascii="楷体" w:hAnsi="楷体" w:eastAsia="楷体" w:cs="Calibri"/>
          <w:spacing w:val="0"/>
          <w:sz w:val="24"/>
          <w:szCs w:val="24"/>
        </w:rPr>
        <w:t>超过单日累计认购上限时，系统会拒绝投资者的认购申请。产品存续期内管理人有权根据实际情况调整单日累计认购上限。</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单一投资者持有上限如下：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0"/>
        <w:gridCol w:w="2388"/>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tcPr>
          <w:p>
            <w:pPr>
              <w:tabs>
                <w:tab w:val="left" w:pos="993"/>
              </w:tabs>
              <w:jc w:val="center"/>
              <w:rPr>
                <w:rFonts w:ascii="楷体" w:hAnsi="楷体" w:eastAsia="楷体" w:cs="Calibri"/>
                <w:sz w:val="24"/>
                <w:szCs w:val="24"/>
              </w:rPr>
            </w:pPr>
            <w:r>
              <w:rPr>
                <w:rFonts w:hint="eastAsia" w:ascii="楷体" w:hAnsi="楷体" w:eastAsia="楷体" w:cs="Calibri"/>
                <w:sz w:val="21"/>
                <w:szCs w:val="21"/>
              </w:rPr>
              <w:t>销售名称</w:t>
            </w:r>
          </w:p>
        </w:tc>
        <w:tc>
          <w:tcPr>
            <w:tcW w:w="2388" w:type="dxa"/>
          </w:tcPr>
          <w:p>
            <w:pPr>
              <w:tabs>
                <w:tab w:val="left" w:pos="993"/>
              </w:tabs>
              <w:jc w:val="center"/>
              <w:rPr>
                <w:rFonts w:ascii="楷体" w:hAnsi="楷体" w:eastAsia="楷体" w:cs="Calibri"/>
                <w:sz w:val="24"/>
                <w:szCs w:val="24"/>
              </w:rPr>
            </w:pPr>
            <w:r>
              <w:rPr>
                <w:rFonts w:hint="eastAsia" w:ascii="楷体" w:hAnsi="楷体" w:eastAsia="楷体" w:cs="Calibri"/>
                <w:sz w:val="21"/>
                <w:szCs w:val="21"/>
              </w:rPr>
              <w:t>销售代码</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 w:val="21"/>
                <w:szCs w:val="21"/>
              </w:rPr>
              <w:t>单一投资者持有上限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w:t>
            </w:r>
            <w:r>
              <w:rPr>
                <w:rFonts w:hint="eastAsia" w:ascii="楷体" w:hAnsi="楷体" w:eastAsia="楷体" w:cs="Calibri"/>
                <w:szCs w:val="21"/>
              </w:rPr>
              <w:t>启源现金1号-个人</w:t>
            </w:r>
          </w:p>
        </w:tc>
        <w:tc>
          <w:tcPr>
            <w:tcW w:w="2388" w:type="dxa"/>
            <w:vAlign w:val="center"/>
          </w:tcPr>
          <w:p>
            <w:pPr>
              <w:tabs>
                <w:tab w:val="left" w:pos="993"/>
              </w:tabs>
              <w:jc w:val="center"/>
              <w:rPr>
                <w:rFonts w:ascii="楷体" w:hAnsi="楷体" w:eastAsia="楷体" w:cs="Calibri"/>
                <w:sz w:val="24"/>
                <w:szCs w:val="24"/>
              </w:rPr>
            </w:pPr>
            <w:r>
              <w:rPr>
                <w:rFonts w:cs="Calibri"/>
                <w:sz w:val="18"/>
                <w:szCs w:val="18"/>
              </w:rPr>
              <w:t>J183008SA819</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苏银理财启源现金1号-直销</w:t>
            </w:r>
          </w:p>
        </w:tc>
        <w:tc>
          <w:tcPr>
            <w:tcW w:w="2388" w:type="dxa"/>
            <w:vAlign w:val="center"/>
          </w:tcPr>
          <w:p>
            <w:pPr>
              <w:tabs>
                <w:tab w:val="left" w:pos="993"/>
              </w:tabs>
              <w:jc w:val="center"/>
              <w:rPr>
                <w:rFonts w:ascii="楷体" w:hAnsi="楷体" w:eastAsia="楷体" w:cs="Calibri"/>
                <w:sz w:val="24"/>
                <w:szCs w:val="24"/>
              </w:rPr>
            </w:pPr>
            <w:r>
              <w:rPr>
                <w:rFonts w:cs="Calibri"/>
                <w:sz w:val="18"/>
                <w:szCs w:val="18"/>
              </w:rPr>
              <w:t>J183008SA81B</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w:t>
            </w:r>
            <w:r>
              <w:rPr>
                <w:rFonts w:hint="eastAsia" w:ascii="楷体" w:hAnsi="楷体" w:eastAsia="楷体" w:cs="Calibri"/>
                <w:szCs w:val="21"/>
              </w:rPr>
              <w:t>启源现金1号-对公</w:t>
            </w:r>
          </w:p>
        </w:tc>
        <w:tc>
          <w:tcPr>
            <w:tcW w:w="2388" w:type="dxa"/>
            <w:vAlign w:val="center"/>
          </w:tcPr>
          <w:p>
            <w:pPr>
              <w:tabs>
                <w:tab w:val="left" w:pos="993"/>
              </w:tabs>
              <w:jc w:val="center"/>
              <w:rPr>
                <w:rFonts w:ascii="楷体" w:hAnsi="楷体" w:eastAsia="楷体" w:cs="Calibri"/>
                <w:sz w:val="24"/>
                <w:szCs w:val="24"/>
              </w:rPr>
            </w:pPr>
            <w:r>
              <w:rPr>
                <w:rFonts w:cs="Calibri"/>
                <w:sz w:val="18"/>
                <w:szCs w:val="18"/>
              </w:rPr>
              <w:t>J183008SB81C</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苏银理财启源现金1号-私享</w:t>
            </w:r>
          </w:p>
        </w:tc>
        <w:tc>
          <w:tcPr>
            <w:tcW w:w="2388" w:type="dxa"/>
            <w:vAlign w:val="center"/>
          </w:tcPr>
          <w:p>
            <w:pPr>
              <w:tabs>
                <w:tab w:val="left" w:pos="993"/>
              </w:tabs>
              <w:jc w:val="center"/>
              <w:rPr>
                <w:rFonts w:ascii="楷体" w:hAnsi="楷体" w:eastAsia="楷体" w:cs="Calibri"/>
                <w:sz w:val="24"/>
                <w:szCs w:val="24"/>
              </w:rPr>
            </w:pPr>
            <w:r>
              <w:rPr>
                <w:rFonts w:cs="Calibri"/>
                <w:sz w:val="18"/>
                <w:szCs w:val="18"/>
              </w:rPr>
              <w:t>J183008SA81</w:t>
            </w:r>
            <w:r>
              <w:rPr>
                <w:rFonts w:hint="eastAsia" w:cs="Calibri"/>
                <w:sz w:val="18"/>
                <w:szCs w:val="18"/>
              </w:rPr>
              <w:t>D</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 1 号-E</w:t>
            </w:r>
          </w:p>
        </w:tc>
        <w:tc>
          <w:tcPr>
            <w:tcW w:w="2388" w:type="dxa"/>
            <w:vAlign w:val="center"/>
          </w:tcPr>
          <w:p>
            <w:pPr>
              <w:tabs>
                <w:tab w:val="left" w:pos="993"/>
              </w:tabs>
              <w:jc w:val="center"/>
              <w:rPr>
                <w:rFonts w:ascii="楷体" w:hAnsi="楷体" w:eastAsia="楷体" w:cs="Calibri"/>
                <w:sz w:val="24"/>
                <w:szCs w:val="24"/>
              </w:rPr>
            </w:pPr>
            <w:r>
              <w:rPr>
                <w:rFonts w:hint="eastAsia" w:cs="Calibri"/>
                <w:sz w:val="18"/>
                <w:szCs w:val="18"/>
              </w:rPr>
              <w:t xml:space="preserve">J01623 </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 1 号-F</w:t>
            </w:r>
          </w:p>
        </w:tc>
        <w:tc>
          <w:tcPr>
            <w:tcW w:w="2388" w:type="dxa"/>
            <w:vAlign w:val="center"/>
          </w:tcPr>
          <w:p>
            <w:pPr>
              <w:tabs>
                <w:tab w:val="left" w:pos="993"/>
              </w:tabs>
              <w:jc w:val="center"/>
              <w:rPr>
                <w:rFonts w:ascii="楷体" w:hAnsi="楷体" w:eastAsia="楷体" w:cs="Calibri"/>
                <w:sz w:val="24"/>
                <w:szCs w:val="24"/>
              </w:rPr>
            </w:pPr>
            <w:r>
              <w:rPr>
                <w:rFonts w:hint="eastAsia" w:cs="Calibri"/>
                <w:sz w:val="18"/>
                <w:szCs w:val="18"/>
              </w:rPr>
              <w:t>J02008</w:t>
            </w:r>
          </w:p>
        </w:tc>
        <w:tc>
          <w:tcPr>
            <w:tcW w:w="2854" w:type="dxa"/>
          </w:tcPr>
          <w:p>
            <w:pPr>
              <w:tabs>
                <w:tab w:val="left" w:pos="993"/>
              </w:tabs>
              <w:jc w:val="center"/>
              <w:rPr>
                <w:rFonts w:ascii="楷体" w:hAnsi="楷体" w:eastAsia="楷体" w:cs="Calibri"/>
                <w:sz w:val="21"/>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0" w:type="dxa"/>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苏银理财启源现金1号-G</w:t>
            </w:r>
          </w:p>
        </w:tc>
        <w:tc>
          <w:tcPr>
            <w:tcW w:w="2388" w:type="dxa"/>
            <w:vAlign w:val="center"/>
          </w:tcPr>
          <w:p>
            <w:pPr>
              <w:tabs>
                <w:tab w:val="left" w:pos="993"/>
              </w:tabs>
              <w:jc w:val="center"/>
              <w:rPr>
                <w:rFonts w:hint="eastAsia" w:cs="Calibri"/>
                <w:sz w:val="18"/>
                <w:szCs w:val="18"/>
              </w:rPr>
            </w:pPr>
            <w:r>
              <w:rPr>
                <w:rFonts w:hint="eastAsia" w:cs="Calibri"/>
                <w:sz w:val="18"/>
                <w:szCs w:val="18"/>
                <w:lang w:val="en-US" w:eastAsia="zh-CN"/>
              </w:rPr>
              <w:t>J02158</w:t>
            </w:r>
          </w:p>
        </w:tc>
        <w:tc>
          <w:tcPr>
            <w:tcW w:w="2854" w:type="dxa"/>
          </w:tcPr>
          <w:p>
            <w:pPr>
              <w:tabs>
                <w:tab w:val="left" w:pos="993"/>
              </w:tabs>
              <w:jc w:val="center"/>
              <w:rPr>
                <w:rFonts w:hint="default" w:ascii="楷体" w:hAnsi="楷体" w:eastAsia="楷体" w:cs="Calibri"/>
                <w:szCs w:val="21"/>
                <w:lang w:val="en-US" w:eastAsia="zh-CN"/>
              </w:rPr>
            </w:pPr>
            <w:r>
              <w:rPr>
                <w:rFonts w:hint="eastAsia" w:ascii="楷体" w:hAnsi="楷体" w:eastAsia="楷体" w:cs="Calibri"/>
                <w:szCs w:val="21"/>
                <w:lang w:val="en-US" w:eastAsia="zh-CN"/>
              </w:rPr>
              <w:t>1亿元</w:t>
            </w:r>
          </w:p>
        </w:tc>
      </w:tr>
    </w:tbl>
    <w:p>
      <w:pPr>
        <w:tabs>
          <w:tab w:val="left" w:pos="993"/>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本理财产品不允许单一投资者持有份额超过本理财产品总份额的50%</w:t>
      </w:r>
      <w:r>
        <w:rPr>
          <w:rFonts w:hint="eastAsia" w:ascii="楷体" w:hAnsi="楷体" w:eastAsia="楷体" w:cs="Calibri"/>
          <w:sz w:val="24"/>
          <w:szCs w:val="24"/>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认购资金的清算</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投资者提出认购申请后，投资者认购资金将会冻结在投资者资金账户上。冻结期间资金利息根据《理财产品（代理）销售协议书》相关条款确定。</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在份额确认日通知销售机构扣划投资者认购资金，投资者应在扣款前保证资金账户中拥有足够可用余额。因投资者资金账户余额不足、司法冻结、不可抗力因素或其他不可归责于苏银理财和销售机构的事由出现，造成扣款失败，认购申请未被确认的，苏银理财和销售机构不承担任何责任。</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认购份额登记日：本理财产品于2</w:t>
      </w:r>
      <w:r>
        <w:rPr>
          <w:rFonts w:ascii="楷体" w:hAnsi="楷体" w:eastAsia="楷体" w:cs="Calibri"/>
          <w:sz w:val="24"/>
          <w:szCs w:val="24"/>
        </w:rPr>
        <w:t>018</w:t>
      </w:r>
      <w:r>
        <w:rPr>
          <w:rFonts w:hint="eastAsia" w:ascii="楷体" w:hAnsi="楷体" w:eastAsia="楷体" w:cs="Calibri"/>
          <w:sz w:val="24"/>
          <w:szCs w:val="24"/>
        </w:rPr>
        <w:t>年8月3</w:t>
      </w:r>
      <w:r>
        <w:rPr>
          <w:rFonts w:ascii="楷体" w:hAnsi="楷体" w:eastAsia="楷体" w:cs="Calibri"/>
          <w:sz w:val="24"/>
          <w:szCs w:val="24"/>
        </w:rPr>
        <w:t>0</w:t>
      </w:r>
      <w:r>
        <w:rPr>
          <w:rFonts w:hint="eastAsia" w:ascii="楷体" w:hAnsi="楷体" w:eastAsia="楷体" w:cs="Calibri"/>
          <w:sz w:val="24"/>
          <w:szCs w:val="24"/>
        </w:rPr>
        <w:t>日进行份额登记。</w:t>
      </w:r>
    </w:p>
    <w:p>
      <w:pPr>
        <w:numPr>
          <w:ilvl w:val="0"/>
          <w:numId w:val="11"/>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0"/>
        </w:numPr>
        <w:tabs>
          <w:tab w:val="left" w:pos="1134"/>
        </w:tabs>
        <w:ind w:leftChars="200"/>
        <w:outlineLvl w:val="1"/>
        <w:rPr>
          <w:rFonts w:ascii="楷体" w:hAnsi="楷体" w:eastAsia="楷体"/>
          <w:b/>
          <w:sz w:val="28"/>
          <w:szCs w:val="28"/>
        </w:rPr>
      </w:pPr>
      <w:r>
        <w:rPr>
          <w:rFonts w:hint="eastAsia" w:ascii="楷体" w:hAnsi="楷体" w:eastAsia="楷体"/>
          <w:b/>
          <w:sz w:val="28"/>
          <w:szCs w:val="28"/>
          <w:lang w:val="en-US" w:eastAsia="zh-CN"/>
        </w:rPr>
        <w:t>九、</w:t>
      </w: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申购</w:t>
      </w:r>
      <w:r>
        <w:rPr>
          <w:rFonts w:ascii="楷体" w:hAnsi="楷体" w:eastAsia="楷体" w:cs="Calibri"/>
          <w:b/>
          <w:sz w:val="24"/>
          <w:szCs w:val="24"/>
        </w:rPr>
        <w:t>及申购资金的清算</w:t>
      </w:r>
    </w:p>
    <w:p>
      <w:pPr>
        <w:numPr>
          <w:ilvl w:val="0"/>
          <w:numId w:val="14"/>
        </w:numPr>
        <w:tabs>
          <w:tab w:val="left" w:pos="728"/>
        </w:tabs>
        <w:ind w:left="0" w:firstLine="482" w:firstLineChars="200"/>
        <w:rPr>
          <w:rFonts w:ascii="楷体" w:hAnsi="楷体" w:eastAsia="楷体" w:cs="Calibri"/>
          <w:sz w:val="24"/>
          <w:szCs w:val="24"/>
        </w:rPr>
      </w:pPr>
      <w:r>
        <w:rPr>
          <w:rFonts w:hint="eastAsia" w:ascii="楷体" w:hAnsi="楷体" w:eastAsia="楷体" w:cs="Calibri"/>
          <w:b/>
          <w:sz w:val="24"/>
          <w:szCs w:val="24"/>
        </w:rPr>
        <w:t>申购期</w:t>
      </w:r>
      <w:r>
        <w:rPr>
          <w:rFonts w:hint="eastAsia" w:ascii="楷体" w:hAnsi="楷体" w:eastAsia="楷体" w:cs="Calibri"/>
          <w:sz w:val="24"/>
          <w:szCs w:val="24"/>
        </w:rPr>
        <w:t>：本产品存续期内，00:00至24:00投资者均可提交申购申请（系统清算时间除外）。</w:t>
      </w:r>
    </w:p>
    <w:p>
      <w:pPr>
        <w:numPr>
          <w:ilvl w:val="0"/>
          <w:numId w:val="14"/>
        </w:numPr>
        <w:tabs>
          <w:tab w:val="left" w:pos="728"/>
        </w:tabs>
        <w:ind w:left="0" w:firstLine="482" w:firstLineChars="200"/>
        <w:rPr>
          <w:rFonts w:ascii="楷体" w:hAnsi="楷体" w:eastAsia="楷体" w:cs="Calibri"/>
          <w:b/>
          <w:sz w:val="24"/>
          <w:szCs w:val="24"/>
        </w:rPr>
      </w:pPr>
      <w:r>
        <w:rPr>
          <w:rFonts w:hint="eastAsia" w:ascii="楷体" w:hAnsi="楷体" w:eastAsia="楷体" w:cs="Calibri"/>
          <w:b/>
          <w:sz w:val="24"/>
          <w:szCs w:val="24"/>
        </w:rPr>
        <w:t>申购原则</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“确定价”原则：投资者申购本理财产品时，采用“确定价”原则，价格为1元/份。</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“金额申购”原则：本理财产品申购以金额申请,申购份额=申购金额/产品单位净值。</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单一投资者单日累计申购上限：5000万元，超过单日累计申购上限时，系统会拒绝投资者的申购申请。产品存续期内管理人有权根据实际情况调整单日累计申购上限。</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产品单个开放日</w:t>
      </w:r>
      <w:r>
        <w:rPr>
          <w:rFonts w:hint="eastAsia" w:ascii="楷体" w:hAnsi="楷体" w:eastAsia="楷体" w:cs="Calibri"/>
          <w:sz w:val="24"/>
          <w:szCs w:val="24"/>
          <w:lang w:val="en-US" w:eastAsia="zh-CN"/>
        </w:rPr>
        <w:t>净</w:t>
      </w:r>
      <w:r>
        <w:rPr>
          <w:rFonts w:hint="eastAsia" w:ascii="楷体" w:hAnsi="楷体" w:eastAsia="楷体" w:cs="Calibri"/>
          <w:sz w:val="24"/>
          <w:szCs w:val="24"/>
        </w:rPr>
        <w:t>申购</w:t>
      </w:r>
      <w:r>
        <w:rPr>
          <w:rFonts w:hint="eastAsia" w:ascii="楷体" w:hAnsi="楷体" w:eastAsia="楷体" w:cs="Calibri"/>
          <w:sz w:val="24"/>
          <w:szCs w:val="24"/>
          <w:lang w:val="en-US" w:eastAsia="zh-CN"/>
        </w:rPr>
        <w:t>申请</w:t>
      </w:r>
      <w:r>
        <w:rPr>
          <w:rFonts w:hint="eastAsia" w:ascii="楷体" w:hAnsi="楷体" w:eastAsia="楷体" w:cs="Calibri"/>
          <w:sz w:val="24"/>
          <w:szCs w:val="24"/>
        </w:rPr>
        <w:t>折算产品份额超过上一日产品总份额</w:t>
      </w:r>
      <w:r>
        <w:rPr>
          <w:rFonts w:ascii="楷体" w:hAnsi="楷体" w:eastAsia="楷体" w:cs="Calibri"/>
          <w:sz w:val="24"/>
          <w:szCs w:val="24"/>
        </w:rPr>
        <w:t>20%时</w:t>
      </w:r>
      <w:r>
        <w:rPr>
          <w:rFonts w:hint="eastAsia" w:ascii="楷体" w:hAnsi="楷体" w:eastAsia="楷体" w:cs="Calibri"/>
          <w:sz w:val="24"/>
          <w:szCs w:val="24"/>
        </w:rPr>
        <w:t>，即认为发生了巨额申购。当出现巨额申购时，产品管理人有权拒绝客户的全部或部分申购申请</w:t>
      </w:r>
      <w:r>
        <w:rPr>
          <w:rFonts w:hint="eastAsia" w:ascii="楷体" w:hAnsi="楷体" w:eastAsia="楷体" w:cs="Calibri"/>
          <w:spacing w:val="0"/>
          <w:kern w:val="2"/>
          <w:sz w:val="24"/>
          <w:szCs w:val="24"/>
        </w:rPr>
        <w:t>。</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单一投资者持有上限如下：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4"/>
        <w:gridCol w:w="2400"/>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tcPr>
          <w:p>
            <w:pPr>
              <w:tabs>
                <w:tab w:val="left" w:pos="993"/>
              </w:tabs>
              <w:jc w:val="center"/>
              <w:rPr>
                <w:rFonts w:ascii="楷体" w:hAnsi="楷体" w:eastAsia="楷体" w:cs="Calibri"/>
                <w:sz w:val="24"/>
                <w:szCs w:val="24"/>
              </w:rPr>
            </w:pPr>
            <w:r>
              <w:rPr>
                <w:rFonts w:hint="eastAsia" w:ascii="楷体" w:hAnsi="楷体" w:eastAsia="楷体" w:cs="Calibri"/>
                <w:szCs w:val="21"/>
              </w:rPr>
              <w:t>销售名称</w:t>
            </w:r>
          </w:p>
        </w:tc>
        <w:tc>
          <w:tcPr>
            <w:tcW w:w="2400" w:type="dxa"/>
          </w:tcPr>
          <w:p>
            <w:pPr>
              <w:tabs>
                <w:tab w:val="left" w:pos="993"/>
              </w:tabs>
              <w:jc w:val="center"/>
              <w:rPr>
                <w:rFonts w:ascii="楷体" w:hAnsi="楷体" w:eastAsia="楷体" w:cs="Calibri"/>
                <w:sz w:val="24"/>
                <w:szCs w:val="24"/>
              </w:rPr>
            </w:pPr>
            <w:r>
              <w:rPr>
                <w:rFonts w:hint="eastAsia" w:ascii="楷体" w:hAnsi="楷体" w:eastAsia="楷体" w:cs="Calibri"/>
                <w:szCs w:val="21"/>
              </w:rPr>
              <w:t>销售代码</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单一投资者持有上限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w:t>
            </w:r>
            <w:r>
              <w:rPr>
                <w:rFonts w:hint="eastAsia" w:ascii="楷体" w:hAnsi="楷体" w:eastAsia="楷体" w:cs="Calibri"/>
                <w:szCs w:val="21"/>
              </w:rPr>
              <w:t>启源现金1号-个人</w:t>
            </w:r>
          </w:p>
        </w:tc>
        <w:tc>
          <w:tcPr>
            <w:tcW w:w="2400" w:type="dxa"/>
            <w:vAlign w:val="center"/>
          </w:tcPr>
          <w:p>
            <w:pPr>
              <w:tabs>
                <w:tab w:val="left" w:pos="993"/>
              </w:tabs>
              <w:jc w:val="center"/>
              <w:rPr>
                <w:rFonts w:ascii="楷体" w:hAnsi="楷体" w:eastAsia="楷体" w:cs="Calibri"/>
                <w:sz w:val="24"/>
                <w:szCs w:val="24"/>
              </w:rPr>
            </w:pPr>
            <w:r>
              <w:rPr>
                <w:rFonts w:cs="Calibri"/>
                <w:sz w:val="18"/>
                <w:szCs w:val="18"/>
              </w:rPr>
              <w:t>J183008SA819</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苏银理财启源现金1号-直销</w:t>
            </w:r>
          </w:p>
        </w:tc>
        <w:tc>
          <w:tcPr>
            <w:tcW w:w="2400" w:type="dxa"/>
            <w:vAlign w:val="center"/>
          </w:tcPr>
          <w:p>
            <w:pPr>
              <w:tabs>
                <w:tab w:val="left" w:pos="993"/>
              </w:tabs>
              <w:jc w:val="center"/>
              <w:rPr>
                <w:rFonts w:ascii="楷体" w:hAnsi="楷体" w:eastAsia="楷体" w:cs="Calibri"/>
                <w:sz w:val="24"/>
                <w:szCs w:val="24"/>
              </w:rPr>
            </w:pPr>
            <w:r>
              <w:rPr>
                <w:rFonts w:cs="Calibri"/>
                <w:sz w:val="18"/>
                <w:szCs w:val="18"/>
              </w:rPr>
              <w:t>J183008SA81B</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w:t>
            </w:r>
            <w:r>
              <w:rPr>
                <w:rFonts w:hint="eastAsia" w:ascii="楷体" w:hAnsi="楷体" w:eastAsia="楷体" w:cs="Calibri"/>
                <w:szCs w:val="21"/>
              </w:rPr>
              <w:t>启源现金1号-对公</w:t>
            </w:r>
          </w:p>
        </w:tc>
        <w:tc>
          <w:tcPr>
            <w:tcW w:w="2400" w:type="dxa"/>
            <w:vAlign w:val="center"/>
          </w:tcPr>
          <w:p>
            <w:pPr>
              <w:tabs>
                <w:tab w:val="left" w:pos="993"/>
              </w:tabs>
              <w:jc w:val="center"/>
              <w:rPr>
                <w:rFonts w:ascii="楷体" w:hAnsi="楷体" w:eastAsia="楷体" w:cs="Calibri"/>
                <w:sz w:val="24"/>
                <w:szCs w:val="24"/>
              </w:rPr>
            </w:pPr>
            <w:r>
              <w:rPr>
                <w:rFonts w:cs="Calibri"/>
                <w:sz w:val="18"/>
                <w:szCs w:val="18"/>
              </w:rPr>
              <w:t>J183008SB81C</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苏银理财启源现金1号-私享</w:t>
            </w:r>
          </w:p>
        </w:tc>
        <w:tc>
          <w:tcPr>
            <w:tcW w:w="2400" w:type="dxa"/>
            <w:vAlign w:val="center"/>
          </w:tcPr>
          <w:p>
            <w:pPr>
              <w:tabs>
                <w:tab w:val="left" w:pos="993"/>
              </w:tabs>
              <w:jc w:val="center"/>
              <w:rPr>
                <w:rFonts w:ascii="楷体" w:hAnsi="楷体" w:eastAsia="楷体" w:cs="Calibri"/>
                <w:sz w:val="24"/>
                <w:szCs w:val="24"/>
              </w:rPr>
            </w:pPr>
            <w:r>
              <w:rPr>
                <w:rFonts w:cs="Calibri"/>
                <w:sz w:val="18"/>
                <w:szCs w:val="18"/>
              </w:rPr>
              <w:t>J183008SA81</w:t>
            </w:r>
            <w:r>
              <w:rPr>
                <w:rFonts w:hint="eastAsia" w:cs="Calibri"/>
                <w:sz w:val="18"/>
                <w:szCs w:val="18"/>
              </w:rPr>
              <w:t>D</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 1 号-E</w:t>
            </w:r>
          </w:p>
        </w:tc>
        <w:tc>
          <w:tcPr>
            <w:tcW w:w="2400" w:type="dxa"/>
            <w:vAlign w:val="center"/>
          </w:tcPr>
          <w:p>
            <w:pPr>
              <w:tabs>
                <w:tab w:val="left" w:pos="993"/>
              </w:tabs>
              <w:jc w:val="center"/>
              <w:rPr>
                <w:rFonts w:ascii="楷体" w:hAnsi="楷体" w:eastAsia="楷体" w:cs="Calibri"/>
                <w:sz w:val="24"/>
                <w:szCs w:val="24"/>
              </w:rPr>
            </w:pPr>
            <w:r>
              <w:rPr>
                <w:rFonts w:hint="eastAsia" w:cs="Calibri"/>
                <w:sz w:val="18"/>
                <w:szCs w:val="18"/>
              </w:rPr>
              <w:t xml:space="preserve">J01623 </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ascii="楷体" w:hAnsi="楷体" w:eastAsia="楷体" w:cs="Calibri"/>
                <w:sz w:val="24"/>
                <w:szCs w:val="24"/>
              </w:rPr>
            </w:pPr>
            <w:r>
              <w:rPr>
                <w:rFonts w:hint="eastAsia" w:ascii="楷体" w:hAnsi="楷体" w:eastAsia="楷体" w:cs="宋体"/>
                <w:spacing w:val="-2"/>
                <w:szCs w:val="21"/>
              </w:rPr>
              <w:t>苏银理财启源现金 1 号-F</w:t>
            </w:r>
          </w:p>
        </w:tc>
        <w:tc>
          <w:tcPr>
            <w:tcW w:w="2400" w:type="dxa"/>
            <w:vAlign w:val="center"/>
          </w:tcPr>
          <w:p>
            <w:pPr>
              <w:tabs>
                <w:tab w:val="left" w:pos="993"/>
              </w:tabs>
              <w:jc w:val="center"/>
              <w:rPr>
                <w:rFonts w:ascii="楷体" w:hAnsi="楷体" w:eastAsia="楷体" w:cs="Calibri"/>
                <w:sz w:val="24"/>
                <w:szCs w:val="24"/>
              </w:rPr>
            </w:pPr>
            <w:r>
              <w:rPr>
                <w:rFonts w:hint="eastAsia" w:cs="Calibri"/>
                <w:sz w:val="18"/>
                <w:szCs w:val="18"/>
              </w:rPr>
              <w:t>J02008</w:t>
            </w:r>
          </w:p>
        </w:tc>
        <w:tc>
          <w:tcPr>
            <w:tcW w:w="2808" w:type="dxa"/>
          </w:tcPr>
          <w:p>
            <w:pPr>
              <w:tabs>
                <w:tab w:val="left" w:pos="993"/>
              </w:tabs>
              <w:jc w:val="center"/>
              <w:rPr>
                <w:rFonts w:ascii="楷体" w:hAnsi="楷体" w:eastAsia="楷体" w:cs="Calibri"/>
                <w:szCs w:val="21"/>
              </w:rPr>
            </w:pPr>
            <w:r>
              <w:rPr>
                <w:rFonts w:hint="eastAsia" w:ascii="楷体" w:hAnsi="楷体" w:eastAsia="楷体" w:cs="Calibri"/>
                <w:szCs w:val="21"/>
              </w:rPr>
              <w:t>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4" w:type="dxa"/>
            <w:vAlign w:val="center"/>
          </w:tcPr>
          <w:p>
            <w:pPr>
              <w:tabs>
                <w:tab w:val="left" w:pos="993"/>
              </w:tabs>
              <w:jc w:val="center"/>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rPr>
              <w:t>苏银理财启源现金1号-G</w:t>
            </w:r>
          </w:p>
        </w:tc>
        <w:tc>
          <w:tcPr>
            <w:tcW w:w="2400" w:type="dxa"/>
            <w:vAlign w:val="center"/>
          </w:tcPr>
          <w:p>
            <w:pPr>
              <w:tabs>
                <w:tab w:val="left" w:pos="993"/>
              </w:tabs>
              <w:jc w:val="center"/>
              <w:rPr>
                <w:rFonts w:hint="eastAsia" w:ascii="Times New Roman" w:hAnsi="Times New Roman" w:eastAsia="宋体" w:cs="Calibri"/>
                <w:kern w:val="2"/>
                <w:sz w:val="18"/>
                <w:szCs w:val="18"/>
                <w:lang w:val="en-US" w:eastAsia="zh-CN" w:bidi="ar-SA"/>
              </w:rPr>
            </w:pPr>
            <w:r>
              <w:rPr>
                <w:rFonts w:hint="eastAsia" w:cs="Calibri"/>
                <w:sz w:val="18"/>
                <w:szCs w:val="18"/>
                <w:lang w:val="en-US" w:eastAsia="zh-CN"/>
              </w:rPr>
              <w:t>J02158</w:t>
            </w:r>
          </w:p>
        </w:tc>
        <w:tc>
          <w:tcPr>
            <w:tcW w:w="2808" w:type="dxa"/>
            <w:vAlign w:val="top"/>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1亿元</w:t>
            </w:r>
          </w:p>
        </w:tc>
      </w:tr>
    </w:tbl>
    <w:p>
      <w:pPr>
        <w:tabs>
          <w:tab w:val="left" w:pos="1092"/>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本理财产品不允许单一投资者持有份额超过本理财产品总份额的</w:t>
      </w:r>
      <w:r>
        <w:rPr>
          <w:rFonts w:ascii="楷体" w:hAnsi="楷体" w:eastAsia="楷体" w:cs="Calibri"/>
          <w:b/>
          <w:sz w:val="24"/>
          <w:szCs w:val="24"/>
          <w:u w:val="single"/>
        </w:rPr>
        <w:t>50%，</w:t>
      </w:r>
      <w:r>
        <w:rPr>
          <w:rFonts w:hint="eastAsia" w:ascii="楷体" w:hAnsi="楷体" w:eastAsia="楷体" w:cs="Calibri"/>
          <w:sz w:val="24"/>
          <w:szCs w:val="24"/>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numPr>
          <w:ilvl w:val="0"/>
          <w:numId w:val="14"/>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申购确认规则</w:t>
      </w:r>
    </w:p>
    <w:tbl>
      <w:tblPr>
        <w:tblStyle w:val="14"/>
        <w:tblpPr w:leftFromText="180" w:rightFromText="180" w:vertAnchor="text" w:horzAnchor="margin" w:tblpY="18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3260"/>
        <w:gridCol w:w="184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申购申请时间</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申购确认方式</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申购扣款日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开放日0:</w:t>
            </w:r>
            <w:r>
              <w:rPr>
                <w:rFonts w:ascii="楷体" w:hAnsi="楷体" w:eastAsia="楷体" w:cs="Calibri"/>
                <w:szCs w:val="21"/>
              </w:rPr>
              <w:t>00-15:30</w:t>
            </w:r>
            <w:r>
              <w:rPr>
                <w:rFonts w:hint="eastAsia" w:ascii="楷体" w:hAnsi="楷体" w:eastAsia="楷体" w:cs="Calibri"/>
                <w:szCs w:val="21"/>
              </w:rPr>
              <w:t>（不含）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开放日后第1个工作日对申购申请进行确认（T+1日）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ascii="楷体" w:hAnsi="楷体" w:eastAsia="楷体" w:cs="Calibri"/>
                <w:szCs w:val="21"/>
              </w:rPr>
              <w:t>15:30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开放日15:30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视为开放日后第1个工作日的申购，将于开放日后第2个工作日对申购申请进行确认（T+2日）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T+1日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T+1日</w:t>
            </w:r>
            <w:r>
              <w:rPr>
                <w:rFonts w:ascii="楷体" w:hAnsi="楷体" w:eastAsia="楷体" w:cs="Calibri"/>
                <w:szCs w:val="21"/>
              </w:rPr>
              <w:t>15:30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非开放日00:00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非开放日后第1个工作</w:t>
            </w:r>
            <w:r>
              <w:rPr>
                <w:rFonts w:hint="eastAsia" w:ascii="楷体" w:hAnsi="楷体" w:eastAsia="楷体" w:cs="Calibri"/>
                <w:szCs w:val="21"/>
                <w:lang w:val="en-US" w:eastAsia="zh-CN"/>
              </w:rPr>
              <w:t>日</w:t>
            </w:r>
            <w:r>
              <w:rPr>
                <w:rFonts w:hint="eastAsia" w:ascii="楷体" w:hAnsi="楷体" w:eastAsia="楷体" w:cs="Calibri"/>
                <w:szCs w:val="21"/>
              </w:rPr>
              <w:t>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视为非开放日后第1个工作日的申购（T日），将于非开放日后第2个工作日对申购申请进行确认（T+1日）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ascii="楷体" w:hAnsi="楷体" w:eastAsia="楷体" w:cs="Calibri"/>
                <w:szCs w:val="21"/>
              </w:rPr>
              <w:t>15:30</w:t>
            </w:r>
            <w:r>
              <w:rPr>
                <w:rFonts w:hint="eastAsia" w:ascii="楷体" w:hAnsi="楷体" w:eastAsia="楷体" w:cs="Calibri"/>
                <w:szCs w:val="21"/>
              </w:rPr>
              <w:t>前</w:t>
            </w:r>
          </w:p>
        </w:tc>
      </w:tr>
    </w:tbl>
    <w:p>
      <w:pPr>
        <w:tabs>
          <w:tab w:val="left" w:pos="728"/>
          <w:tab w:val="left" w:pos="1092"/>
        </w:tabs>
        <w:ind w:firstLine="0" w:firstLineChars="0"/>
        <w:rPr>
          <w:rFonts w:ascii="楷体" w:hAnsi="楷体" w:eastAsia="楷体" w:cs="Calibri"/>
          <w:sz w:val="21"/>
          <w:szCs w:val="21"/>
        </w:rPr>
      </w:pPr>
      <w:r>
        <w:rPr>
          <w:rFonts w:hint="eastAsia" w:ascii="楷体" w:hAnsi="楷体" w:eastAsia="楷体" w:cs="Calibri"/>
          <w:sz w:val="21"/>
          <w:szCs w:val="21"/>
        </w:rPr>
        <w:t>注：申购申请开始</w:t>
      </w:r>
      <w:r>
        <w:rPr>
          <w:rFonts w:ascii="楷体" w:hAnsi="楷体" w:eastAsia="楷体" w:cs="Calibri"/>
          <w:sz w:val="21"/>
          <w:szCs w:val="21"/>
        </w:rPr>
        <w:t>/截止时间以各销售机构系统设置为准</w:t>
      </w:r>
      <w:r>
        <w:rPr>
          <w:rFonts w:hint="eastAsia" w:ascii="楷体" w:hAnsi="楷体" w:eastAsia="楷体" w:cs="Calibri"/>
          <w:sz w:val="21"/>
          <w:szCs w:val="21"/>
        </w:rPr>
        <w:t>；申购扣款时间以各销售机构实际扣款时间为准；申购撤单截止时间以各销售机构系统设置为准。</w:t>
      </w:r>
    </w:p>
    <w:p>
      <w:pPr>
        <w:tabs>
          <w:tab w:val="left" w:pos="728"/>
          <w:tab w:val="left" w:pos="1092"/>
        </w:tabs>
        <w:ind w:firstLine="480" w:firstLineChars="200"/>
        <w:rPr>
          <w:rFonts w:ascii="楷体" w:hAnsi="楷体" w:eastAsia="楷体" w:cs="Calibri"/>
          <w:sz w:val="24"/>
          <w:szCs w:val="24"/>
        </w:rPr>
      </w:pPr>
      <w:r>
        <w:rPr>
          <w:rFonts w:hint="eastAsia" w:ascii="楷体" w:hAnsi="楷体" w:eastAsia="楷体" w:cs="Calibri"/>
          <w:sz w:val="24"/>
          <w:szCs w:val="24"/>
        </w:rPr>
        <w:t>投资者应在系统扣款前保证资金账户中拥有足够可用余额，因投资者资金账户余额不足、司法冻结、不可抗力因素或其他不可归责于苏银理财和销售机构的事由出现，造成扣款失败、申购申请未被确认的，苏银理财和销售机构不承担法律责任。</w:t>
      </w:r>
      <w:r>
        <w:rPr>
          <w:rFonts w:hint="eastAsia" w:ascii="楷体" w:hAnsi="楷体" w:eastAsia="楷体" w:cs="Calibri"/>
          <w:b/>
          <w:bCs/>
          <w:sz w:val="24"/>
          <w:szCs w:val="24"/>
          <w:u w:val="single"/>
        </w:rPr>
        <w:t>份额确认前投资者已扣划的申购资金属于在途待确认份额状态，苏银理财不计付在途资金从扣款日至份额确认日间的利息。</w:t>
      </w:r>
    </w:p>
    <w:p>
      <w:pPr>
        <w:numPr>
          <w:ilvl w:val="0"/>
          <w:numId w:val="13"/>
        </w:numPr>
        <w:tabs>
          <w:tab w:val="left" w:pos="993"/>
        </w:tabs>
        <w:ind w:left="0" w:firstLine="482" w:firstLineChars="200"/>
        <w:outlineLvl w:val="2"/>
        <w:rPr>
          <w:rFonts w:ascii="楷体" w:hAnsi="楷体" w:eastAsia="楷体" w:cs="Calibri"/>
          <w:b/>
          <w:sz w:val="24"/>
          <w:szCs w:val="24"/>
        </w:rPr>
      </w:pPr>
      <w:r>
        <w:rPr>
          <w:rFonts w:ascii="楷体" w:hAnsi="楷体" w:eastAsia="楷体" w:cs="Calibri"/>
          <w:b/>
          <w:sz w:val="24"/>
          <w:szCs w:val="24"/>
        </w:rPr>
        <w:t>赎回及赎回资金的清算</w:t>
      </w:r>
    </w:p>
    <w:p>
      <w:pPr>
        <w:numPr>
          <w:ilvl w:val="0"/>
          <w:numId w:val="16"/>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赎回期</w:t>
      </w:r>
      <w:r>
        <w:rPr>
          <w:rFonts w:hint="eastAsia" w:ascii="楷体" w:hAnsi="楷体" w:eastAsia="楷体" w:cs="Calibri"/>
          <w:sz w:val="24"/>
          <w:szCs w:val="24"/>
        </w:rPr>
        <w:t>：本产品存续期内，00:00至24:00投资者均可提交赎回申请（系统清算时间除外）。</w:t>
      </w:r>
    </w:p>
    <w:p>
      <w:pPr>
        <w:numPr>
          <w:ilvl w:val="0"/>
          <w:numId w:val="16"/>
        </w:numPr>
        <w:tabs>
          <w:tab w:val="left" w:pos="728"/>
          <w:tab w:val="left" w:pos="1092"/>
        </w:tabs>
        <w:ind w:left="0" w:firstLine="482" w:firstLineChars="200"/>
        <w:rPr>
          <w:rFonts w:ascii="楷体" w:hAnsi="楷体" w:eastAsia="楷体" w:cs="Calibri"/>
          <w:b/>
          <w:sz w:val="24"/>
          <w:szCs w:val="24"/>
        </w:rPr>
      </w:pPr>
      <w:r>
        <w:rPr>
          <w:rFonts w:hint="eastAsia" w:ascii="楷体" w:hAnsi="楷体" w:eastAsia="楷体" w:cs="Calibri"/>
          <w:b/>
          <w:sz w:val="24"/>
          <w:szCs w:val="24"/>
        </w:rPr>
        <w:t>赎回原则</w:t>
      </w:r>
    </w:p>
    <w:p>
      <w:pPr>
        <w:numPr>
          <w:ilvl w:val="0"/>
          <w:numId w:val="17"/>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“确定价”原则：投资者赎回本理财产品时，采用“确定价”原则，价格为1元/份。</w:t>
      </w:r>
    </w:p>
    <w:p>
      <w:pPr>
        <w:numPr>
          <w:ilvl w:val="0"/>
          <w:numId w:val="17"/>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“份额赎回”原则：本理财产品赎回以份额申请，赎回金额=赎回份额×产品单位净值。</w:t>
      </w:r>
    </w:p>
    <w:p>
      <w:pPr>
        <w:numPr>
          <w:ilvl w:val="0"/>
          <w:numId w:val="16"/>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赎回确认规则</w:t>
      </w:r>
    </w:p>
    <w:tbl>
      <w:tblPr>
        <w:tblStyle w:val="14"/>
        <w:tblpPr w:leftFromText="180" w:rightFromText="180" w:vertAnchor="text" w:horzAnchor="margin" w:tblpY="18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402"/>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9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赎回申请时间</w:t>
            </w:r>
          </w:p>
        </w:tc>
        <w:tc>
          <w:tcPr>
            <w:tcW w:w="3402"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赎回确认方式</w:t>
            </w:r>
          </w:p>
        </w:tc>
        <w:tc>
          <w:tcPr>
            <w:tcW w:w="1701"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赎回资金最快到账时间</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赎回撤单截止时间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9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开放日0:</w:t>
            </w:r>
            <w:r>
              <w:rPr>
                <w:rFonts w:ascii="楷体" w:hAnsi="楷体" w:eastAsia="楷体" w:cs="Calibri"/>
                <w:szCs w:val="21"/>
              </w:rPr>
              <w:t>00-15:30</w:t>
            </w:r>
            <w:r>
              <w:rPr>
                <w:rFonts w:hint="eastAsia" w:ascii="楷体" w:hAnsi="楷体" w:eastAsia="楷体" w:cs="Calibri"/>
                <w:szCs w:val="21"/>
              </w:rPr>
              <w:t>（不含）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402"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开放日后第1个工作日对赎回申请进行确认（T+1日）</w:t>
            </w:r>
          </w:p>
        </w:tc>
        <w:tc>
          <w:tcPr>
            <w:tcW w:w="1701"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最快T+1到账</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ascii="楷体" w:hAnsi="楷体" w:eastAsia="楷体" w:cs="Calibri"/>
                <w:szCs w:val="21"/>
              </w:rPr>
              <w:t>15:30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9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开放日15:30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402"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视为开放日后第1个工作日的赎回，将于开放日后第2个工作日对赎回申请进行确认（T+2日）</w:t>
            </w:r>
          </w:p>
        </w:tc>
        <w:tc>
          <w:tcPr>
            <w:tcW w:w="1701"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最快T+2日到账</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T+1日</w:t>
            </w:r>
            <w:r>
              <w:rPr>
                <w:rFonts w:ascii="楷体" w:hAnsi="楷体" w:eastAsia="楷体" w:cs="Calibri"/>
                <w:szCs w:val="21"/>
              </w:rPr>
              <w:t>15:30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非开放日00:00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非开放日后第1个工作</w:t>
            </w:r>
            <w:r>
              <w:rPr>
                <w:rFonts w:hint="eastAsia" w:ascii="楷体" w:hAnsi="楷体" w:eastAsia="楷体" w:cs="Calibri"/>
                <w:szCs w:val="21"/>
                <w:lang w:val="en-US" w:eastAsia="zh-CN"/>
              </w:rPr>
              <w:t>日</w:t>
            </w:r>
            <w:r>
              <w:rPr>
                <w:rFonts w:hint="eastAsia" w:ascii="楷体" w:hAnsi="楷体" w:eastAsia="楷体" w:cs="Calibri"/>
                <w:szCs w:val="21"/>
              </w:rPr>
              <w:t>为T日</w:t>
            </w:r>
          </w:p>
        </w:tc>
        <w:tc>
          <w:tcPr>
            <w:tcW w:w="3402"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视为非开放日后第1个工作日的赎回（T日），将于非开放日后第2个工作日对赎回申请进行确认（T+1日）</w:t>
            </w:r>
          </w:p>
        </w:tc>
        <w:tc>
          <w:tcPr>
            <w:tcW w:w="1701"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最快T+1日到账</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ascii="楷体" w:hAnsi="楷体" w:eastAsia="楷体" w:cs="Calibri"/>
                <w:szCs w:val="21"/>
              </w:rPr>
              <w:t>15:30</w:t>
            </w:r>
            <w:r>
              <w:rPr>
                <w:rFonts w:hint="eastAsia" w:ascii="楷体" w:hAnsi="楷体" w:eastAsia="楷体" w:cs="Calibri"/>
                <w:szCs w:val="21"/>
              </w:rPr>
              <w:t>前</w:t>
            </w:r>
          </w:p>
        </w:tc>
      </w:tr>
    </w:tbl>
    <w:p>
      <w:pPr>
        <w:tabs>
          <w:tab w:val="left" w:pos="728"/>
          <w:tab w:val="left" w:pos="1092"/>
        </w:tabs>
        <w:ind w:firstLine="420" w:firstLineChars="200"/>
        <w:rPr>
          <w:rFonts w:ascii="楷体" w:hAnsi="楷体" w:eastAsia="楷体" w:cs="Calibri"/>
          <w:sz w:val="21"/>
          <w:szCs w:val="21"/>
        </w:rPr>
      </w:pPr>
      <w:r>
        <w:rPr>
          <w:rFonts w:hint="eastAsia" w:ascii="楷体" w:hAnsi="楷体" w:eastAsia="楷体" w:cs="Calibri"/>
          <w:szCs w:val="21"/>
        </w:rPr>
        <w:t>注：</w:t>
      </w:r>
      <w:r>
        <w:rPr>
          <w:rFonts w:hint="eastAsia" w:ascii="楷体" w:hAnsi="楷体" w:eastAsia="楷体" w:cs="Calibri"/>
          <w:sz w:val="21"/>
          <w:szCs w:val="21"/>
        </w:rPr>
        <w:t>赎回申请开始</w:t>
      </w:r>
      <w:r>
        <w:rPr>
          <w:rFonts w:ascii="楷体" w:hAnsi="楷体" w:eastAsia="楷体" w:cs="Calibri"/>
          <w:sz w:val="21"/>
          <w:szCs w:val="21"/>
        </w:rPr>
        <w:t>/截止时间以各销售机构系统设置为准；</w:t>
      </w:r>
      <w:r>
        <w:rPr>
          <w:rFonts w:hint="eastAsia" w:ascii="楷体" w:hAnsi="楷体" w:eastAsia="楷体" w:cs="Calibri"/>
          <w:sz w:val="21"/>
          <w:szCs w:val="21"/>
        </w:rPr>
        <w:t>赎回资金到账时间以实际入账时间为准；赎回撤单截止时间以各销售机构系统设置为准；</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投资者若触发巨额赎回条款，此时系统有权拒绝投资者的赎回申请。</w:t>
      </w:r>
    </w:p>
    <w:p>
      <w:pPr>
        <w:numPr>
          <w:ilvl w:val="0"/>
          <w:numId w:val="18"/>
        </w:numPr>
        <w:tabs>
          <w:tab w:val="left" w:pos="993"/>
        </w:tabs>
        <w:ind w:firstLine="482" w:firstLineChars="200"/>
        <w:rPr>
          <w:rFonts w:ascii="楷体" w:hAnsi="楷体" w:eastAsia="楷体" w:cs="Calibri"/>
          <w:sz w:val="24"/>
          <w:szCs w:val="24"/>
        </w:rPr>
      </w:pPr>
      <w:r>
        <w:rPr>
          <w:rFonts w:hint="eastAsia" w:ascii="楷体" w:hAnsi="楷体" w:eastAsia="楷体" w:cs="Calibri"/>
          <w:b/>
          <w:sz w:val="24"/>
          <w:szCs w:val="24"/>
        </w:rPr>
        <w:t>快速赎回规则</w:t>
      </w:r>
    </w:p>
    <w:p>
      <w:pPr>
        <w:tabs>
          <w:tab w:val="left" w:pos="993"/>
        </w:tabs>
        <w:ind w:firstLine="482" w:firstLineChars="200"/>
        <w:rPr>
          <w:rFonts w:ascii="楷体" w:hAnsi="楷体" w:eastAsia="楷体" w:cs="Calibri"/>
          <w:b/>
          <w:bCs/>
          <w:sz w:val="24"/>
          <w:szCs w:val="24"/>
          <w:u w:val="single"/>
        </w:rPr>
      </w:pPr>
      <w:r>
        <w:rPr>
          <w:rFonts w:hint="eastAsia" w:ascii="楷体" w:hAnsi="楷体" w:eastAsia="楷体" w:cs="Calibri"/>
          <w:b/>
          <w:bCs/>
          <w:sz w:val="24"/>
          <w:szCs w:val="24"/>
          <w:u w:val="single"/>
        </w:rPr>
        <w:t>本产品销售机构可为投资者提供</w:t>
      </w:r>
      <w:r>
        <w:rPr>
          <w:rFonts w:ascii="楷体" w:hAnsi="楷体" w:eastAsia="楷体" w:cs="Calibri"/>
          <w:b/>
          <w:bCs/>
          <w:sz w:val="24"/>
          <w:szCs w:val="24"/>
          <w:u w:val="single"/>
        </w:rPr>
        <w:t xml:space="preserve"> </w:t>
      </w:r>
      <w:r>
        <w:rPr>
          <w:rFonts w:hint="eastAsia" w:ascii="楷体" w:hAnsi="楷体" w:eastAsia="楷体" w:cs="Calibri"/>
          <w:b/>
          <w:bCs/>
          <w:sz w:val="24"/>
          <w:szCs w:val="24"/>
          <w:u w:val="single"/>
        </w:rPr>
        <w:t>“快速赎回”增值服务，客户可通过销售机构渠道进行快速赎回，如无特殊情况，赎回资金将于赎回申请日当日到账。</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“快速赎回”为本理财产品的增值服务，具体业务处理原则以</w:t>
      </w:r>
      <w:r>
        <w:rPr>
          <w:rFonts w:hint="eastAsia" w:ascii="楷体" w:hAnsi="楷体" w:eastAsia="楷体" w:cs="Calibri"/>
          <w:sz w:val="24"/>
          <w:szCs w:val="24"/>
          <w:highlight w:val="none"/>
          <w:lang w:val="en-US" w:eastAsia="zh-CN"/>
        </w:rPr>
        <w:t>销售</w:t>
      </w:r>
      <w:r>
        <w:rPr>
          <w:rFonts w:hint="eastAsia" w:ascii="楷体" w:hAnsi="楷体" w:eastAsia="楷体" w:cs="Calibri"/>
          <w:sz w:val="24"/>
          <w:szCs w:val="24"/>
        </w:rPr>
        <w:t>机构的快速赎回服务协议约定为准。管理人将根据快速赎回服务协议的约定，履行份额快速过户及理财份额收益划付等职责。</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面向江苏银行客户销售的（苏银理财启源现金1号-个人/苏银理财启源现金1号-直销/苏银理财启源现金1号-对公/苏银理财启源现金1号-私享）4款产品，每款产品每个自然日江苏银行为客户提供的“快速赎回”限额为1万元。</w:t>
      </w:r>
    </w:p>
    <w:p>
      <w:pPr>
        <w:tabs>
          <w:tab w:val="left" w:pos="993"/>
        </w:tabs>
        <w:ind w:firstLine="482" w:firstLineChars="200"/>
        <w:rPr>
          <w:rFonts w:ascii="楷体" w:hAnsi="楷体" w:eastAsia="楷体" w:cs="Calibri"/>
          <w:b/>
          <w:sz w:val="24"/>
          <w:szCs w:val="24"/>
        </w:rPr>
      </w:pPr>
      <w:r>
        <w:rPr>
          <w:rFonts w:ascii="楷体" w:hAnsi="楷体" w:eastAsia="楷体" w:cs="Calibri"/>
          <w:b/>
          <w:bCs/>
          <w:sz w:val="24"/>
          <w:szCs w:val="24"/>
        </w:rPr>
        <w:t>5.强制赎回费</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本理财计划出现以下情形之一时将有权收取强制赎回费：</w:t>
      </w:r>
    </w:p>
    <w:p>
      <w:pPr>
        <w:ind w:left="115" w:right="115" w:rightChars="55" w:firstLine="236" w:firstLineChars="100"/>
        <w:rPr>
          <w:rFonts w:ascii="楷体" w:hAnsi="楷体" w:eastAsia="楷体" w:cs="宋体"/>
          <w:spacing w:val="-2"/>
          <w:sz w:val="24"/>
          <w:szCs w:val="24"/>
        </w:rPr>
      </w:pPr>
      <w:r>
        <w:rPr>
          <w:rFonts w:hint="eastAsia" w:ascii="楷体" w:hAnsi="楷体" w:eastAsia="楷体" w:cs="宋体"/>
          <w:spacing w:val="-2"/>
          <w:sz w:val="24"/>
          <w:szCs w:val="24"/>
        </w:rPr>
        <w:t>（</w:t>
      </w:r>
      <w:r>
        <w:rPr>
          <w:rFonts w:ascii="楷体" w:hAnsi="楷体" w:eastAsia="楷体" w:cs="宋体"/>
          <w:spacing w:val="-2"/>
          <w:sz w:val="24"/>
          <w:szCs w:val="24"/>
        </w:rPr>
        <w:t>1）</w:t>
      </w:r>
      <w:r>
        <w:rPr>
          <w:rFonts w:hint="eastAsia" w:ascii="楷体" w:hAnsi="楷体" w:eastAsia="楷体" w:cs="宋体"/>
          <w:b/>
          <w:spacing w:val="-2"/>
          <w:sz w:val="24"/>
          <w:szCs w:val="24"/>
          <w:u w:val="single"/>
        </w:rPr>
        <w:t>在满足相关流动性风险管理要求的前提下，当本产品持有的现金、国债、中央银行票据、政策性金融债券以及</w:t>
      </w:r>
      <w:r>
        <w:rPr>
          <w:rFonts w:ascii="楷体" w:hAnsi="楷体" w:eastAsia="楷体" w:cs="宋体"/>
          <w:b/>
          <w:spacing w:val="-2"/>
          <w:sz w:val="24"/>
          <w:szCs w:val="24"/>
          <w:u w:val="single"/>
        </w:rPr>
        <w:t>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w:t>
      </w:r>
      <w:r>
        <w:rPr>
          <w:rFonts w:hint="eastAsia" w:ascii="楷体" w:hAnsi="楷体" w:eastAsia="楷体" w:cs="宋体"/>
          <w:spacing w:val="-2"/>
          <w:sz w:val="24"/>
          <w:szCs w:val="24"/>
        </w:rPr>
        <w:t>管理人与托管人协商确认上述做法无益于本产品利益最大化的情形除外。</w:t>
      </w:r>
    </w:p>
    <w:p>
      <w:pPr>
        <w:ind w:left="115" w:right="115" w:rightChars="55" w:firstLine="236" w:firstLineChars="100"/>
        <w:rPr>
          <w:rFonts w:ascii="楷体" w:hAnsi="楷体" w:eastAsia="楷体" w:cs="宋体"/>
          <w:b/>
          <w:spacing w:val="-2"/>
          <w:sz w:val="24"/>
          <w:szCs w:val="24"/>
          <w:u w:val="single"/>
        </w:rPr>
      </w:pPr>
      <w:r>
        <w:rPr>
          <w:rFonts w:hint="eastAsia" w:ascii="楷体" w:hAnsi="楷体" w:eastAsia="楷体" w:cs="宋体"/>
          <w:spacing w:val="-2"/>
          <w:sz w:val="24"/>
          <w:szCs w:val="24"/>
        </w:rPr>
        <w:t>（</w:t>
      </w:r>
      <w:r>
        <w:rPr>
          <w:rFonts w:ascii="楷体" w:hAnsi="楷体" w:eastAsia="楷体" w:cs="宋体"/>
          <w:spacing w:val="-2"/>
          <w:sz w:val="24"/>
          <w:szCs w:val="24"/>
        </w:rPr>
        <w:t>2）本产品前10名投资者的持有份额合计超过本产品总份额50%的，当投资组合中现金、国债、中央银行票据、政策性金融债券以及5个交易日内到期的其他金融工具占本产品资产净值的比例合计低于10%且偏离度为负时，</w:t>
      </w:r>
      <w:r>
        <w:rPr>
          <w:rFonts w:hint="eastAsia" w:ascii="楷体" w:hAnsi="楷体" w:eastAsia="楷体" w:cs="宋体"/>
          <w:b/>
          <w:spacing w:val="-2"/>
          <w:sz w:val="24"/>
          <w:szCs w:val="24"/>
          <w:u w:val="single"/>
        </w:rPr>
        <w:t>管理人有权对投资者超过本产品总份额</w:t>
      </w:r>
      <w:r>
        <w:rPr>
          <w:rFonts w:ascii="楷体" w:hAnsi="楷体" w:eastAsia="楷体" w:cs="宋体"/>
          <w:b/>
          <w:spacing w:val="-2"/>
          <w:sz w:val="24"/>
          <w:szCs w:val="24"/>
          <w:u w:val="single"/>
        </w:rPr>
        <w:t>1%以上的赎回申请征收1%的强制赎回费用。</w:t>
      </w:r>
    </w:p>
    <w:p>
      <w:pPr>
        <w:ind w:right="115" w:rightChars="55" w:firstLine="472" w:firstLineChars="200"/>
        <w:rPr>
          <w:rFonts w:ascii="楷体" w:hAnsi="楷体" w:eastAsia="楷体" w:cs="宋体"/>
          <w:spacing w:val="-2"/>
          <w:sz w:val="24"/>
          <w:szCs w:val="24"/>
        </w:rPr>
      </w:pPr>
      <w:r>
        <w:rPr>
          <w:rFonts w:hint="eastAsia" w:ascii="楷体" w:hAnsi="楷体" w:eastAsia="楷体" w:cs="宋体"/>
          <w:spacing w:val="-2"/>
          <w:sz w:val="24"/>
          <w:szCs w:val="24"/>
        </w:rPr>
        <w:t>法律法规或监管机构另有规定的， 从其规定。</w:t>
      </w:r>
    </w:p>
    <w:p>
      <w:pPr>
        <w:numPr>
          <w:ilvl w:val="0"/>
          <w:numId w:val="13"/>
        </w:numPr>
        <w:tabs>
          <w:tab w:val="left" w:pos="993"/>
        </w:tabs>
        <w:ind w:left="0" w:firstLine="482" w:firstLineChars="200"/>
        <w:outlineLvl w:val="2"/>
        <w:rPr>
          <w:rFonts w:ascii="楷体" w:hAnsi="楷体" w:eastAsia="楷体" w:cs="Calibri"/>
          <w:b/>
          <w:sz w:val="24"/>
          <w:szCs w:val="24"/>
          <w:highlight w:val="none"/>
        </w:rPr>
      </w:pPr>
      <w:r>
        <w:rPr>
          <w:rFonts w:hint="eastAsia" w:ascii="楷体" w:hAnsi="楷体" w:eastAsia="楷体" w:cs="Calibri"/>
          <w:b/>
          <w:sz w:val="24"/>
          <w:szCs w:val="24"/>
          <w:highlight w:val="none"/>
        </w:rPr>
        <w:t>巨额赎回</w:t>
      </w:r>
    </w:p>
    <w:p>
      <w:pPr>
        <w:numPr>
          <w:ilvl w:val="0"/>
          <w:numId w:val="19"/>
        </w:numPr>
        <w:tabs>
          <w:tab w:val="left" w:pos="728"/>
        </w:tabs>
        <w:ind w:left="0" w:firstLine="482" w:firstLineChars="200"/>
        <w:rPr>
          <w:rFonts w:ascii="楷体" w:hAnsi="楷体" w:eastAsia="楷体" w:cs="Calibri"/>
          <w:b/>
          <w:sz w:val="24"/>
          <w:szCs w:val="24"/>
          <w:highlight w:val="none"/>
        </w:rPr>
      </w:pPr>
      <w:r>
        <w:rPr>
          <w:rFonts w:hint="eastAsia" w:ascii="楷体" w:hAnsi="楷体" w:eastAsia="楷体" w:cs="Calibri"/>
          <w:b/>
          <w:sz w:val="24"/>
          <w:szCs w:val="24"/>
          <w:highlight w:val="none"/>
        </w:rPr>
        <w:t>巨额赎回的认定</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理财产品每个开放日投资者净赎回申请（赎回申请份额总数扣除申购申请份额总数）超过本理财产品上一工作日日终总份额</w:t>
      </w:r>
      <w:r>
        <w:rPr>
          <w:rFonts w:ascii="楷体" w:hAnsi="楷体" w:eastAsia="楷体"/>
          <w:sz w:val="24"/>
          <w:szCs w:val="24"/>
          <w:highlight w:val="none"/>
        </w:rPr>
        <w:t>10%时，即认定为发生巨额赎回。</w:t>
      </w:r>
    </w:p>
    <w:p>
      <w:pPr>
        <w:numPr>
          <w:ilvl w:val="0"/>
          <w:numId w:val="19"/>
        </w:numPr>
        <w:tabs>
          <w:tab w:val="left" w:pos="728"/>
        </w:tabs>
        <w:ind w:left="0" w:firstLine="482" w:firstLineChars="200"/>
        <w:rPr>
          <w:rFonts w:ascii="楷体" w:hAnsi="楷体" w:eastAsia="楷体" w:cs="Calibri"/>
          <w:b/>
          <w:sz w:val="24"/>
          <w:szCs w:val="24"/>
          <w:highlight w:val="none"/>
        </w:rPr>
      </w:pPr>
      <w:r>
        <w:rPr>
          <w:rFonts w:hint="eastAsia" w:ascii="楷体" w:hAnsi="楷体" w:eastAsia="楷体" w:cs="Calibri"/>
          <w:b/>
          <w:sz w:val="24"/>
          <w:szCs w:val="24"/>
          <w:highlight w:val="none"/>
        </w:rPr>
        <w:t>巨额赎回的处理</w:t>
      </w:r>
    </w:p>
    <w:p>
      <w:pPr>
        <w:ind w:firstLine="480" w:firstLineChars="200"/>
        <w:rPr>
          <w:rStyle w:val="19"/>
          <w:highlight w:val="none"/>
        </w:rPr>
      </w:pPr>
      <w:r>
        <w:rPr>
          <w:rFonts w:hint="eastAsia" w:ascii="楷体" w:hAnsi="楷体" w:eastAsia="楷体"/>
          <w:sz w:val="24"/>
          <w:szCs w:val="24"/>
          <w:highlight w:val="none"/>
        </w:rPr>
        <w:t>发生巨额赎回时，当日办理的赎回份额不得低于前一日终理财产品总份额的</w:t>
      </w:r>
      <w:r>
        <w:rPr>
          <w:rFonts w:ascii="楷体" w:hAnsi="楷体" w:eastAsia="楷体"/>
          <w:sz w:val="24"/>
          <w:szCs w:val="24"/>
          <w:highlight w:val="none"/>
        </w:rPr>
        <w:t>10%，对其余赎回申请管理人有权</w:t>
      </w:r>
      <w:r>
        <w:rPr>
          <w:rFonts w:hint="eastAsia" w:ascii="楷体" w:hAnsi="楷体" w:eastAsia="楷体" w:cs="Times New Roman"/>
          <w:b w:val="0"/>
          <w:spacing w:val="0"/>
          <w:sz w:val="24"/>
          <w:szCs w:val="24"/>
          <w:highlight w:val="none"/>
          <w:u w:val="none"/>
        </w:rPr>
        <w:t>选择全额赎回、部分赎回或延缓支付赎回款项</w:t>
      </w:r>
      <w:r>
        <w:rPr>
          <w:rFonts w:ascii="楷体" w:hAnsi="楷体" w:eastAsia="楷体"/>
          <w:sz w:val="24"/>
          <w:szCs w:val="24"/>
          <w:highlight w:val="none"/>
        </w:rPr>
        <w:t>。对该产品单个份额持有人的赎回申请，按照其申请占当日申请赎回总份额的比例，确定该份额持有人当日办理的赎回份额。对于该开放日内净赎回额超过本产品上一工作日日终份额10%时，管理人有权拒绝超过10%以上部分的赎回申请，这可能影响投资者的资金安排。</w:t>
      </w:r>
    </w:p>
    <w:p>
      <w:pPr>
        <w:ind w:firstLine="480" w:firstLineChars="200"/>
        <w:rPr>
          <w:rFonts w:ascii="楷体" w:hAnsi="楷体" w:eastAsia="楷体" w:cs="Times New Roman"/>
          <w:b w:val="0"/>
          <w:spacing w:val="0"/>
          <w:sz w:val="24"/>
          <w:szCs w:val="24"/>
          <w:highlight w:val="none"/>
          <w:u w:val="none"/>
        </w:rPr>
      </w:pPr>
      <w:r>
        <w:rPr>
          <w:rFonts w:hint="eastAsia" w:ascii="楷体" w:hAnsi="楷体" w:eastAsia="楷体"/>
          <w:sz w:val="24"/>
          <w:szCs w:val="24"/>
          <w:highlight w:val="none"/>
        </w:rPr>
        <w:t>（1）</w:t>
      </w:r>
      <w:r>
        <w:rPr>
          <w:rFonts w:hint="eastAsia" w:ascii="楷体" w:hAnsi="楷体" w:eastAsia="楷体" w:cs="Times New Roman"/>
          <w:b w:val="0"/>
          <w:spacing w:val="0"/>
          <w:sz w:val="24"/>
          <w:szCs w:val="24"/>
          <w:highlight w:val="none"/>
          <w:u w:val="none"/>
        </w:rPr>
        <w:t>全额赎回：当产品管理人有能力兑付投资者的全部赎回申请时，将在申请确认日按投资者申请赎回份额执行正常赎回程序。</w:t>
      </w:r>
    </w:p>
    <w:p>
      <w:pPr>
        <w:ind w:firstLine="480" w:firstLineChars="200"/>
        <w:rPr>
          <w:rFonts w:ascii="楷体" w:hAnsi="楷体" w:eastAsia="楷体" w:cs="Times New Roman"/>
          <w:b w:val="0"/>
          <w:spacing w:val="0"/>
          <w:sz w:val="24"/>
          <w:szCs w:val="24"/>
          <w:highlight w:val="none"/>
          <w:u w:val="none"/>
        </w:rPr>
      </w:pPr>
      <w:r>
        <w:rPr>
          <w:rFonts w:hint="eastAsia" w:ascii="楷体" w:hAnsi="楷体" w:eastAsia="楷体"/>
          <w:sz w:val="24"/>
          <w:szCs w:val="24"/>
          <w:highlight w:val="none"/>
        </w:rPr>
        <w:t>（2）</w:t>
      </w:r>
      <w:r>
        <w:rPr>
          <w:rFonts w:hint="eastAsia" w:ascii="楷体" w:hAnsi="楷体" w:eastAsia="楷体" w:cs="Times New Roman"/>
          <w:b w:val="0"/>
          <w:spacing w:val="0"/>
          <w:sz w:val="24"/>
          <w:szCs w:val="24"/>
          <w:highlight w:val="none"/>
          <w:u w:val="none"/>
        </w:rPr>
        <w:t>部分赎回</w:t>
      </w:r>
      <w:r>
        <w:rPr>
          <w:rFonts w:ascii="楷体" w:hAnsi="楷体" w:eastAsia="楷体" w:cs="Times New Roman"/>
          <w:b w:val="0"/>
          <w:spacing w:val="0"/>
          <w:sz w:val="24"/>
          <w:szCs w:val="24"/>
          <w:highlight w:val="none"/>
          <w:u w:val="none"/>
        </w:rPr>
        <w:t>：</w:t>
      </w:r>
      <w:r>
        <w:rPr>
          <w:rFonts w:hint="eastAsia" w:ascii="楷体" w:hAnsi="楷体" w:eastAsia="楷体" w:cs="Times New Roman"/>
          <w:b w:val="0"/>
          <w:spacing w:val="0"/>
          <w:sz w:val="24"/>
          <w:szCs w:val="24"/>
          <w:highlight w:val="none"/>
          <w:u w:val="none"/>
        </w:rPr>
        <w:t>当产品管理人认为兑付投资者的赎回申请可能会对产品的资产净值造成较大波动时，当日办理的赎回份额不得低于前一日终理财产品总份额的</w:t>
      </w:r>
      <w:r>
        <w:rPr>
          <w:rFonts w:ascii="楷体" w:hAnsi="楷体" w:eastAsia="楷体" w:cs="Times New Roman"/>
          <w:b w:val="0"/>
          <w:spacing w:val="0"/>
          <w:sz w:val="24"/>
          <w:szCs w:val="24"/>
          <w:highlight w:val="none"/>
          <w:u w:val="none"/>
        </w:rPr>
        <w:t>10%，对其余赎回申请管理人有权暂停接受或延期办理。</w:t>
      </w:r>
      <w:r>
        <w:rPr>
          <w:rFonts w:hint="eastAsia" w:ascii="楷体" w:hAnsi="楷体" w:eastAsia="楷体" w:cs="Times New Roman"/>
          <w:b w:val="0"/>
          <w:spacing w:val="0"/>
          <w:sz w:val="24"/>
          <w:szCs w:val="24"/>
          <w:highlight w:val="none"/>
          <w:u w:val="none"/>
        </w:rPr>
        <w:t>若管理人对该部分赎回申请选择延期办理，则管理人有权按照赎回开放日内投资者递交赎回</w:t>
      </w:r>
      <w:r>
        <w:rPr>
          <w:rFonts w:hint="eastAsia" w:ascii="楷体" w:hAnsi="楷体" w:eastAsia="楷体"/>
          <w:sz w:val="24"/>
          <w:szCs w:val="24"/>
          <w:highlight w:val="none"/>
        </w:rPr>
        <w:t>申请的顺序，依照时间优先（即先申请、先赎回）的原则确认当日受理的赎回申请；</w:t>
      </w:r>
      <w:r>
        <w:rPr>
          <w:rFonts w:hint="eastAsia" w:ascii="楷体" w:hAnsi="楷体" w:eastAsia="楷体" w:cs="Times New Roman"/>
          <w:b w:val="0"/>
          <w:spacing w:val="0"/>
          <w:sz w:val="24"/>
          <w:szCs w:val="24"/>
          <w:highlight w:val="none"/>
          <w:u w:val="none"/>
        </w:rPr>
        <w:t>或者对赎回开放日内所有投资者的赎回申请，按照单个投资者当日申请赎回份额占当日申请赎回总份额的比例，确定该份额持有人当日办理的赎回份额。</w:t>
      </w:r>
    </w:p>
    <w:p>
      <w:pPr>
        <w:ind w:firstLine="480" w:firstLineChars="200"/>
        <w:rPr>
          <w:rFonts w:ascii="楷体" w:hAnsi="楷体" w:eastAsia="楷体" w:cs="Times New Roman"/>
          <w:b w:val="0"/>
          <w:spacing w:val="0"/>
          <w:sz w:val="24"/>
          <w:szCs w:val="24"/>
          <w:highlight w:val="none"/>
          <w:u w:val="none"/>
        </w:rPr>
      </w:pPr>
      <w:r>
        <w:rPr>
          <w:rFonts w:hint="eastAsia" w:ascii="楷体" w:hAnsi="楷体" w:eastAsia="楷体" w:cs="Times New Roman"/>
          <w:b w:val="0"/>
          <w:spacing w:val="0"/>
          <w:sz w:val="24"/>
          <w:szCs w:val="24"/>
          <w:highlight w:val="none"/>
          <w:u w:val="none"/>
        </w:rPr>
        <w:t>若管理人对于超过</w:t>
      </w:r>
      <w:r>
        <w:rPr>
          <w:rFonts w:ascii="楷体" w:hAnsi="楷体" w:eastAsia="楷体" w:cs="Times New Roman"/>
          <w:b w:val="0"/>
          <w:spacing w:val="0"/>
          <w:sz w:val="24"/>
          <w:szCs w:val="24"/>
          <w:highlight w:val="none"/>
          <w:u w:val="none"/>
        </w:rPr>
        <w:t>10%以上部分的赎回申请</w:t>
      </w:r>
      <w:r>
        <w:rPr>
          <w:rFonts w:hint="eastAsia" w:ascii="楷体" w:hAnsi="楷体" w:eastAsia="楷体" w:cs="Times New Roman"/>
          <w:b w:val="0"/>
          <w:spacing w:val="0"/>
          <w:sz w:val="24"/>
          <w:szCs w:val="24"/>
          <w:highlight w:val="none"/>
          <w:u w:val="none"/>
        </w:rPr>
        <w:t>选择延期办理，对于未确认受理的赎回申请份额，投资者</w:t>
      </w:r>
      <w:r>
        <w:rPr>
          <w:rFonts w:ascii="楷体" w:hAnsi="楷体" w:eastAsia="楷体" w:cs="Times New Roman"/>
          <w:b w:val="0"/>
          <w:spacing w:val="0"/>
          <w:sz w:val="24"/>
          <w:szCs w:val="24"/>
          <w:highlight w:val="none"/>
          <w:u w:val="none"/>
        </w:rPr>
        <w:t>可</w:t>
      </w:r>
      <w:r>
        <w:rPr>
          <w:rFonts w:hint="eastAsia" w:ascii="楷体" w:hAnsi="楷体" w:eastAsia="楷体" w:cs="Times New Roman"/>
          <w:b w:val="0"/>
          <w:spacing w:val="0"/>
          <w:sz w:val="24"/>
          <w:szCs w:val="24"/>
          <w:highlight w:val="none"/>
          <w:u w:val="none"/>
        </w:rPr>
        <w:t>选择将当日未获受理部分予以撤销，未选择撤销的赎回申请，产品</w:t>
      </w:r>
      <w:r>
        <w:rPr>
          <w:rFonts w:ascii="楷体" w:hAnsi="楷体" w:eastAsia="楷体" w:cs="Times New Roman"/>
          <w:b w:val="0"/>
          <w:spacing w:val="0"/>
          <w:sz w:val="24"/>
          <w:szCs w:val="24"/>
          <w:highlight w:val="none"/>
          <w:u w:val="none"/>
        </w:rPr>
        <w:t>管理人可以</w:t>
      </w:r>
      <w:r>
        <w:rPr>
          <w:rFonts w:hint="eastAsia" w:ascii="楷体" w:hAnsi="楷体" w:eastAsia="楷体" w:cs="Times New Roman"/>
          <w:b w:val="0"/>
          <w:spacing w:val="0"/>
          <w:sz w:val="24"/>
          <w:szCs w:val="24"/>
          <w:highlight w:val="none"/>
          <w:u w:val="none"/>
        </w:rPr>
        <w:t>延迟至下一开放日处理，转入下一开放日的赎回申请不享有优先确认权。</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w:t>
      </w:r>
      <w:r>
        <w:rPr>
          <w:rFonts w:ascii="楷体" w:hAnsi="楷体" w:eastAsia="楷体"/>
          <w:sz w:val="24"/>
          <w:szCs w:val="24"/>
          <w:highlight w:val="none"/>
        </w:rPr>
        <w:t>3</w:t>
      </w:r>
      <w:r>
        <w:rPr>
          <w:rFonts w:hint="eastAsia" w:ascii="楷体" w:hAnsi="楷体" w:eastAsia="楷体"/>
          <w:sz w:val="24"/>
          <w:szCs w:val="24"/>
          <w:highlight w:val="none"/>
        </w:rPr>
        <w:t>）</w:t>
      </w:r>
      <w:r>
        <w:rPr>
          <w:rFonts w:hint="eastAsia" w:ascii="楷体" w:hAnsi="楷体" w:eastAsia="楷体" w:cs="Times New Roman"/>
          <w:b w:val="0"/>
          <w:spacing w:val="0"/>
          <w:sz w:val="24"/>
          <w:szCs w:val="24"/>
          <w:highlight w:val="none"/>
          <w:u w:val="none"/>
        </w:rPr>
        <w:t>延缓支付赎回款项：连续</w:t>
      </w:r>
      <w:r>
        <w:rPr>
          <w:rFonts w:ascii="楷体" w:hAnsi="楷体" w:eastAsia="楷体" w:cs="Times New Roman"/>
          <w:spacing w:val="0"/>
          <w:sz w:val="24"/>
          <w:szCs w:val="24"/>
          <w:highlight w:val="none"/>
        </w:rPr>
        <w:t>2个以上开放日发生巨额赎回的，管理人有权选择全额赎回或部分赎回等措施外，对于已经接受的赎回申请，管理人可以延缓支付赎回款项，但延缓期限不得超过20个工作日。</w:t>
      </w:r>
    </w:p>
    <w:p>
      <w:pPr>
        <w:numPr>
          <w:ilvl w:val="255"/>
          <w:numId w:val="0"/>
        </w:numPr>
        <w:ind w:firstLine="480" w:firstLineChars="200"/>
        <w:rPr>
          <w:rFonts w:ascii="楷体" w:hAnsi="楷体" w:eastAsia="楷体" w:cs="Times New Roman"/>
          <w:b w:val="0"/>
          <w:spacing w:val="0"/>
          <w:sz w:val="24"/>
          <w:szCs w:val="24"/>
          <w:highlight w:val="none"/>
          <w:u w:val="none"/>
        </w:rPr>
      </w:pPr>
      <w:r>
        <w:rPr>
          <w:rFonts w:hint="eastAsia" w:ascii="楷体" w:hAnsi="楷体" w:eastAsia="楷体"/>
          <w:sz w:val="24"/>
          <w:szCs w:val="24"/>
          <w:highlight w:val="none"/>
        </w:rPr>
        <w:t>（4）当发生巨额赎回或连续巨额赎回，管理人选择延期办理巨额赎回申请、暂停接受赎回申请或延缓支付赎回款项时，管理人将根据本理财产品说明书约定的信息披露方式向投资者进行信息披露。</w:t>
      </w:r>
    </w:p>
    <w:p>
      <w:pPr>
        <w:numPr>
          <w:ilvl w:val="0"/>
          <w:numId w:val="13"/>
        </w:numPr>
        <w:tabs>
          <w:tab w:val="left" w:pos="993"/>
        </w:tabs>
        <w:ind w:left="0" w:firstLine="482" w:firstLineChars="200"/>
        <w:outlineLvl w:val="2"/>
        <w:rPr>
          <w:rFonts w:ascii="楷体" w:hAnsi="楷体" w:eastAsia="楷体" w:cs="Calibri"/>
          <w:b/>
          <w:sz w:val="24"/>
          <w:szCs w:val="24"/>
          <w:highlight w:val="none"/>
        </w:rPr>
      </w:pPr>
      <w:r>
        <w:rPr>
          <w:rFonts w:hint="eastAsia" w:ascii="楷体" w:hAnsi="楷体" w:eastAsia="楷体" w:cs="Calibri"/>
          <w:b/>
          <w:sz w:val="24"/>
          <w:szCs w:val="24"/>
          <w:highlight w:val="none"/>
        </w:rPr>
        <w:t>特殊情形及处理</w:t>
      </w:r>
    </w:p>
    <w:p>
      <w:pPr>
        <w:ind w:firstLine="482" w:firstLineChars="200"/>
        <w:rPr>
          <w:rFonts w:ascii="楷体" w:hAnsi="楷体" w:eastAsia="楷体"/>
          <w:b/>
          <w:bCs/>
          <w:sz w:val="24"/>
          <w:szCs w:val="24"/>
          <w:highlight w:val="none"/>
        </w:rPr>
      </w:pPr>
      <w:r>
        <w:rPr>
          <w:rFonts w:ascii="楷体" w:hAnsi="楷体" w:eastAsia="楷体"/>
          <w:b/>
          <w:bCs/>
          <w:sz w:val="24"/>
          <w:szCs w:val="24"/>
          <w:highlight w:val="none"/>
        </w:rPr>
        <w:t>1.</w:t>
      </w:r>
      <w:r>
        <w:rPr>
          <w:rFonts w:hint="eastAsia" w:ascii="楷体" w:hAnsi="楷体" w:eastAsia="楷体"/>
          <w:b/>
          <w:bCs/>
          <w:sz w:val="24"/>
          <w:szCs w:val="24"/>
          <w:highlight w:val="none"/>
        </w:rPr>
        <w:t>除以下情形外，管理人不得拒绝接受或暂停接受投资者的申购申请：</w:t>
      </w:r>
    </w:p>
    <w:p>
      <w:pPr>
        <w:numPr>
          <w:ilvl w:val="255"/>
          <w:numId w:val="0"/>
        </w:numPr>
        <w:tabs>
          <w:tab w:val="left" w:pos="728"/>
        </w:tabs>
        <w:ind w:left="420" w:leftChars="200" w:firstLine="0" w:firstLineChars="0"/>
        <w:rPr>
          <w:rFonts w:ascii="楷体" w:hAnsi="楷体" w:eastAsia="楷体" w:cs="Calibri"/>
          <w:sz w:val="24"/>
          <w:szCs w:val="24"/>
          <w:highlight w:val="none"/>
        </w:rPr>
      </w:pPr>
      <w:r>
        <w:rPr>
          <w:rFonts w:hint="eastAsia" w:ascii="楷体" w:hAnsi="楷体" w:eastAsia="楷体" w:cs="Calibri"/>
          <w:sz w:val="24"/>
          <w:szCs w:val="24"/>
          <w:highlight w:val="none"/>
        </w:rPr>
        <w:t>（1）不可抗力的原因导致产品无法正常运作；</w:t>
      </w:r>
    </w:p>
    <w:p>
      <w:pPr>
        <w:numPr>
          <w:ilvl w:val="255"/>
          <w:numId w:val="0"/>
        </w:numPr>
        <w:tabs>
          <w:tab w:val="left" w:pos="728"/>
        </w:tabs>
        <w:ind w:left="420" w:leftChars="200" w:firstLine="0" w:firstLineChars="0"/>
        <w:rPr>
          <w:rFonts w:ascii="楷体" w:hAnsi="楷体" w:eastAsia="楷体" w:cs="Calibri"/>
          <w:sz w:val="24"/>
          <w:szCs w:val="24"/>
          <w:highlight w:val="none"/>
        </w:rPr>
      </w:pPr>
      <w:r>
        <w:rPr>
          <w:rFonts w:hint="eastAsia" w:ascii="楷体" w:hAnsi="楷体" w:eastAsia="楷体" w:cs="Calibri"/>
          <w:sz w:val="24"/>
          <w:szCs w:val="24"/>
          <w:highlight w:val="none"/>
        </w:rPr>
        <w:t>（2）超出产品单一投资者持有上限；</w:t>
      </w:r>
    </w:p>
    <w:p>
      <w:pPr>
        <w:numPr>
          <w:ilvl w:val="255"/>
          <w:numId w:val="0"/>
        </w:numPr>
        <w:tabs>
          <w:tab w:val="left" w:pos="728"/>
        </w:tabs>
        <w:ind w:left="420" w:leftChars="200" w:firstLine="0" w:firstLineChars="0"/>
        <w:rPr>
          <w:rFonts w:ascii="楷体" w:hAnsi="楷体" w:eastAsia="楷体" w:cs="Calibri"/>
          <w:sz w:val="24"/>
          <w:szCs w:val="24"/>
          <w:highlight w:val="none"/>
        </w:rPr>
      </w:pPr>
      <w:r>
        <w:rPr>
          <w:rFonts w:hint="eastAsia" w:ascii="楷体" w:hAnsi="楷体" w:eastAsia="楷体" w:cs="Calibri"/>
          <w:sz w:val="24"/>
          <w:szCs w:val="24"/>
          <w:highlight w:val="none"/>
        </w:rPr>
        <w:t>（3）超过产品规模上限；</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（4）发生《理财产品说明书》约定的暂停估值的情形。（详见十二、产品估值）</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（5）管理人接受某笔或者某些申购申请有可能导致单一投资者持有理财计划份额的比例达到或者超过50%的情形。</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（6）当接受某笔或某些申购申请可能对存量理财计划份额持有人利益构成潜在重大不利影响时。</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（7）当前一估值日产品资产净值</w:t>
      </w:r>
      <w:r>
        <w:rPr>
          <w:rFonts w:ascii="楷体" w:hAnsi="楷体" w:eastAsia="楷体" w:cs="Calibri"/>
          <w:sz w:val="24"/>
          <w:szCs w:val="24"/>
          <w:highlight w:val="none"/>
        </w:rPr>
        <w:t xml:space="preserve"> </w:t>
      </w:r>
      <w:r>
        <w:rPr>
          <w:rFonts w:hint="eastAsia" w:ascii="楷体" w:hAnsi="楷体" w:eastAsia="楷体" w:cs="Calibri"/>
          <w:sz w:val="24"/>
          <w:szCs w:val="24"/>
          <w:highlight w:val="none"/>
        </w:rPr>
        <w:t>50%以上的资产不具备活跃交易市场或者在活跃市场中无报价，且不能采用估值技术可靠计量公允价值的，管理人经与托管人协商确认后，决定暂停接受理财产品申购申请的。</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（8）法律、法规规定认定的其他情形。</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highlight w:val="none"/>
        </w:rPr>
      </w:pPr>
      <w:r>
        <w:rPr>
          <w:rFonts w:ascii="楷体" w:hAnsi="楷体" w:eastAsia="楷体"/>
          <w:b/>
          <w:bCs/>
          <w:sz w:val="24"/>
          <w:szCs w:val="24"/>
          <w:highlight w:val="none"/>
        </w:rPr>
        <w:t>2.</w:t>
      </w:r>
      <w:r>
        <w:rPr>
          <w:rFonts w:hint="eastAsia" w:ascii="楷体" w:hAnsi="楷体" w:eastAsia="楷体"/>
          <w:b/>
          <w:bCs/>
          <w:sz w:val="24"/>
          <w:szCs w:val="24"/>
          <w:highlight w:val="none"/>
        </w:rPr>
        <w:t>除以下情形外，管理人不得暂停接受投资者的赎回申请或延缓支付赎回款项：</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（1）不可抗力的原因导致管理人不能支付赎回款项；</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（2）触发巨额赎回条款；</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（3）发生《理财产品说明书》约定的暂停估值的情形。（详见十二、产品估值）</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（4）当接受某笔或某些赎回申请可能对存量理财计划份额持有人利益构成潜在重大不利影响时。</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（5）发生单个投资者单个开放日申请赎回理财计划份额超过理财产品总份额10%的情形。</w:t>
      </w:r>
    </w:p>
    <w:p>
      <w:pPr>
        <w:numPr>
          <w:ilvl w:val="255"/>
          <w:numId w:val="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（6）法律、法规规定认定的其他情形。</w:t>
      </w:r>
    </w:p>
    <w:p>
      <w:pPr>
        <w:numPr>
          <w:ilvl w:val="255"/>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若管理人决定</w:t>
      </w:r>
      <w:r>
        <w:rPr>
          <w:rFonts w:hint="eastAsia" w:ascii="楷体" w:hAnsi="楷体" w:eastAsia="楷体"/>
          <w:sz w:val="24"/>
          <w:szCs w:val="24"/>
          <w:highlight w:val="none"/>
        </w:rPr>
        <w:t>暂停接受投资者的赎回申请或延缓支付赎回款项</w:t>
      </w:r>
      <w:r>
        <w:rPr>
          <w:rFonts w:hint="eastAsia" w:ascii="楷体" w:hAnsi="楷体" w:eastAsia="楷体" w:cs="Calibri"/>
          <w:sz w:val="24"/>
          <w:szCs w:val="24"/>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highlight w:val="none"/>
        </w:rPr>
        <w:t>暂停接受投资者的赎回申请或延缓支付赎回款项的情况消除后</w:t>
      </w:r>
      <w:r>
        <w:rPr>
          <w:rFonts w:hint="eastAsia" w:ascii="楷体" w:hAnsi="楷体" w:eastAsia="楷体" w:cs="Calibri"/>
          <w:sz w:val="24"/>
          <w:szCs w:val="24"/>
          <w:highlight w:val="none"/>
        </w:rPr>
        <w:t>，管理人将及时恢复申购业务的办理。</w:t>
      </w:r>
    </w:p>
    <w:p>
      <w:pPr>
        <w:numPr>
          <w:ilvl w:val="255"/>
          <w:numId w:val="0"/>
        </w:numPr>
        <w:tabs>
          <w:tab w:val="left" w:pos="728"/>
        </w:tabs>
        <w:ind w:left="0" w:firstLine="480" w:firstLineChars="200"/>
        <w:rPr>
          <w:rFonts w:ascii="楷体" w:hAnsi="楷体" w:eastAsia="楷体" w:cs="Calibri"/>
          <w:sz w:val="24"/>
          <w:szCs w:val="24"/>
          <w:highlight w:val="yellow"/>
        </w:rPr>
      </w:pPr>
    </w:p>
    <w:p>
      <w:pPr>
        <w:numPr>
          <w:ilvl w:val="0"/>
          <w:numId w:val="0"/>
        </w:numPr>
        <w:tabs>
          <w:tab w:val="left" w:pos="1134"/>
        </w:tabs>
        <w:ind w:leftChars="200"/>
        <w:outlineLvl w:val="1"/>
        <w:rPr>
          <w:rFonts w:ascii="楷体" w:hAnsi="楷体" w:eastAsia="楷体"/>
          <w:b/>
          <w:sz w:val="28"/>
          <w:szCs w:val="28"/>
        </w:rPr>
      </w:pPr>
      <w:r>
        <w:rPr>
          <w:rFonts w:hint="eastAsia" w:ascii="楷体" w:hAnsi="楷体" w:eastAsia="楷体"/>
          <w:b/>
          <w:sz w:val="28"/>
          <w:szCs w:val="28"/>
          <w:lang w:val="en-US" w:eastAsia="zh-CN"/>
        </w:rPr>
        <w:t>十、</w:t>
      </w:r>
      <w:r>
        <w:rPr>
          <w:rFonts w:hint="eastAsia" w:ascii="楷体" w:hAnsi="楷体" w:eastAsia="楷体"/>
          <w:b/>
          <w:sz w:val="28"/>
          <w:szCs w:val="28"/>
        </w:rPr>
        <w:t>收益分配</w:t>
      </w:r>
    </w:p>
    <w:p>
      <w:pPr>
        <w:ind w:firstLine="482" w:firstLineChars="200"/>
        <w:rPr>
          <w:rFonts w:ascii="楷体" w:hAnsi="楷体" w:eastAsia="楷体"/>
          <w:b/>
          <w:sz w:val="24"/>
          <w:szCs w:val="24"/>
          <w:u w:val="single"/>
        </w:rPr>
      </w:pPr>
      <w:r>
        <w:rPr>
          <w:rFonts w:hint="eastAsia" w:ascii="楷体" w:hAnsi="楷体" w:eastAsia="楷体"/>
          <w:b/>
          <w:sz w:val="24"/>
          <w:szCs w:val="24"/>
          <w:u w:val="single"/>
        </w:rPr>
        <w:t>投资者持有本理财产品期间及到期时，管理人不承诺保证投资本金安全且不保证理财收益，投资者收益（如有）随理财产品的投资盈亏水平浮动。</w:t>
      </w:r>
    </w:p>
    <w:p>
      <w:pPr>
        <w:ind w:firstLine="480" w:firstLineChars="200"/>
        <w:rPr>
          <w:rFonts w:ascii="楷体" w:hAnsi="楷体" w:eastAsia="楷体"/>
          <w:sz w:val="24"/>
          <w:szCs w:val="24"/>
        </w:rPr>
      </w:pPr>
      <w:r>
        <w:rPr>
          <w:rFonts w:hint="eastAsia" w:ascii="楷体" w:hAnsi="楷体" w:eastAsia="楷体"/>
          <w:sz w:val="24"/>
          <w:szCs w:val="24"/>
        </w:rPr>
        <w:t>本理财产品根据每日收益情况，以理财产品实际收益为基准，每日为投资者计提当日理财收益，每日结转为份额，投资者继续持有的红利份额可参与后续理财产品投资收益分配。</w:t>
      </w:r>
    </w:p>
    <w:p>
      <w:pPr>
        <w:numPr>
          <w:ilvl w:val="0"/>
          <w:numId w:val="2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每万份收益</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每个估值日管理人将每日投资收益扣除固定费用（包括托管费、销售费、投资管理费）、运作产品所必须缴纳的税费、业绩报酬（如有）后的盈余部分作为投资红利分配给投资者。</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单个投资者应分配红利=单个投资者当日存量份额/投资者所属份额当日存量份额总数×投资者所属份额当日投资收益，保留至小数点后2位。</w:t>
      </w:r>
      <w:r>
        <w:rPr>
          <w:rFonts w:hint="eastAsia" w:ascii="楷体" w:hAnsi="楷体" w:eastAsia="楷体" w:cs="Calibri"/>
          <w:b/>
          <w:bCs/>
          <w:sz w:val="24"/>
          <w:szCs w:val="24"/>
          <w:u w:val="single"/>
        </w:rPr>
        <w:t>单个投资者当日存量份额较低时，受四舍五入因素的影响，投资者持有份额可能无法获得红利。</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每万份收益=投资者所属份额当日投资收益/投资者所属份额当日存量份额总数×10000，采用截位法保留至小数点后第4位。</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产品封闭期结束后管理人每个工作日公布上一日每万份收益。</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理财产品每万份收益仅供投资者购买时参考，并不代表本产品实际收益或未来的表现，也不构成管理人对本产品收益的任何承诺或保证，产品收益以管理人实际支付为准。</w:t>
      </w:r>
    </w:p>
    <w:p>
      <w:pPr>
        <w:numPr>
          <w:ilvl w:val="0"/>
          <w:numId w:val="2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七日年化收益率</w:t>
      </w:r>
    </w:p>
    <w:p>
      <w:pPr>
        <w:ind w:firstLine="420" w:firstLineChars="200"/>
        <w:rPr>
          <w:rFonts w:ascii="楷体" w:hAnsi="楷体" w:eastAsia="楷体"/>
          <w:sz w:val="24"/>
          <w:szCs w:val="24"/>
        </w:rPr>
      </w:pPr>
      <w:r>
        <w:rPr>
          <w:rFonts w:hint="eastAsia" w:ascii="楷体" w:hAnsi="楷体" w:eastAsia="楷体"/>
          <w:position w:val="-23"/>
        </w:rPr>
        <w:drawing>
          <wp:inline distT="0" distB="0" distL="0" distR="0">
            <wp:extent cx="3343275" cy="400050"/>
            <wp:effectExtent l="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43275" cy="400050"/>
                    </a:xfrm>
                    <a:prstGeom prst="rect">
                      <a:avLst/>
                    </a:prstGeom>
                    <a:noFill/>
                    <a:ln>
                      <a:noFill/>
                    </a:ln>
                  </pic:spPr>
                </pic:pic>
              </a:graphicData>
            </a:graphic>
          </wp:inline>
        </w:drawing>
      </w:r>
    </w:p>
    <w:p>
      <w:pPr>
        <w:ind w:firstLine="480" w:firstLineChars="200"/>
        <w:rPr>
          <w:rFonts w:ascii="楷体" w:hAnsi="楷体" w:eastAsia="楷体" w:cs="Calibri"/>
          <w:sz w:val="24"/>
          <w:szCs w:val="24"/>
        </w:rPr>
      </w:pPr>
      <w:r>
        <w:rPr>
          <w:rFonts w:hint="eastAsia" w:ascii="楷体" w:hAnsi="楷体" w:eastAsia="楷体" w:cs="Calibri"/>
          <w:sz w:val="24"/>
          <w:szCs w:val="24"/>
        </w:rPr>
        <w:t>其中，R</w:t>
      </w:r>
      <w:r>
        <w:rPr>
          <w:rFonts w:hint="eastAsia" w:ascii="楷体" w:hAnsi="楷体" w:eastAsia="楷体" w:cs="Calibri"/>
          <w:sz w:val="24"/>
          <w:szCs w:val="24"/>
          <w:vertAlign w:val="subscript"/>
        </w:rPr>
        <w:t>i</w:t>
      </w:r>
      <w:r>
        <w:rPr>
          <w:rFonts w:hint="eastAsia" w:ascii="楷体" w:hAnsi="楷体" w:eastAsia="楷体" w:cs="Calibri"/>
          <w:sz w:val="24"/>
          <w:szCs w:val="24"/>
        </w:rPr>
        <w:t>为最近每万份理财产品收益。7日年化收益率用四舍五入保留至百分号内小数点后第2位。</w:t>
      </w:r>
    </w:p>
    <w:p>
      <w:pPr>
        <w:ind w:firstLine="480" w:firstLineChars="200"/>
        <w:rPr>
          <w:rFonts w:ascii="楷体" w:hAnsi="楷体" w:eastAsia="楷体"/>
          <w:sz w:val="24"/>
          <w:szCs w:val="24"/>
        </w:rPr>
      </w:pPr>
      <w:r>
        <w:rPr>
          <w:rFonts w:hint="eastAsia" w:ascii="楷体" w:hAnsi="楷体" w:eastAsia="楷体" w:cs="Calibri"/>
          <w:sz w:val="24"/>
          <w:szCs w:val="24"/>
        </w:rPr>
        <w:t>产品封闭期结束后</w:t>
      </w:r>
      <w:r>
        <w:rPr>
          <w:rFonts w:hint="eastAsia" w:ascii="楷体" w:hAnsi="楷体" w:eastAsia="楷体"/>
          <w:sz w:val="24"/>
          <w:szCs w:val="24"/>
        </w:rPr>
        <w:t>每个工作日公布最近7日（含节假日）收益率所折算的产品七日年化收益率。</w:t>
      </w:r>
    </w:p>
    <w:p>
      <w:pPr>
        <w:ind w:firstLine="480" w:firstLineChars="200"/>
        <w:rPr>
          <w:rFonts w:ascii="楷体" w:hAnsi="楷体" w:eastAsia="楷体" w:cs="Calibri"/>
          <w:sz w:val="24"/>
          <w:szCs w:val="24"/>
        </w:rPr>
      </w:pPr>
      <w:r>
        <w:rPr>
          <w:rFonts w:hint="eastAsia" w:ascii="楷体" w:hAnsi="楷体" w:eastAsia="楷体" w:cs="Calibri"/>
          <w:sz w:val="24"/>
          <w:szCs w:val="24"/>
        </w:rPr>
        <w:t>理财产品七日年化收益率仅供投资者购买时参考，并不代表本产品实际收益或未来的表现，也不构成管理人对本产品收益的任何承诺或保证，产品收益以管理人实际支付为准。</w:t>
      </w:r>
    </w:p>
    <w:p>
      <w:pPr>
        <w:numPr>
          <w:ilvl w:val="0"/>
          <w:numId w:val="20"/>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收益分配时间</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本产品当日投资收益大于零，管理人于下一工作日系统日启后将前一工作日（含两个工作日间的节假日）投资者应分配红利分配给投资者，红利分配方式为红利再投。投资者可于红利到账日的当日申请赎回分配的红利份额，若投资者继续持有分配的红利份额，分配的红利份额将参与后续理财产品投资收益分配。</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若当日净收益等于零，则投资者理财产品份额不变。</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若当日净收益小于零，则等比缩减投资者持有的理财产品份额，投资者将出现投资损失。</w:t>
      </w:r>
    </w:p>
    <w:p>
      <w:pPr>
        <w:numPr>
          <w:ilvl w:val="0"/>
          <w:numId w:val="0"/>
        </w:numPr>
        <w:tabs>
          <w:tab w:val="left" w:pos="1428"/>
        </w:tabs>
        <w:ind w:leftChars="200"/>
        <w:outlineLvl w:val="1"/>
        <w:rPr>
          <w:rFonts w:ascii="楷体" w:hAnsi="楷体" w:eastAsia="楷体"/>
          <w:b/>
          <w:sz w:val="28"/>
          <w:szCs w:val="28"/>
        </w:rPr>
      </w:pPr>
      <w:r>
        <w:rPr>
          <w:rFonts w:hint="eastAsia" w:ascii="楷体" w:hAnsi="楷体" w:eastAsia="楷体"/>
          <w:b/>
          <w:sz w:val="28"/>
          <w:szCs w:val="28"/>
          <w:lang w:val="en-US" w:eastAsia="zh-CN"/>
        </w:rPr>
        <w:t>十一、</w:t>
      </w:r>
      <w:r>
        <w:rPr>
          <w:rFonts w:hint="eastAsia" w:ascii="楷体" w:hAnsi="楷体" w:eastAsia="楷体"/>
          <w:b/>
          <w:sz w:val="28"/>
          <w:szCs w:val="28"/>
        </w:rPr>
        <w:t>产品费用</w:t>
      </w:r>
    </w:p>
    <w:p>
      <w:pPr>
        <w:numPr>
          <w:ilvl w:val="0"/>
          <w:numId w:val="23"/>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本产品费用包括托管费、销售服务费、投资管理费以及产品运作和清算中产生的其他费用等。</w:t>
      </w:r>
    </w:p>
    <w:p>
      <w:pPr>
        <w:numPr>
          <w:ilvl w:val="0"/>
          <w:numId w:val="23"/>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计提方法、计提标准和支付方式</w:t>
      </w:r>
    </w:p>
    <w:p>
      <w:pPr>
        <w:numPr>
          <w:ilvl w:val="0"/>
          <w:numId w:val="2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托管费：本产品的托管费每日计提，按季支付，由托管行收取。计算方法如下：</w:t>
      </w:r>
    </w:p>
    <w:p>
      <w:pPr>
        <w:ind w:firstLine="480" w:firstLineChars="200"/>
        <w:rPr>
          <w:rFonts w:ascii="楷体" w:hAnsi="楷体" w:eastAsia="楷体"/>
          <w:sz w:val="24"/>
          <w:szCs w:val="24"/>
        </w:rPr>
      </w:pPr>
      <w:r>
        <w:rPr>
          <w:rFonts w:hint="eastAsia" w:ascii="楷体" w:hAnsi="楷体" w:eastAsia="楷体"/>
          <w:sz w:val="24"/>
          <w:szCs w:val="24"/>
        </w:rPr>
        <w:t>每日应计提的托管费＝前一日的产品资产净值×0</w:t>
      </w:r>
      <w:r>
        <w:rPr>
          <w:rFonts w:ascii="楷体" w:hAnsi="楷体" w:eastAsia="楷体"/>
          <w:sz w:val="24"/>
          <w:szCs w:val="24"/>
        </w:rPr>
        <w:t>.02%</w:t>
      </w:r>
      <w:r>
        <w:rPr>
          <w:rFonts w:hint="eastAsia" w:ascii="楷体" w:hAnsi="楷体" w:eastAsia="楷体"/>
          <w:sz w:val="24"/>
          <w:szCs w:val="24"/>
        </w:rPr>
        <w:t>÷</w:t>
      </w:r>
      <w:r>
        <w:rPr>
          <w:rFonts w:ascii="楷体" w:hAnsi="楷体" w:eastAsia="楷体"/>
          <w:sz w:val="24"/>
          <w:szCs w:val="24"/>
        </w:rPr>
        <w:t>365</w:t>
      </w:r>
    </w:p>
    <w:p>
      <w:pPr>
        <w:ind w:firstLine="480" w:firstLineChars="200"/>
        <w:rPr>
          <w:rFonts w:ascii="楷体" w:hAnsi="楷体" w:eastAsia="楷体"/>
          <w:sz w:val="24"/>
          <w:szCs w:val="24"/>
        </w:rPr>
      </w:pPr>
      <w:r>
        <w:rPr>
          <w:rFonts w:hint="eastAsia" w:ascii="楷体" w:hAnsi="楷体" w:eastAsia="楷体"/>
          <w:sz w:val="24"/>
          <w:szCs w:val="24"/>
        </w:rPr>
        <w:t>四舍五入保留至小数点后两位</w:t>
      </w:r>
    </w:p>
    <w:p>
      <w:pPr>
        <w:numPr>
          <w:ilvl w:val="0"/>
          <w:numId w:val="2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销售服务费：本产品的销售服务费每日计提，按季支付，由销售机构收取。计算方法如下：</w:t>
      </w:r>
    </w:p>
    <w:p>
      <w:pPr>
        <w:ind w:firstLine="480" w:firstLineChars="200"/>
        <w:rPr>
          <w:rFonts w:ascii="楷体" w:hAnsi="楷体" w:eastAsia="楷体"/>
          <w:sz w:val="24"/>
          <w:szCs w:val="24"/>
        </w:rPr>
      </w:pPr>
      <w:r>
        <w:rPr>
          <w:rFonts w:hint="eastAsia" w:ascii="楷体" w:hAnsi="楷体" w:eastAsia="楷体"/>
          <w:sz w:val="24"/>
          <w:szCs w:val="24"/>
        </w:rPr>
        <w:t>每日应计提的销售服务费＝∑前一日的产品各份额资产净值×各份额销售服务费率÷</w:t>
      </w:r>
      <w:r>
        <w:rPr>
          <w:rFonts w:ascii="楷体" w:hAnsi="楷体" w:eastAsia="楷体"/>
          <w:sz w:val="24"/>
          <w:szCs w:val="24"/>
        </w:rPr>
        <w:t>365</w:t>
      </w:r>
    </w:p>
    <w:p>
      <w:pPr>
        <w:ind w:firstLine="480" w:firstLineChars="200"/>
        <w:rPr>
          <w:rFonts w:ascii="楷体" w:hAnsi="楷体" w:eastAsia="楷体"/>
          <w:sz w:val="24"/>
          <w:szCs w:val="24"/>
        </w:rPr>
      </w:pPr>
      <w:r>
        <w:rPr>
          <w:rFonts w:hint="eastAsia" w:ascii="楷体" w:hAnsi="楷体" w:eastAsia="楷体"/>
          <w:sz w:val="24"/>
          <w:szCs w:val="24"/>
        </w:rPr>
        <w:t>四舍五入保留至小数点后两位</w:t>
      </w:r>
    </w:p>
    <w:p>
      <w:pPr>
        <w:numPr>
          <w:ilvl w:val="0"/>
          <w:numId w:val="2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投资管理费：本产品的投资管理费每日计提，按季支付，由管理人收取。计算方法如下：</w:t>
      </w:r>
    </w:p>
    <w:p>
      <w:pPr>
        <w:ind w:firstLine="480" w:firstLineChars="200"/>
        <w:rPr>
          <w:rFonts w:ascii="楷体" w:hAnsi="楷体" w:eastAsia="楷体"/>
          <w:sz w:val="24"/>
          <w:szCs w:val="24"/>
        </w:rPr>
      </w:pPr>
      <w:r>
        <w:rPr>
          <w:rFonts w:hint="eastAsia" w:ascii="楷体" w:hAnsi="楷体" w:eastAsia="楷体"/>
          <w:sz w:val="24"/>
          <w:szCs w:val="24"/>
        </w:rPr>
        <w:t>每日应计提的投资管理费＝∑前一日的产品各份额资产净值×各份额投资管理费率÷</w:t>
      </w:r>
      <w:r>
        <w:rPr>
          <w:rFonts w:ascii="楷体" w:hAnsi="楷体" w:eastAsia="楷体"/>
          <w:sz w:val="24"/>
          <w:szCs w:val="24"/>
        </w:rPr>
        <w:t>365</w:t>
      </w:r>
    </w:p>
    <w:p>
      <w:pPr>
        <w:ind w:firstLine="480" w:firstLineChars="200"/>
        <w:rPr>
          <w:rFonts w:ascii="楷体" w:hAnsi="楷体" w:eastAsia="楷体"/>
          <w:sz w:val="24"/>
          <w:szCs w:val="24"/>
        </w:rPr>
      </w:pPr>
      <w:r>
        <w:rPr>
          <w:rFonts w:hint="eastAsia" w:ascii="楷体" w:hAnsi="楷体" w:eastAsia="楷体"/>
          <w:sz w:val="24"/>
          <w:szCs w:val="24"/>
        </w:rPr>
        <w:t>四舍五入保留至小数点后两位</w:t>
      </w:r>
    </w:p>
    <w:p>
      <w:pPr>
        <w:numPr>
          <w:ilvl w:val="0"/>
          <w:numId w:val="2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产品运作和清算中产生的交易手续费、注册登记费、账户服务费、审计费、及其他应由本产品承担的费用，按照实际发生时从产品中列支。</w:t>
      </w:r>
    </w:p>
    <w:p>
      <w:pPr>
        <w:ind w:firstLine="480" w:firstLineChars="200"/>
        <w:rPr>
          <w:rFonts w:ascii="楷体" w:hAnsi="楷体" w:eastAsia="楷体"/>
          <w:sz w:val="24"/>
          <w:szCs w:val="24"/>
        </w:rPr>
      </w:pPr>
      <w:r>
        <w:rPr>
          <w:rFonts w:hint="eastAsia" w:ascii="楷体" w:hAnsi="楷体" w:eastAsia="楷体"/>
          <w:sz w:val="24"/>
          <w:szCs w:val="24"/>
        </w:rPr>
        <w:t>产品管理人有权根据市场情况等调整上述各项费用费率收取方式及比例，并至少于调整日之前2个工作日进行公告。如投资者不接受的，可在公告约定的期限内赎回本产品，此种情况下产品管理人将可能开放特殊赎回期间，具体以届时产品管理人公告为准；如投资者未赎回本产品，则视为本理财产品投资者对相关调整无异议且同意在调整后继续持有本理财产品。本产品不收取认购费用、申购费用、赎回费用。</w:t>
      </w:r>
    </w:p>
    <w:p>
      <w:pPr>
        <w:numPr>
          <w:ilvl w:val="-1"/>
          <w:numId w:val="0"/>
        </w:numPr>
        <w:tabs>
          <w:tab w:val="left" w:pos="1428"/>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十二、</w:t>
      </w:r>
      <w:r>
        <w:rPr>
          <w:rFonts w:hint="eastAsia" w:ascii="楷体" w:hAnsi="楷体" w:eastAsia="楷体"/>
          <w:b/>
          <w:sz w:val="28"/>
          <w:szCs w:val="28"/>
        </w:rPr>
        <w:t>产品估值</w:t>
      </w:r>
    </w:p>
    <w:p>
      <w:pPr>
        <w:numPr>
          <w:ilvl w:val="0"/>
          <w:numId w:val="2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本产品所拥有的各类证券、银行存款、应收款项及其它资产和负债。</w:t>
      </w:r>
    </w:p>
    <w:p>
      <w:pPr>
        <w:numPr>
          <w:ilvl w:val="0"/>
          <w:numId w:val="2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估值要求</w:t>
      </w:r>
    </w:p>
    <w:p>
      <w:pPr>
        <w:numPr>
          <w:ilvl w:val="0"/>
          <w:numId w:val="2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本产品资产估值的目的是客观、准确的反映资产净值，确定理财产品资产净值，并为理财产品的收益分配提供计价依据。</w:t>
      </w:r>
    </w:p>
    <w:p>
      <w:pPr>
        <w:numPr>
          <w:ilvl w:val="0"/>
          <w:numId w:val="2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万份收益随投资收益变化，本理财产品存续期内，管理人于每个理财产品工作日计算理财产品每万份收益，并于该工作日后第一个工作日通过信息披露约定的渠道发布理财产品份额收益率，理财产品每万份收益采用截位法保留至小数点后第4位。</w:t>
      </w:r>
    </w:p>
    <w:p>
      <w:pPr>
        <w:numPr>
          <w:ilvl w:val="0"/>
          <w:numId w:val="2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估值方法</w:t>
      </w:r>
    </w:p>
    <w:p>
      <w:pPr>
        <w:ind w:firstLine="480" w:firstLineChars="200"/>
        <w:rPr>
          <w:rFonts w:ascii="楷体" w:hAnsi="楷体" w:eastAsia="楷体" w:cs="Calibri"/>
          <w:sz w:val="24"/>
          <w:szCs w:val="24"/>
        </w:rPr>
      </w:pPr>
      <w:r>
        <w:rPr>
          <w:rFonts w:ascii="楷体" w:hAnsi="楷体" w:eastAsia="楷体" w:cs="Calibri"/>
          <w:sz w:val="24"/>
          <w:szCs w:val="24"/>
        </w:rPr>
        <w:t>本理财产品估值采用摊余成本法，即计价对象以买入成本列示，按实际利率并考虑其买入时的溢价与折价，在其剩余存续期内摊销，每日计提损益。</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1.</w:t>
      </w:r>
      <w:r>
        <w:rPr>
          <w:rFonts w:ascii="楷体" w:hAnsi="楷体" w:eastAsia="楷体" w:cs="Calibri"/>
          <w:sz w:val="24"/>
          <w:szCs w:val="24"/>
        </w:rPr>
        <w:t>债券等资产采用溢折价摊销后的成本列示，按票面利率计提应收利息。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2.</w:t>
      </w:r>
      <w:r>
        <w:rPr>
          <w:rFonts w:ascii="楷体" w:hAnsi="楷体" w:eastAsia="楷体" w:cs="Calibri"/>
          <w:sz w:val="24"/>
          <w:szCs w:val="24"/>
        </w:rPr>
        <w:t>债券回购以成本列示，按协议利率在实际持有期间内逐日计提利息。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3.</w:t>
      </w:r>
      <w:r>
        <w:rPr>
          <w:rFonts w:ascii="楷体" w:hAnsi="楷体" w:eastAsia="楷体" w:cs="Calibri"/>
          <w:sz w:val="24"/>
          <w:szCs w:val="24"/>
        </w:rPr>
        <w:t>银行存款以本金列示，按银行适用利率逐日计提利息。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4.</w:t>
      </w:r>
      <w:r>
        <w:rPr>
          <w:rFonts w:ascii="楷体" w:hAnsi="楷体" w:eastAsia="楷体" w:cs="Calibri"/>
          <w:sz w:val="24"/>
          <w:szCs w:val="24"/>
        </w:rPr>
        <w:t>货币市场基金以估值截止时点能够取得的最新每万份收益进行估值。</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5.</w:t>
      </w:r>
      <w:r>
        <w:rPr>
          <w:rFonts w:ascii="楷体" w:hAnsi="楷体" w:eastAsia="楷体" w:cs="Calibri"/>
          <w:sz w:val="24"/>
          <w:szCs w:val="24"/>
        </w:rPr>
        <w:t>投资于信托计划、资产管理计划、基金等的资产：</w:t>
      </w:r>
    </w:p>
    <w:p>
      <w:pPr>
        <w:ind w:firstLine="480" w:firstLineChars="200"/>
        <w:rPr>
          <w:rFonts w:ascii="楷体" w:hAnsi="楷体" w:eastAsia="楷体" w:cs="Calibri"/>
          <w:sz w:val="24"/>
          <w:szCs w:val="24"/>
        </w:rPr>
      </w:pPr>
      <w:r>
        <w:rPr>
          <w:rFonts w:hint="eastAsia" w:ascii="楷体" w:hAnsi="楷体" w:eastAsia="楷体" w:cs="Calibri"/>
          <w:sz w:val="24"/>
          <w:szCs w:val="24"/>
        </w:rPr>
        <w:t>（1）</w:t>
      </w:r>
      <w:r>
        <w:rPr>
          <w:rFonts w:ascii="楷体" w:hAnsi="楷体" w:eastAsia="楷体" w:cs="Calibri"/>
          <w:sz w:val="24"/>
          <w:szCs w:val="24"/>
        </w:rPr>
        <w:t>按合同约定的估值方案，以信托计划的受托人、资产管理计划或基金的管理人等和资产托管人共同确认的净值或投资收益情况进行估值。</w:t>
      </w:r>
      <w:r>
        <w:rPr>
          <w:rFonts w:hint="eastAsia" w:ascii="楷体" w:hAnsi="楷体" w:eastAsia="楷体" w:cs="Calibri"/>
          <w:sz w:val="24"/>
          <w:szCs w:val="24"/>
        </w:rPr>
        <w:br w:type="textWrapping"/>
      </w:r>
      <w:r>
        <w:rPr>
          <w:rFonts w:hint="eastAsia" w:ascii="楷体" w:hAnsi="楷体" w:eastAsia="楷体" w:cs="Calibri"/>
          <w:sz w:val="24"/>
          <w:szCs w:val="24"/>
        </w:rPr>
        <w:t xml:space="preserve"> </w:t>
      </w:r>
      <w:r>
        <w:rPr>
          <w:rFonts w:ascii="楷体" w:hAnsi="楷体" w:eastAsia="楷体" w:cs="Calibri"/>
          <w:sz w:val="24"/>
          <w:szCs w:val="24"/>
        </w:rPr>
        <w:t xml:space="preserve">   </w:t>
      </w:r>
      <w:r>
        <w:rPr>
          <w:rFonts w:hint="eastAsia" w:ascii="楷体" w:hAnsi="楷体" w:eastAsia="楷体" w:cs="Calibri"/>
          <w:sz w:val="24"/>
          <w:szCs w:val="24"/>
        </w:rPr>
        <w:t>（2）</w:t>
      </w:r>
      <w:r>
        <w:rPr>
          <w:rFonts w:ascii="楷体" w:hAnsi="楷体" w:eastAsia="楷体" w:cs="Calibri"/>
          <w:sz w:val="24"/>
          <w:szCs w:val="24"/>
        </w:rPr>
        <w:t>如合同未约定估值方案，但有确定的预期收益率的，则按成本法估值定期计提预期收益。如该类资产存续期间发生影响资产未来现金流的重大事件的，经管理人合理判断对资产价值进行重估。</w:t>
      </w:r>
    </w:p>
    <w:p>
      <w:pPr>
        <w:ind w:firstLine="480" w:firstLineChars="200"/>
        <w:rPr>
          <w:rFonts w:ascii="楷体" w:hAnsi="楷体" w:eastAsia="楷体" w:cs="Calibri"/>
          <w:sz w:val="24"/>
          <w:szCs w:val="24"/>
        </w:rPr>
      </w:pPr>
      <w:r>
        <w:rPr>
          <w:rFonts w:hint="eastAsia" w:ascii="楷体" w:hAnsi="楷体" w:eastAsia="楷体" w:cs="Calibri"/>
          <w:sz w:val="24"/>
          <w:szCs w:val="24"/>
        </w:rPr>
        <w:t>6.</w:t>
      </w:r>
      <w:r>
        <w:rPr>
          <w:rFonts w:ascii="楷体" w:hAnsi="楷体" w:eastAsia="楷体" w:cs="Calibri"/>
          <w:sz w:val="24"/>
          <w:szCs w:val="24"/>
        </w:rPr>
        <w:t>若理财产品存续期间持有其他投资品种，以理财产品管理人和理财产品托管人共同认可的方法估值。</w:t>
      </w:r>
    </w:p>
    <w:p>
      <w:pPr>
        <w:rPr>
          <w:rFonts w:ascii="楷体" w:hAnsi="楷体" w:eastAsia="楷体" w:cs="Calibri"/>
          <w:sz w:val="24"/>
          <w:szCs w:val="24"/>
        </w:rPr>
      </w:pPr>
      <w:r>
        <w:rPr>
          <w:rFonts w:ascii="楷体" w:hAnsi="楷体" w:eastAsia="楷体" w:cs="Calibri"/>
          <w:sz w:val="24"/>
          <w:szCs w:val="24"/>
        </w:rPr>
        <w:t xml:space="preserve">    </w:t>
      </w:r>
      <w:r>
        <w:rPr>
          <w:rFonts w:hint="eastAsia" w:ascii="楷体" w:hAnsi="楷体" w:eastAsia="楷体" w:cs="Calibri"/>
          <w:sz w:val="24"/>
          <w:szCs w:val="24"/>
        </w:rPr>
        <w:t>7</w:t>
      </w:r>
      <w:r>
        <w:rPr>
          <w:rFonts w:ascii="楷体" w:hAnsi="楷体" w:eastAsia="楷体" w:cs="Calibri"/>
          <w:sz w:val="24"/>
          <w:szCs w:val="24"/>
        </w:rPr>
        <w:t>.</w:t>
      </w:r>
      <w:r>
        <w:rPr>
          <w:rFonts w:hint="eastAsia" w:ascii="楷体" w:hAnsi="楷体" w:eastAsia="楷体" w:cs="Calibri"/>
          <w:sz w:val="24"/>
          <w:szCs w:val="24"/>
        </w:rPr>
        <w:t>由于按摊余成本法计价可能会出现被计价对象的其他可参考公允价值指标和摊余成本之间的偏离，为消除或减少因理财产品资产净值的背离导致理财产品产品份额投资者权益的稀释或其他不公平的结果，在实际操作中，理财产品管理人与理财产品托管人将采用估值技术，对理财产品持有的估值对象进行重新评估，即“影子定价”。当投资组合的摊余成本与其他可参考公允价值指标产生重大偏离，管理人将按照其它可参考公允价值指标对组合的账面价值进行调整，使理财产品资产净值更能公允地反映理财产品资产价值，确保以摊余成本法计算的理财产品资产净值不会对理财产品投资者造成实质性的损害。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产品合同进行财产清算等措施。当出现上述情形时，管理人将依据法律法规规定履行信息披露程序。</w:t>
      </w:r>
    </w:p>
    <w:p>
      <w:pPr>
        <w:rPr>
          <w:rFonts w:ascii="楷体" w:hAnsi="楷体" w:eastAsia="楷体" w:cs="Calibri"/>
          <w:sz w:val="24"/>
          <w:szCs w:val="24"/>
        </w:rPr>
      </w:pPr>
      <w:r>
        <w:rPr>
          <w:rFonts w:hint="eastAsia" w:ascii="楷体" w:hAnsi="楷体" w:eastAsia="楷体" w:cs="Calibri"/>
          <w:sz w:val="24"/>
          <w:szCs w:val="24"/>
        </w:rPr>
        <w:t>影子定价与摊余成本法确定的现金管理类产品资产净值的偏离度＝</w:t>
      </w:r>
      <m:oMath>
        <m:f>
          <m:fPr>
            <m:ctrlPr>
              <w:rPr>
                <w:rFonts w:ascii="Cambria Math" w:hAnsi="Cambria Math" w:eastAsia="楷体" w:cs="Calibri"/>
                <w:sz w:val="28"/>
                <w:szCs w:val="24"/>
              </w:rPr>
            </m:ctrlPr>
          </m:fPr>
          <m:num>
            <m:r>
              <m:rPr>
                <m:sty m:val="p"/>
              </m:rPr>
              <w:rPr>
                <w:rFonts w:hint="eastAsia" w:ascii="Cambria Math" w:hAnsi="Cambria Math" w:eastAsia="楷体" w:cs="Calibri"/>
                <w:sz w:val="28"/>
                <w:szCs w:val="24"/>
              </w:rPr>
              <m:t>NAVs</m:t>
            </m:r>
            <m:r>
              <m:rPr>
                <m:sty m:val="p"/>
              </m:rPr>
              <w:rPr>
                <w:rFonts w:ascii="Cambria Math" w:hAnsi="Cambria Math" w:eastAsia="楷体" w:cs="Calibri"/>
                <w:sz w:val="28"/>
                <w:szCs w:val="24"/>
              </w:rPr>
              <m:t>−NAVa</m:t>
            </m:r>
            <m:ctrlPr>
              <w:rPr>
                <w:rFonts w:ascii="Cambria Math" w:hAnsi="Cambria Math" w:eastAsia="楷体" w:cs="Calibri"/>
                <w:sz w:val="28"/>
                <w:szCs w:val="24"/>
              </w:rPr>
            </m:ctrlPr>
          </m:num>
          <m:den>
            <m:r>
              <m:rPr>
                <m:sty m:val="p"/>
              </m:rPr>
              <w:rPr>
                <w:rFonts w:hint="eastAsia" w:ascii="Cambria Math" w:hAnsi="Cambria Math" w:eastAsia="楷体" w:cs="Calibri"/>
                <w:sz w:val="28"/>
                <w:szCs w:val="24"/>
              </w:rPr>
              <m:t>NAVa</m:t>
            </m:r>
            <m:ctrlPr>
              <w:rPr>
                <w:rFonts w:ascii="Cambria Math" w:hAnsi="Cambria Math" w:eastAsia="楷体" w:cs="Calibri"/>
                <w:sz w:val="28"/>
                <w:szCs w:val="24"/>
              </w:rPr>
            </m:ctrlPr>
          </m:den>
        </m:f>
      </m:oMath>
      <w:r>
        <w:rPr>
          <w:rFonts w:hint="eastAsia" w:ascii="楷体" w:hAnsi="楷体" w:eastAsia="楷体" w:cs="Calibri"/>
          <w:sz w:val="24"/>
          <w:szCs w:val="24"/>
        </w:rPr>
        <w:t xml:space="preserve">，其中，NAVs为影子定价确定的现金管理类产品资产净值，NAVa为摊余成本法确定的现金管理类产品资产净值。 </w:t>
      </w:r>
      <w:r>
        <w:rPr>
          <w:rFonts w:ascii="楷体" w:hAnsi="楷体" w:eastAsia="楷体" w:cs="Calibri"/>
          <w:sz w:val="24"/>
          <w:szCs w:val="24"/>
        </w:rPr>
        <w:t xml:space="preserve"> </w:t>
      </w:r>
    </w:p>
    <w:p>
      <w:pPr>
        <w:ind w:firstLine="480" w:firstLineChars="200"/>
        <w:rPr>
          <w:rFonts w:ascii="楷体" w:hAnsi="楷体" w:eastAsia="楷体" w:cs="Calibri"/>
          <w:sz w:val="24"/>
          <w:szCs w:val="24"/>
        </w:rPr>
      </w:pPr>
      <w:r>
        <w:rPr>
          <w:rFonts w:hint="eastAsia" w:ascii="楷体" w:hAnsi="楷体" w:eastAsia="楷体" w:cs="Calibri"/>
          <w:sz w:val="24"/>
          <w:szCs w:val="24"/>
        </w:rPr>
        <w:t>8.</w:t>
      </w:r>
      <w:r>
        <w:rPr>
          <w:rFonts w:ascii="楷体" w:hAnsi="楷体" w:eastAsia="楷体" w:cs="Calibri"/>
          <w:sz w:val="24"/>
          <w:szCs w:val="24"/>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ind w:firstLine="480"/>
        <w:rPr>
          <w:rFonts w:ascii="楷体" w:hAnsi="楷体" w:eastAsia="楷体" w:cs="Calibri"/>
          <w:sz w:val="24"/>
          <w:szCs w:val="24"/>
        </w:rPr>
      </w:pPr>
      <w:r>
        <w:rPr>
          <w:rFonts w:hint="eastAsia" w:ascii="楷体" w:hAnsi="楷体" w:eastAsia="楷体" w:cs="Calibri"/>
          <w:sz w:val="24"/>
          <w:szCs w:val="24"/>
        </w:rPr>
        <w:t>9.</w:t>
      </w:r>
      <w:r>
        <w:rPr>
          <w:rFonts w:ascii="楷体" w:hAnsi="楷体" w:eastAsia="楷体" w:cs="Calibri"/>
          <w:sz w:val="24"/>
          <w:szCs w:val="24"/>
        </w:rPr>
        <w:t>对于以上估值方法，相关法律法规以及监管部门有另行规定的，按照监管最新规定执行。如监管并无明确规定和要求的，由产品管理人与托管人协商确定计算方法。</w:t>
      </w:r>
    </w:p>
    <w:p>
      <w:pPr>
        <w:ind w:firstLine="480"/>
        <w:rPr>
          <w:rFonts w:ascii="楷体" w:hAnsi="楷体" w:eastAsia="楷体" w:cs="Calibri"/>
          <w:sz w:val="24"/>
          <w:szCs w:val="24"/>
        </w:rPr>
      </w:pPr>
      <w:r>
        <w:rPr>
          <w:rFonts w:hint="eastAsia" w:ascii="楷体" w:hAnsi="楷体" w:eastAsia="楷体" w:cs="Calibri"/>
          <w:sz w:val="24"/>
          <w:szCs w:val="24"/>
        </w:rPr>
        <w:t>1</w:t>
      </w:r>
      <w:r>
        <w:rPr>
          <w:rFonts w:ascii="楷体" w:hAnsi="楷体" w:eastAsia="楷体" w:cs="Calibri"/>
          <w:sz w:val="24"/>
          <w:szCs w:val="24"/>
        </w:rPr>
        <w:t>0</w:t>
      </w:r>
      <w:r>
        <w:rPr>
          <w:rFonts w:hint="eastAsia" w:ascii="楷体" w:hAnsi="楷体" w:eastAsia="楷体" w:cs="Calibri"/>
          <w:sz w:val="24"/>
          <w:szCs w:val="24"/>
        </w:rPr>
        <w:t>.</w:t>
      </w:r>
      <w:r>
        <w:rPr>
          <w:rFonts w:ascii="楷体" w:hAnsi="楷体" w:eastAsia="楷体" w:cs="Calibri"/>
          <w:sz w:val="24"/>
          <w:szCs w:val="24"/>
        </w:rPr>
        <w:t>按以上估值方法进行估值时，所造成的误差不作为理财产品估值错误处理。</w:t>
      </w:r>
    </w:p>
    <w:p>
      <w:pPr>
        <w:rPr>
          <w:rFonts w:ascii="楷体" w:hAnsi="楷体" w:eastAsia="楷体" w:cs="Calibri"/>
          <w:sz w:val="24"/>
          <w:szCs w:val="24"/>
        </w:rPr>
      </w:pPr>
      <w:r>
        <w:rPr>
          <w:rFonts w:ascii="楷体" w:hAnsi="楷体" w:eastAsia="楷体" w:cs="Calibri"/>
          <w:sz w:val="24"/>
          <w:szCs w:val="24"/>
        </w:rPr>
        <w:t xml:space="preserve">    </w:t>
      </w:r>
      <w:r>
        <w:rPr>
          <w:rFonts w:hint="eastAsia" w:ascii="楷体" w:hAnsi="楷体" w:eastAsia="楷体" w:cs="Calibri"/>
          <w:sz w:val="24"/>
          <w:szCs w:val="24"/>
        </w:rPr>
        <w:t>1</w:t>
      </w:r>
      <w:r>
        <w:rPr>
          <w:rFonts w:ascii="楷体" w:hAnsi="楷体" w:eastAsia="楷体" w:cs="Calibri"/>
          <w:sz w:val="24"/>
          <w:szCs w:val="24"/>
        </w:rPr>
        <w:t>1</w:t>
      </w:r>
      <w:r>
        <w:rPr>
          <w:rFonts w:hint="eastAsia" w:ascii="楷体" w:hAnsi="楷体" w:eastAsia="楷体" w:cs="Calibri"/>
          <w:sz w:val="24"/>
          <w:szCs w:val="24"/>
        </w:rPr>
        <w:t>.</w:t>
      </w:r>
      <w:r>
        <w:rPr>
          <w:rFonts w:ascii="楷体" w:hAnsi="楷体" w:eastAsia="楷体" w:cs="Calibri"/>
          <w:sz w:val="24"/>
          <w:szCs w:val="24"/>
        </w:rPr>
        <w:t>扣除项：应由理财产品承担的理财产品费用和税费（如有）</w:t>
      </w:r>
      <w:r>
        <w:rPr>
          <w:rFonts w:hint="eastAsia" w:ascii="楷体" w:hAnsi="楷体" w:eastAsia="楷体" w:cs="Calibri"/>
          <w:sz w:val="24"/>
          <w:szCs w:val="24"/>
        </w:rPr>
        <w:t>。</w:t>
      </w:r>
    </w:p>
    <w:p>
      <w:pPr>
        <w:ind w:firstLine="480" w:firstLineChars="200"/>
        <w:rPr>
          <w:rFonts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2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本理财产品估值所用的价格来源中出现错误，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2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暂停估值</w:t>
      </w:r>
    </w:p>
    <w:p>
      <w:pPr>
        <w:ind w:firstLine="480" w:firstLineChars="200"/>
        <w:rPr>
          <w:rFonts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1"/>
          <w:numId w:val="0"/>
        </w:numPr>
        <w:tabs>
          <w:tab w:val="left" w:pos="1428"/>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十三、</w:t>
      </w:r>
      <w:r>
        <w:rPr>
          <w:rFonts w:hint="eastAsia" w:ascii="楷体" w:hAnsi="楷体" w:eastAsia="楷体"/>
          <w:b/>
          <w:sz w:val="28"/>
          <w:szCs w:val="28"/>
        </w:rPr>
        <w:t>产品的终止与清算</w:t>
      </w:r>
    </w:p>
    <w:p>
      <w:pPr>
        <w:numPr>
          <w:ilvl w:val="0"/>
          <w:numId w:val="27"/>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理财产品的终止</w:t>
      </w:r>
    </w:p>
    <w:p>
      <w:pPr>
        <w:numPr>
          <w:ilvl w:val="0"/>
          <w:numId w:val="28"/>
        </w:numPr>
        <w:tabs>
          <w:tab w:val="left" w:pos="728"/>
        </w:tabs>
        <w:ind w:left="0" w:firstLine="482" w:firstLineChars="200"/>
        <w:rPr>
          <w:rFonts w:ascii="楷体" w:hAnsi="楷体" w:eastAsia="楷体" w:cs="Calibri"/>
          <w:b/>
          <w:sz w:val="24"/>
          <w:szCs w:val="24"/>
        </w:rPr>
      </w:pPr>
      <w:r>
        <w:rPr>
          <w:rFonts w:hint="eastAsia" w:ascii="楷体" w:hAnsi="楷体" w:eastAsia="楷体" w:cs="Calibri"/>
          <w:b/>
          <w:sz w:val="24"/>
          <w:szCs w:val="24"/>
        </w:rPr>
        <w:t>提前终止</w:t>
      </w:r>
    </w:p>
    <w:p>
      <w:pPr>
        <w:ind w:firstLine="480" w:firstLineChars="200"/>
        <w:rPr>
          <w:rFonts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9"/>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9"/>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遇有市场出现剧烈波动、异常风险事件等情形导致理财产品收益出现大幅波动或严重影响理财产品的资产安全。</w:t>
      </w:r>
    </w:p>
    <w:p>
      <w:pPr>
        <w:numPr>
          <w:ilvl w:val="0"/>
          <w:numId w:val="29"/>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9"/>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提前终止产品比维持产品运作更有利于保护投资者权益。</w:t>
      </w:r>
    </w:p>
    <w:p>
      <w:pPr>
        <w:numPr>
          <w:ilvl w:val="0"/>
          <w:numId w:val="29"/>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产品存续规模低于</w:t>
      </w:r>
      <w:r>
        <w:rPr>
          <w:rFonts w:ascii="楷体" w:hAnsi="楷体" w:eastAsia="楷体" w:cs="Calibri"/>
          <w:sz w:val="24"/>
          <w:szCs w:val="24"/>
          <w:highlight w:val="none"/>
        </w:rPr>
        <w:t>3000万。</w:t>
      </w:r>
    </w:p>
    <w:p>
      <w:pPr>
        <w:numPr>
          <w:ilvl w:val="0"/>
          <w:numId w:val="29"/>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法律法规规定或监管部门认定的其他情形。</w:t>
      </w:r>
    </w:p>
    <w:p>
      <w:pPr>
        <w:ind w:firstLine="480" w:firstLineChars="200"/>
        <w:rPr>
          <w:rFonts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8"/>
        </w:numPr>
        <w:tabs>
          <w:tab w:val="left" w:pos="728"/>
        </w:tabs>
        <w:ind w:left="0" w:firstLine="482" w:firstLineChars="200"/>
        <w:rPr>
          <w:rFonts w:ascii="楷体" w:hAnsi="楷体" w:eastAsia="楷体" w:cs="Calibri"/>
          <w:b/>
          <w:sz w:val="24"/>
          <w:szCs w:val="24"/>
        </w:rPr>
      </w:pPr>
      <w:r>
        <w:rPr>
          <w:rFonts w:hint="eastAsia" w:ascii="楷体" w:hAnsi="楷体" w:eastAsia="楷体" w:cs="Calibri"/>
          <w:b/>
          <w:sz w:val="24"/>
          <w:szCs w:val="24"/>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因市场成交量不足、资产限制赎回、暂停交易、缺乏意愿交易对手等原因，导致产品项下对应的投资标的无法及时变现；</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因资金在途等原因，导致未能及时收回资金；</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其他产品管理人认为需要延期兑付的情形。</w:t>
      </w:r>
    </w:p>
    <w:p>
      <w:pPr>
        <w:ind w:firstLine="480" w:firstLineChars="200"/>
        <w:rPr>
          <w:rFonts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7"/>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理财产品的清算</w:t>
      </w:r>
    </w:p>
    <w:p>
      <w:pPr>
        <w:numPr>
          <w:ilvl w:val="0"/>
          <w:numId w:val="3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3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1"/>
          <w:numId w:val="0"/>
        </w:numPr>
        <w:tabs>
          <w:tab w:val="left" w:pos="1428"/>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十四、</w:t>
      </w: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1"/>
          <w:numId w:val="0"/>
        </w:numPr>
        <w:tabs>
          <w:tab w:val="left" w:pos="1414"/>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十五、</w:t>
      </w:r>
      <w:r>
        <w:rPr>
          <w:rFonts w:hint="eastAsia" w:ascii="楷体" w:hAnsi="楷体" w:eastAsia="楷体"/>
          <w:b/>
          <w:sz w:val="28"/>
          <w:szCs w:val="28"/>
        </w:rPr>
        <w:t>产品托管人</w:t>
      </w:r>
    </w:p>
    <w:p>
      <w:pPr>
        <w:numPr>
          <w:ilvl w:val="0"/>
          <w:numId w:val="32"/>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32"/>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托管人职责</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1"/>
          <w:numId w:val="0"/>
        </w:numPr>
        <w:tabs>
          <w:tab w:val="left" w:pos="1428"/>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十六、</w:t>
      </w:r>
      <w:r>
        <w:rPr>
          <w:rFonts w:hint="eastAsia" w:ascii="楷体" w:hAnsi="楷体" w:eastAsia="楷体"/>
          <w:b/>
          <w:sz w:val="28"/>
          <w:szCs w:val="28"/>
        </w:rPr>
        <w:t>信息披露</w:t>
      </w:r>
    </w:p>
    <w:p>
      <w:pPr>
        <w:numPr>
          <w:ilvl w:val="0"/>
          <w:numId w:val="34"/>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信息披露内容</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4"/>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信息披露频率</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tabs>
          <w:tab w:val="left" w:pos="728"/>
        </w:tabs>
        <w:ind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管理人应当在本理财产品的半年和年度报告中，披露本理财产品前</w:t>
      </w:r>
      <w:r>
        <w:rPr>
          <w:rFonts w:ascii="楷体" w:hAnsi="楷体" w:eastAsia="楷体" w:cs="Calibri"/>
          <w:b/>
          <w:sz w:val="24"/>
          <w:szCs w:val="24"/>
          <w:u w:val="single"/>
        </w:rPr>
        <w:t>10名投资者的类别、持有份额及占总份额的比例等信息。</w:t>
      </w:r>
    </w:p>
    <w:p>
      <w:pPr>
        <w:tabs>
          <w:tab w:val="left" w:pos="728"/>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本理财产品存续期间，如出现单一投资者持有产品份额达到或者超过本理财产品总份额</w:t>
      </w:r>
      <w:r>
        <w:rPr>
          <w:rFonts w:ascii="楷体" w:hAnsi="楷体" w:eastAsia="楷体" w:cs="Calibri"/>
          <w:b/>
          <w:sz w:val="24"/>
          <w:szCs w:val="24"/>
          <w:u w:val="single"/>
        </w:rPr>
        <w:t>20%的情形，为保障其他投资者的权益，管理人应当在定期报告中披露该投资者的类别、持有份额及占比、持有份额变化情况及产品风险等信息，银保监会认定的特殊情形除外</w:t>
      </w:r>
      <w:r>
        <w:rPr>
          <w:rFonts w:hint="eastAsia" w:ascii="楷体" w:hAnsi="楷体" w:eastAsia="楷体" w:cs="Calibri"/>
          <w:sz w:val="24"/>
          <w:szCs w:val="24"/>
        </w:rPr>
        <w:t>。</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重大事项公告：管理人在发生可能对理财产品投资者或者理财产品收益产生重大事项的事件后2个工作日内发布重大事项公告。</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产品净值披露：管理人在每个工作日披露上一日每万份收益和七日年化收益率。</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单位净值、份额累计净值、资产净值、收益情况、投资者理财交易账户发生的交易明细记录等信息。</w:t>
      </w:r>
    </w:p>
    <w:p>
      <w:pPr>
        <w:numPr>
          <w:ilvl w:val="0"/>
          <w:numId w:val="34"/>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信息披露方式</w:t>
      </w:r>
    </w:p>
    <w:p>
      <w:pPr>
        <w:ind w:firstLine="480" w:firstLineChars="200"/>
        <w:rPr>
          <w:rFonts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3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苏银理财通过苏银理财有限责任官方网站（</w:t>
      </w:r>
      <w:r>
        <w:rPr>
          <w:rFonts w:ascii="楷体" w:hAnsi="楷体" w:eastAsia="楷体" w:cs="Calibri"/>
          <w:sz w:val="24"/>
          <w:szCs w:val="24"/>
        </w:rPr>
        <w:t>www．suyinwealth．com</w:t>
      </w:r>
      <w:r>
        <w:rPr>
          <w:rFonts w:hint="eastAsia" w:ascii="楷体" w:hAnsi="楷体" w:eastAsia="楷体" w:cs="Calibri"/>
          <w:sz w:val="24"/>
          <w:szCs w:val="24"/>
        </w:rPr>
        <w:t>）进行信息披露。</w:t>
      </w:r>
    </w:p>
    <w:p>
      <w:pPr>
        <w:numPr>
          <w:ilvl w:val="0"/>
          <w:numId w:val="3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苏银理财将信息披露内容发送销售机构，由销售机构通过销售机构电子渠道和营业网点进行信息披露。</w:t>
      </w:r>
    </w:p>
    <w:p>
      <w:pPr>
        <w:ind w:firstLine="480" w:firstLineChars="200"/>
        <w:rPr>
          <w:rFonts w:ascii="楷体" w:hAnsi="楷体" w:eastAsia="楷体"/>
          <w:sz w:val="24"/>
          <w:szCs w:val="24"/>
        </w:rPr>
      </w:pPr>
      <w:r>
        <w:rPr>
          <w:rFonts w:hint="eastAsia" w:ascii="楷体" w:hAnsi="楷体" w:eastAsia="楷体"/>
          <w:sz w:val="24"/>
          <w:szCs w:val="24"/>
        </w:rPr>
        <w:t>相关信息在发布或发出之日视为通知已送达投资者并生效，请您及时登陆苏银理财有限责任官方网站或者向销售机构查询获取披露信息。</w:t>
      </w:r>
    </w:p>
    <w:p>
      <w:pPr>
        <w:numPr>
          <w:ilvl w:val="-1"/>
          <w:numId w:val="0"/>
        </w:numPr>
        <w:tabs>
          <w:tab w:val="left" w:pos="1428"/>
        </w:tabs>
        <w:ind w:leftChars="200" w:firstLine="0" w:firstLineChars="0"/>
        <w:outlineLvl w:val="1"/>
        <w:rPr>
          <w:rFonts w:ascii="楷体" w:hAnsi="楷体" w:eastAsia="楷体"/>
          <w:b/>
          <w:sz w:val="28"/>
          <w:szCs w:val="28"/>
        </w:rPr>
      </w:pPr>
      <w:r>
        <w:rPr>
          <w:rFonts w:hint="eastAsia" w:ascii="楷体" w:hAnsi="楷体" w:eastAsia="楷体"/>
          <w:b/>
          <w:sz w:val="28"/>
          <w:szCs w:val="28"/>
          <w:lang w:val="en-US" w:eastAsia="zh-CN"/>
        </w:rPr>
        <w:t>十七、</w:t>
      </w:r>
      <w:r>
        <w:rPr>
          <w:rFonts w:hint="eastAsia" w:ascii="楷体" w:hAnsi="楷体" w:eastAsia="楷体"/>
          <w:b/>
          <w:sz w:val="28"/>
          <w:szCs w:val="28"/>
        </w:rPr>
        <w:t>其他</w:t>
      </w:r>
    </w:p>
    <w:p>
      <w:pPr>
        <w:numPr>
          <w:ilvl w:val="0"/>
          <w:numId w:val="38"/>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8"/>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信息安全</w:t>
      </w:r>
    </w:p>
    <w:p>
      <w:pPr>
        <w:ind w:firstLine="480" w:firstLineChars="200"/>
        <w:rPr>
          <w:rFonts w:ascii="楷体" w:hAnsi="楷体" w:eastAsia="楷体"/>
          <w:sz w:val="24"/>
          <w:szCs w:val="24"/>
        </w:rPr>
      </w:pPr>
      <w:r>
        <w:rPr>
          <w:rFonts w:hint="eastAsia" w:ascii="楷体" w:hAnsi="楷体" w:eastAsia="楷体"/>
          <w:sz w:val="24"/>
          <w:szCs w:val="24"/>
        </w:rPr>
        <w:t>苏银理财及销售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解除并按照苏银理财的业务要求以及“最少必须”原则使用投资人个人信息。苏银理财承诺将向有关第三方明确其保护投资人信息的职责并要求第三方承担相应的保密义务。</w:t>
      </w:r>
    </w:p>
    <w:p>
      <w:pPr>
        <w:numPr>
          <w:ilvl w:val="0"/>
          <w:numId w:val="38"/>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ascii="楷体" w:hAnsi="楷体" w:eastAsia="楷体"/>
          <w:sz w:val="24"/>
          <w:szCs w:val="24"/>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t xml:space="preserve"> </w:t>
      </w:r>
      <w:r>
        <w:rPr>
          <w:rStyle w:val="16"/>
          <w:rFonts w:hint="eastAsia" w:ascii="楷体" w:hAnsi="楷体" w:eastAsia="楷体" w:cs="楷体"/>
          <w:lang w:val="en-US" w:eastAsia="zh-CN"/>
        </w:rPr>
        <w:t>投资者权益须知的名称和内容以销售机构实际使用为准。</w:t>
      </w:r>
    </w:p>
  </w:footnote>
  <w:footnote w:id="1">
    <w:p>
      <w:pPr>
        <w:pStyle w:val="11"/>
        <w:rPr>
          <w:rFonts w:hint="eastAsia" w:ascii="楷体" w:hAnsi="楷体" w:eastAsia="楷体" w:cs="楷体"/>
        </w:rPr>
      </w:pPr>
      <w:r>
        <w:rPr>
          <w:rStyle w:val="20"/>
        </w:rPr>
        <w:t xml:space="preserve">2 </w:t>
      </w:r>
      <w:r>
        <w:rPr>
          <w:rFonts w:hint="eastAsia" w:ascii="楷体" w:hAnsi="楷体" w:eastAsia="楷体" w:cs="楷体"/>
        </w:rPr>
        <w:t>理财产品（代理）销售协议书的名称和内容以销售机构实际</w:t>
      </w:r>
      <w:r>
        <w:rPr>
          <w:rFonts w:hint="eastAsia" w:ascii="楷体" w:hAnsi="楷体" w:eastAsia="楷体" w:cs="楷体"/>
          <w:lang w:val="en-US" w:eastAsia="zh-CN"/>
        </w:rPr>
        <w:t>使用为准。</w:t>
      </w:r>
    </w:p>
    <w:p>
      <w:pPr>
        <w:pStyle w:val="11"/>
        <w:rPr>
          <w:rFonts w:hint="eastAsia" w:eastAsia="宋体"/>
          <w:lang w:val="en-US" w:eastAsia="zh-C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2060" o:spt="75" type="#_x0000_t75" style="position:absolute;left:0pt;margin-left:-361pt;margin-top:-83.1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205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2058"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C537CE"/>
    <w:multiLevelType w:val="singleLevel"/>
    <w:tmpl w:val="D2C537CE"/>
    <w:lvl w:ilvl="0" w:tentative="0">
      <w:start w:val="4"/>
      <w:numFmt w:val="decimal"/>
      <w:suff w:val="nothing"/>
      <w:lvlText w:val="%1、"/>
      <w:lvlJc w:val="left"/>
    </w:lvl>
  </w:abstractNum>
  <w:abstractNum w:abstractNumId="1">
    <w:nsid w:val="0579248A"/>
    <w:multiLevelType w:val="multilevel"/>
    <w:tmpl w:val="0579248A"/>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2">
    <w:nsid w:val="07102B14"/>
    <w:multiLevelType w:val="multilevel"/>
    <w:tmpl w:val="07102B14"/>
    <w:lvl w:ilvl="0" w:tentative="0">
      <w:start w:val="1"/>
      <w:numFmt w:val="decimal"/>
      <w:lvlText w:val="%1."/>
      <w:lvlJc w:val="left"/>
      <w:pPr>
        <w:ind w:left="2122"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D981FD4"/>
    <w:multiLevelType w:val="multilevel"/>
    <w:tmpl w:val="0D981FD4"/>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6">
    <w:nsid w:val="1B890F9E"/>
    <w:multiLevelType w:val="multilevel"/>
    <w:tmpl w:val="1B890F9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EE96669"/>
    <w:multiLevelType w:val="multilevel"/>
    <w:tmpl w:val="2EE9666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0CE7009"/>
    <w:multiLevelType w:val="multilevel"/>
    <w:tmpl w:val="40CE7009"/>
    <w:lvl w:ilvl="0" w:tentative="0">
      <w:start w:val="1"/>
      <w:numFmt w:val="decimal"/>
      <w:lvlText w:val="%1."/>
      <w:lvlJc w:val="left"/>
      <w:pPr>
        <w:ind w:left="2122"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5A40DEB"/>
    <w:multiLevelType w:val="multilevel"/>
    <w:tmpl w:val="65A40D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6FA54A7"/>
    <w:multiLevelType w:val="multilevel"/>
    <w:tmpl w:val="66FA54A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BFB44B6"/>
    <w:multiLevelType w:val="multilevel"/>
    <w:tmpl w:val="6BFB44B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6"/>
  </w:num>
  <w:num w:numId="3">
    <w:abstractNumId w:val="7"/>
  </w:num>
  <w:num w:numId="4">
    <w:abstractNumId w:val="13"/>
  </w:num>
  <w:num w:numId="5">
    <w:abstractNumId w:val="29"/>
  </w:num>
  <w:num w:numId="6">
    <w:abstractNumId w:val="23"/>
  </w:num>
  <w:num w:numId="7">
    <w:abstractNumId w:val="32"/>
  </w:num>
  <w:num w:numId="8">
    <w:abstractNumId w:val="8"/>
  </w:num>
  <w:num w:numId="9">
    <w:abstractNumId w:val="15"/>
  </w:num>
  <w:num w:numId="10">
    <w:abstractNumId w:val="35"/>
  </w:num>
  <w:num w:numId="11">
    <w:abstractNumId w:val="18"/>
  </w:num>
  <w:num w:numId="12">
    <w:abstractNumId w:val="10"/>
  </w:num>
  <w:num w:numId="13">
    <w:abstractNumId w:val="9"/>
  </w:num>
  <w:num w:numId="14">
    <w:abstractNumId w:val="1"/>
  </w:num>
  <w:num w:numId="15">
    <w:abstractNumId w:val="28"/>
  </w:num>
  <w:num w:numId="16">
    <w:abstractNumId w:val="5"/>
  </w:num>
  <w:num w:numId="17">
    <w:abstractNumId w:val="31"/>
  </w:num>
  <w:num w:numId="18">
    <w:abstractNumId w:val="0"/>
  </w:num>
  <w:num w:numId="19">
    <w:abstractNumId w:val="24"/>
  </w:num>
  <w:num w:numId="20">
    <w:abstractNumId w:val="6"/>
  </w:num>
  <w:num w:numId="21">
    <w:abstractNumId w:val="14"/>
  </w:num>
  <w:num w:numId="22">
    <w:abstractNumId w:val="2"/>
  </w:num>
  <w:num w:numId="23">
    <w:abstractNumId w:val="19"/>
  </w:num>
  <w:num w:numId="24">
    <w:abstractNumId w:val="37"/>
  </w:num>
  <w:num w:numId="25">
    <w:abstractNumId w:val="22"/>
  </w:num>
  <w:num w:numId="26">
    <w:abstractNumId w:val="20"/>
  </w:num>
  <w:num w:numId="27">
    <w:abstractNumId w:val="11"/>
  </w:num>
  <w:num w:numId="28">
    <w:abstractNumId w:val="30"/>
  </w:num>
  <w:num w:numId="29">
    <w:abstractNumId w:val="4"/>
  </w:num>
  <w:num w:numId="30">
    <w:abstractNumId w:val="33"/>
  </w:num>
  <w:num w:numId="31">
    <w:abstractNumId w:val="21"/>
  </w:num>
  <w:num w:numId="32">
    <w:abstractNumId w:val="26"/>
  </w:num>
  <w:num w:numId="33">
    <w:abstractNumId w:val="12"/>
  </w:num>
  <w:num w:numId="34">
    <w:abstractNumId w:val="36"/>
  </w:num>
  <w:num w:numId="35">
    <w:abstractNumId w:val="17"/>
  </w:num>
  <w:num w:numId="36">
    <w:abstractNumId w:val="34"/>
  </w:num>
  <w:num w:numId="37">
    <w:abstractNumId w:val="3"/>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43A"/>
    <w:rsid w:val="00311C18"/>
    <w:rsid w:val="0031298C"/>
    <w:rsid w:val="00313619"/>
    <w:rsid w:val="00313D52"/>
    <w:rsid w:val="00314235"/>
    <w:rsid w:val="0032098B"/>
    <w:rsid w:val="003222FC"/>
    <w:rsid w:val="003227E7"/>
    <w:rsid w:val="00325D85"/>
    <w:rsid w:val="0032607C"/>
    <w:rsid w:val="00326E7B"/>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2CF4"/>
    <w:rsid w:val="00604135"/>
    <w:rsid w:val="006058CB"/>
    <w:rsid w:val="00605AFB"/>
    <w:rsid w:val="0060733C"/>
    <w:rsid w:val="00607C36"/>
    <w:rsid w:val="0061140B"/>
    <w:rsid w:val="00613453"/>
    <w:rsid w:val="0061470B"/>
    <w:rsid w:val="00614908"/>
    <w:rsid w:val="00615029"/>
    <w:rsid w:val="00616593"/>
    <w:rsid w:val="00616AE1"/>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C58"/>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51A"/>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4D48"/>
    <w:rsid w:val="00EC6339"/>
    <w:rsid w:val="00EC744B"/>
    <w:rsid w:val="00EC778D"/>
    <w:rsid w:val="00EC7B5A"/>
    <w:rsid w:val="00ED1573"/>
    <w:rsid w:val="00ED1966"/>
    <w:rsid w:val="00ED419B"/>
    <w:rsid w:val="00ED4DA5"/>
    <w:rsid w:val="00ED5AAA"/>
    <w:rsid w:val="00ED5AF3"/>
    <w:rsid w:val="00ED6E55"/>
    <w:rsid w:val="00ED71E9"/>
    <w:rsid w:val="00ED7419"/>
    <w:rsid w:val="00ED7443"/>
    <w:rsid w:val="00EE050F"/>
    <w:rsid w:val="00EE081A"/>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400D"/>
    <w:rsid w:val="00FC58AA"/>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28669BE"/>
    <w:rsid w:val="028E6154"/>
    <w:rsid w:val="02FF0E39"/>
    <w:rsid w:val="03040CCD"/>
    <w:rsid w:val="0337506D"/>
    <w:rsid w:val="03404E17"/>
    <w:rsid w:val="036C4C82"/>
    <w:rsid w:val="03C0185E"/>
    <w:rsid w:val="046B703C"/>
    <w:rsid w:val="04BD2C91"/>
    <w:rsid w:val="05091BBF"/>
    <w:rsid w:val="05C24554"/>
    <w:rsid w:val="061239DA"/>
    <w:rsid w:val="062671DC"/>
    <w:rsid w:val="065674E8"/>
    <w:rsid w:val="06F85D5A"/>
    <w:rsid w:val="071378F5"/>
    <w:rsid w:val="07731EDA"/>
    <w:rsid w:val="090B4468"/>
    <w:rsid w:val="09536CE2"/>
    <w:rsid w:val="097662B8"/>
    <w:rsid w:val="09EC4E9A"/>
    <w:rsid w:val="0A2B3E51"/>
    <w:rsid w:val="0A93603C"/>
    <w:rsid w:val="0A97493E"/>
    <w:rsid w:val="0AB715F7"/>
    <w:rsid w:val="0BC11263"/>
    <w:rsid w:val="0BD96283"/>
    <w:rsid w:val="0C510802"/>
    <w:rsid w:val="0D817E81"/>
    <w:rsid w:val="0D9C032D"/>
    <w:rsid w:val="0DAF4280"/>
    <w:rsid w:val="0E076AE9"/>
    <w:rsid w:val="0E421E9F"/>
    <w:rsid w:val="0EBD3DC2"/>
    <w:rsid w:val="0EF75F06"/>
    <w:rsid w:val="0FB924B8"/>
    <w:rsid w:val="10B81047"/>
    <w:rsid w:val="10E55ACF"/>
    <w:rsid w:val="113611C5"/>
    <w:rsid w:val="11624886"/>
    <w:rsid w:val="11663B15"/>
    <w:rsid w:val="12176AF0"/>
    <w:rsid w:val="12AC4D8C"/>
    <w:rsid w:val="12D90C47"/>
    <w:rsid w:val="13043ED4"/>
    <w:rsid w:val="132C1521"/>
    <w:rsid w:val="13BA3578"/>
    <w:rsid w:val="13F21EF0"/>
    <w:rsid w:val="1403461B"/>
    <w:rsid w:val="143D6DFB"/>
    <w:rsid w:val="14D230EC"/>
    <w:rsid w:val="154272B5"/>
    <w:rsid w:val="159A5456"/>
    <w:rsid w:val="15CF287D"/>
    <w:rsid w:val="15EE3AFE"/>
    <w:rsid w:val="169C4E56"/>
    <w:rsid w:val="174258ED"/>
    <w:rsid w:val="17E21328"/>
    <w:rsid w:val="18FE1D0C"/>
    <w:rsid w:val="190469FF"/>
    <w:rsid w:val="1A0B2B00"/>
    <w:rsid w:val="1C7E1E02"/>
    <w:rsid w:val="1CA848A1"/>
    <w:rsid w:val="1CE005C0"/>
    <w:rsid w:val="1CE354ED"/>
    <w:rsid w:val="1CFB75A6"/>
    <w:rsid w:val="1D1C03D7"/>
    <w:rsid w:val="1D4D3358"/>
    <w:rsid w:val="1D621892"/>
    <w:rsid w:val="1D7579CC"/>
    <w:rsid w:val="1D9317B9"/>
    <w:rsid w:val="1D9E6CC4"/>
    <w:rsid w:val="1DD151B5"/>
    <w:rsid w:val="1DE04BB8"/>
    <w:rsid w:val="1E757AD8"/>
    <w:rsid w:val="1F7E179E"/>
    <w:rsid w:val="1F964275"/>
    <w:rsid w:val="200377F1"/>
    <w:rsid w:val="20135EB8"/>
    <w:rsid w:val="213D2A55"/>
    <w:rsid w:val="21CC533A"/>
    <w:rsid w:val="22961598"/>
    <w:rsid w:val="22E22C59"/>
    <w:rsid w:val="24B578FA"/>
    <w:rsid w:val="251C6852"/>
    <w:rsid w:val="25A4761E"/>
    <w:rsid w:val="25BF622B"/>
    <w:rsid w:val="26B54B63"/>
    <w:rsid w:val="271F7879"/>
    <w:rsid w:val="27393819"/>
    <w:rsid w:val="2739606C"/>
    <w:rsid w:val="273D3222"/>
    <w:rsid w:val="280744DD"/>
    <w:rsid w:val="286C493A"/>
    <w:rsid w:val="28A0271E"/>
    <w:rsid w:val="29547BC4"/>
    <w:rsid w:val="296733FA"/>
    <w:rsid w:val="2A75021C"/>
    <w:rsid w:val="2AE45309"/>
    <w:rsid w:val="2B4E79D6"/>
    <w:rsid w:val="2C920118"/>
    <w:rsid w:val="2CCC7A2F"/>
    <w:rsid w:val="2D21013D"/>
    <w:rsid w:val="2D4E158F"/>
    <w:rsid w:val="2E8D4481"/>
    <w:rsid w:val="2F1C72FC"/>
    <w:rsid w:val="2FC4512F"/>
    <w:rsid w:val="305F56A6"/>
    <w:rsid w:val="30906EF6"/>
    <w:rsid w:val="30B63EEC"/>
    <w:rsid w:val="31E43451"/>
    <w:rsid w:val="31E85DFB"/>
    <w:rsid w:val="326F27DC"/>
    <w:rsid w:val="327A6A63"/>
    <w:rsid w:val="33CE43C5"/>
    <w:rsid w:val="33E2761E"/>
    <w:rsid w:val="33ED0162"/>
    <w:rsid w:val="35163620"/>
    <w:rsid w:val="36292D10"/>
    <w:rsid w:val="367C1606"/>
    <w:rsid w:val="36B56003"/>
    <w:rsid w:val="36C52477"/>
    <w:rsid w:val="36E35581"/>
    <w:rsid w:val="37482116"/>
    <w:rsid w:val="37791B81"/>
    <w:rsid w:val="37BD3B90"/>
    <w:rsid w:val="37D231F3"/>
    <w:rsid w:val="38124733"/>
    <w:rsid w:val="38460B75"/>
    <w:rsid w:val="38C04A2B"/>
    <w:rsid w:val="39B8452F"/>
    <w:rsid w:val="39C51092"/>
    <w:rsid w:val="39F6604A"/>
    <w:rsid w:val="3AB47011"/>
    <w:rsid w:val="3AC93C11"/>
    <w:rsid w:val="3AFA4DFF"/>
    <w:rsid w:val="3B4433D7"/>
    <w:rsid w:val="3CE10208"/>
    <w:rsid w:val="3CF727B5"/>
    <w:rsid w:val="3D5866E5"/>
    <w:rsid w:val="3D5F768E"/>
    <w:rsid w:val="3D8B00CB"/>
    <w:rsid w:val="3F830750"/>
    <w:rsid w:val="3FC741B0"/>
    <w:rsid w:val="3FEA00DC"/>
    <w:rsid w:val="40E8556B"/>
    <w:rsid w:val="41815D2F"/>
    <w:rsid w:val="419747DD"/>
    <w:rsid w:val="41F0685E"/>
    <w:rsid w:val="4254643D"/>
    <w:rsid w:val="42AC04D0"/>
    <w:rsid w:val="42CF7B25"/>
    <w:rsid w:val="42D00296"/>
    <w:rsid w:val="42FB7EAC"/>
    <w:rsid w:val="438A1CC5"/>
    <w:rsid w:val="439422FD"/>
    <w:rsid w:val="43A55CA5"/>
    <w:rsid w:val="43C425E1"/>
    <w:rsid w:val="4427562F"/>
    <w:rsid w:val="445A306B"/>
    <w:rsid w:val="44931256"/>
    <w:rsid w:val="45284074"/>
    <w:rsid w:val="45792FB7"/>
    <w:rsid w:val="457B724C"/>
    <w:rsid w:val="462A10E3"/>
    <w:rsid w:val="46CD39B0"/>
    <w:rsid w:val="46EE3A7C"/>
    <w:rsid w:val="477A1D28"/>
    <w:rsid w:val="47AE02B5"/>
    <w:rsid w:val="47BF466E"/>
    <w:rsid w:val="47D472D7"/>
    <w:rsid w:val="483A7F05"/>
    <w:rsid w:val="48912E94"/>
    <w:rsid w:val="49E44D8A"/>
    <w:rsid w:val="49EC5FF4"/>
    <w:rsid w:val="4A4051EF"/>
    <w:rsid w:val="4AD8290A"/>
    <w:rsid w:val="4AF24623"/>
    <w:rsid w:val="4B0D79C2"/>
    <w:rsid w:val="4B8078D6"/>
    <w:rsid w:val="4BEF5A8E"/>
    <w:rsid w:val="4C245667"/>
    <w:rsid w:val="4C421A8A"/>
    <w:rsid w:val="4DA43BD6"/>
    <w:rsid w:val="4DC63991"/>
    <w:rsid w:val="4DC73B97"/>
    <w:rsid w:val="4E5827B1"/>
    <w:rsid w:val="4E76155D"/>
    <w:rsid w:val="4E833A0E"/>
    <w:rsid w:val="4F2C3E65"/>
    <w:rsid w:val="50207E94"/>
    <w:rsid w:val="527B3ECE"/>
    <w:rsid w:val="52E30177"/>
    <w:rsid w:val="53417F4F"/>
    <w:rsid w:val="536E3862"/>
    <w:rsid w:val="550C0DEA"/>
    <w:rsid w:val="555B0AE3"/>
    <w:rsid w:val="55B151A9"/>
    <w:rsid w:val="55BF0E11"/>
    <w:rsid w:val="56136CDA"/>
    <w:rsid w:val="56182B77"/>
    <w:rsid w:val="56D67B51"/>
    <w:rsid w:val="56FA7272"/>
    <w:rsid w:val="579F67E1"/>
    <w:rsid w:val="58981098"/>
    <w:rsid w:val="5901277B"/>
    <w:rsid w:val="592525C4"/>
    <w:rsid w:val="59321CCB"/>
    <w:rsid w:val="59753409"/>
    <w:rsid w:val="59D455F2"/>
    <w:rsid w:val="5AC45BA6"/>
    <w:rsid w:val="5B263A9C"/>
    <w:rsid w:val="5B397FB7"/>
    <w:rsid w:val="5B490CC0"/>
    <w:rsid w:val="5B7E3700"/>
    <w:rsid w:val="5C161418"/>
    <w:rsid w:val="5C3E421A"/>
    <w:rsid w:val="5C62269E"/>
    <w:rsid w:val="5C9D39DA"/>
    <w:rsid w:val="5CB669E4"/>
    <w:rsid w:val="5D090ACA"/>
    <w:rsid w:val="5D433826"/>
    <w:rsid w:val="5D832EEF"/>
    <w:rsid w:val="5E1A7F73"/>
    <w:rsid w:val="5E390E1F"/>
    <w:rsid w:val="5E4635CA"/>
    <w:rsid w:val="5E584923"/>
    <w:rsid w:val="5E6621D5"/>
    <w:rsid w:val="5E8F6FF0"/>
    <w:rsid w:val="5EA12B1C"/>
    <w:rsid w:val="5EBF1F9E"/>
    <w:rsid w:val="5F3B1BE0"/>
    <w:rsid w:val="5F842392"/>
    <w:rsid w:val="5F991715"/>
    <w:rsid w:val="5FCF11E9"/>
    <w:rsid w:val="5FE4315F"/>
    <w:rsid w:val="600227C8"/>
    <w:rsid w:val="602B2D4A"/>
    <w:rsid w:val="607523D1"/>
    <w:rsid w:val="60F82C89"/>
    <w:rsid w:val="60FE2C3F"/>
    <w:rsid w:val="615146FA"/>
    <w:rsid w:val="62070FA1"/>
    <w:rsid w:val="62093885"/>
    <w:rsid w:val="621217BE"/>
    <w:rsid w:val="623B41C7"/>
    <w:rsid w:val="62526D3D"/>
    <w:rsid w:val="62CD2B33"/>
    <w:rsid w:val="63870B4C"/>
    <w:rsid w:val="63DB479D"/>
    <w:rsid w:val="64620820"/>
    <w:rsid w:val="64681E85"/>
    <w:rsid w:val="65991FF1"/>
    <w:rsid w:val="65EC7B94"/>
    <w:rsid w:val="6619624C"/>
    <w:rsid w:val="66342E08"/>
    <w:rsid w:val="66497A6B"/>
    <w:rsid w:val="666B0070"/>
    <w:rsid w:val="67A32D76"/>
    <w:rsid w:val="67AA3BE1"/>
    <w:rsid w:val="67BF6715"/>
    <w:rsid w:val="67E56BF0"/>
    <w:rsid w:val="68957C01"/>
    <w:rsid w:val="68A01520"/>
    <w:rsid w:val="68C6622F"/>
    <w:rsid w:val="69370731"/>
    <w:rsid w:val="69C04ABB"/>
    <w:rsid w:val="69E17CD8"/>
    <w:rsid w:val="69EB7AC5"/>
    <w:rsid w:val="6ACE4D37"/>
    <w:rsid w:val="6AD94EA8"/>
    <w:rsid w:val="6C1300A2"/>
    <w:rsid w:val="6C2D651B"/>
    <w:rsid w:val="6C43610C"/>
    <w:rsid w:val="6C485EB9"/>
    <w:rsid w:val="6CDE057E"/>
    <w:rsid w:val="6E7C4447"/>
    <w:rsid w:val="6EFC3A3C"/>
    <w:rsid w:val="6F03408E"/>
    <w:rsid w:val="6F227649"/>
    <w:rsid w:val="6F461335"/>
    <w:rsid w:val="70C7777F"/>
    <w:rsid w:val="72476A02"/>
    <w:rsid w:val="72620D8B"/>
    <w:rsid w:val="72AA2887"/>
    <w:rsid w:val="7396760B"/>
    <w:rsid w:val="73BC0182"/>
    <w:rsid w:val="73DC2F75"/>
    <w:rsid w:val="74966354"/>
    <w:rsid w:val="750263A5"/>
    <w:rsid w:val="752F546D"/>
    <w:rsid w:val="756015F8"/>
    <w:rsid w:val="75A67A21"/>
    <w:rsid w:val="75E848BC"/>
    <w:rsid w:val="761F029E"/>
    <w:rsid w:val="762F4253"/>
    <w:rsid w:val="76355280"/>
    <w:rsid w:val="7655794F"/>
    <w:rsid w:val="7753681B"/>
    <w:rsid w:val="775F5B45"/>
    <w:rsid w:val="77667C2A"/>
    <w:rsid w:val="779C4B53"/>
    <w:rsid w:val="77B15C8C"/>
    <w:rsid w:val="77B91A0C"/>
    <w:rsid w:val="78431FAF"/>
    <w:rsid w:val="78823025"/>
    <w:rsid w:val="79153558"/>
    <w:rsid w:val="79421110"/>
    <w:rsid w:val="7A6E4950"/>
    <w:rsid w:val="7B12208E"/>
    <w:rsid w:val="7B2C1F5B"/>
    <w:rsid w:val="7B5A7743"/>
    <w:rsid w:val="7C27553B"/>
    <w:rsid w:val="7C391D27"/>
    <w:rsid w:val="7D312820"/>
    <w:rsid w:val="7DA17EF3"/>
    <w:rsid w:val="7DA85D23"/>
    <w:rsid w:val="7FCC438E"/>
    <w:rsid w:val="7FCE147D"/>
    <w:rsid w:val="7FEB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character" w:customStyle="1" w:styleId="32">
    <w:name w:val="未处理的提及"/>
    <w:unhideWhenUsed/>
    <w:qFormat/>
    <w:uiPriority w:val="99"/>
    <w:rPr>
      <w:color w:val="605E5C"/>
      <w:shd w:val="clear" w:color="auto" w:fill="E1DFDD"/>
    </w:rPr>
  </w:style>
  <w:style w:type="paragraph" w:customStyle="1" w:styleId="33">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36">
    <w:name w:val="Table Paragraph"/>
    <w:basedOn w:val="1"/>
    <w:qFormat/>
    <w:uiPriority w:val="1"/>
    <w:pPr>
      <w:autoSpaceDE w:val="0"/>
      <w:autoSpaceDN w:val="0"/>
      <w:adjustRightInd w:val="0"/>
      <w:jc w:val="left"/>
    </w:pPr>
    <w:rPr>
      <w:kern w:val="0"/>
      <w:sz w:val="24"/>
      <w:szCs w:val="24"/>
    </w:rPr>
  </w:style>
  <w:style w:type="paragraph" w:styleId="37">
    <w:name w:val="List Paragraph"/>
    <w:basedOn w:val="1"/>
    <w:qFormat/>
    <w:uiPriority w:val="72"/>
    <w:pPr>
      <w:ind w:firstLine="420" w:firstLineChars="200"/>
    </w:pPr>
  </w:style>
  <w:style w:type="character" w:customStyle="1" w:styleId="38">
    <w:name w:val="脚注文本 Char"/>
    <w:semiHidden/>
    <w:qFormat/>
    <w:uiPriority w:val="99"/>
    <w:rPr>
      <w:kern w:val="2"/>
      <w:sz w:val="18"/>
      <w:szCs w:val="18"/>
    </w:rPr>
  </w:style>
  <w:style w:type="character" w:customStyle="1" w:styleId="39">
    <w:name w:val="markedcontent"/>
    <w:qFormat/>
    <w:uiPriority w:val="0"/>
  </w:style>
  <w:style w:type="character" w:customStyle="1" w:styleId="40">
    <w:name w:val="fontstyle01"/>
    <w:qFormat/>
    <w:uiPriority w:val="0"/>
    <w:rPr>
      <w:rFonts w:hint="eastAsia" w:ascii="宋体" w:hAnsi="宋体" w:eastAsia="宋体"/>
      <w:color w:val="000000"/>
      <w:sz w:val="22"/>
      <w:szCs w:val="22"/>
    </w:rPr>
  </w:style>
  <w:style w:type="character" w:styleId="41">
    <w:name w:val="Placeholder Text"/>
    <w:basedOn w:val="16"/>
    <w:unhideWhenUsed/>
    <w:qFormat/>
    <w:uiPriority w:val="99"/>
    <w:rPr>
      <w:color w:val="808080"/>
    </w:rPr>
  </w:style>
  <w:style w:type="paragraph" w:customStyle="1" w:styleId="42">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4">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60"/>
    <customShpInfo spid="_x0000_s2059"/>
    <customShpInfo spid="_x0000_s205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C84CD-8877-47DD-8E2C-A441A4C53E4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6234</Words>
  <Characters>35537</Characters>
  <Lines>296</Lines>
  <Paragraphs>83</Paragraphs>
  <TotalTime>20</TotalTime>
  <ScaleCrop>false</ScaleCrop>
  <LinksUpToDate>false</LinksUpToDate>
  <CharactersWithSpaces>41688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刘航宇</cp:lastModifiedBy>
  <cp:lastPrinted>2022-03-04T08:58:00Z</cp:lastPrinted>
  <dcterms:modified xsi:type="dcterms:W3CDTF">2022-12-27T07:23:37Z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A30B4F8233A641D28C6BDF6F2DC6A43F</vt:lpwstr>
  </property>
</Properties>
</file>