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关于代销苏银理财</w:t>
      </w:r>
      <w:r w:rsidR="003A6833">
        <w:rPr>
          <w:rFonts w:ascii="宋体" w:eastAsia="宋体" w:hAnsi="宋体" w:cs="宋体" w:hint="eastAsia"/>
          <w:b/>
          <w:bCs/>
          <w:sz w:val="36"/>
        </w:rPr>
        <w:t>启源融汇现金1号</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Default="0068015B">
      <w:pPr>
        <w:adjustRightInd/>
        <w:snapToGrid/>
        <w:spacing w:after="0"/>
        <w:ind w:firstLine="63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我行代销</w:t>
      </w:r>
      <w:r>
        <w:rPr>
          <w:rFonts w:ascii="仿宋_GB2312" w:eastAsia="仿宋_GB2312" w:hAnsi="微软雅黑" w:cs="宋体" w:hint="eastAsia"/>
          <w:color w:val="FF0000"/>
          <w:sz w:val="32"/>
          <w:szCs w:val="32"/>
        </w:rPr>
        <w:t>苏银理财有限责任公司</w:t>
      </w:r>
      <w:r>
        <w:rPr>
          <w:rFonts w:ascii="仿宋_GB2312" w:eastAsia="仿宋_GB2312" w:hAnsi="微软雅黑" w:cs="宋体" w:hint="eastAsia"/>
          <w:color w:val="000000"/>
          <w:sz w:val="32"/>
          <w:szCs w:val="32"/>
        </w:rPr>
        <w:t>发行的苏银理财</w:t>
      </w:r>
      <w:r w:rsidR="003A6833">
        <w:rPr>
          <w:rFonts w:ascii="仿宋_GB2312" w:eastAsia="仿宋_GB2312" w:hAnsi="微软雅黑" w:cs="宋体" w:hint="eastAsia"/>
          <w:color w:val="000000"/>
          <w:sz w:val="32"/>
          <w:szCs w:val="32"/>
        </w:rPr>
        <w:t>启源融汇现金1号</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sidR="009B3C8E">
        <w:rPr>
          <w:rFonts w:ascii="仿宋_GB2312" w:eastAsia="仿宋_GB2312" w:hAnsi="微软雅黑" w:cs="宋体" w:hint="eastAsia"/>
          <w:sz w:val="32"/>
          <w:szCs w:val="32"/>
        </w:rPr>
        <w:t>2023年3月2日</w:t>
      </w:r>
      <w:r w:rsidR="002C2685">
        <w:rPr>
          <w:rFonts w:ascii="仿宋_GB2312" w:eastAsia="仿宋_GB2312" w:hAnsi="微软雅黑" w:cs="宋体" w:hint="eastAsia"/>
          <w:sz w:val="32"/>
          <w:szCs w:val="32"/>
        </w:rPr>
        <w:t>开始</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目前只</w:t>
      </w:r>
      <w:r w:rsidR="003A6833">
        <w:rPr>
          <w:rFonts w:ascii="仿宋_GB2312" w:eastAsia="仿宋_GB2312" w:hAnsi="微软雅黑" w:cs="宋体" w:hint="eastAsia"/>
          <w:color w:val="000000"/>
          <w:sz w:val="32"/>
          <w:szCs w:val="32"/>
        </w:rPr>
        <w:t>支持</w:t>
      </w:r>
      <w:r w:rsidR="003A6833" w:rsidRPr="00A34D57">
        <w:rPr>
          <w:rFonts w:ascii="仿宋_GB2312" w:eastAsia="仿宋_GB2312" w:hAnsi="微软雅黑" w:cs="宋体" w:hint="eastAsia"/>
          <w:color w:val="FF0000"/>
          <w:sz w:val="32"/>
          <w:szCs w:val="32"/>
        </w:rPr>
        <w:t>对公客户</w:t>
      </w:r>
      <w:r w:rsidR="003A6833">
        <w:rPr>
          <w:rFonts w:ascii="仿宋_GB2312" w:eastAsia="仿宋_GB2312" w:hAnsi="微软雅黑" w:cs="宋体" w:hint="eastAsia"/>
          <w:color w:val="000000"/>
          <w:sz w:val="32"/>
          <w:szCs w:val="32"/>
        </w:rPr>
        <w:t>在</w:t>
      </w:r>
      <w:r w:rsidR="003A6833" w:rsidRPr="00A34D57">
        <w:rPr>
          <w:rFonts w:ascii="仿宋_GB2312" w:eastAsia="仿宋_GB2312" w:hAnsi="微软雅黑" w:cs="宋体" w:hint="eastAsia"/>
          <w:color w:val="FF0000"/>
          <w:sz w:val="32"/>
          <w:szCs w:val="32"/>
        </w:rPr>
        <w:t>柜面</w:t>
      </w:r>
      <w:r w:rsidR="00BA4BCB">
        <w:rPr>
          <w:rFonts w:ascii="仿宋_GB2312" w:eastAsia="仿宋_GB2312" w:hAnsi="微软雅黑" w:cs="宋体" w:hint="eastAsia"/>
          <w:color w:val="000000"/>
          <w:sz w:val="32"/>
          <w:szCs w:val="32"/>
        </w:rPr>
        <w:t>销售</w:t>
      </w:r>
      <w:r w:rsidR="003A6833">
        <w:rPr>
          <w:rFonts w:ascii="仿宋_GB2312" w:eastAsia="仿宋_GB2312" w:hAnsi="微软雅黑" w:cs="宋体" w:hint="eastAsia"/>
          <w:color w:val="000000"/>
          <w:sz w:val="32"/>
          <w:szCs w:val="32"/>
        </w:rPr>
        <w:t>（暂不支持快速赎回）</w:t>
      </w:r>
      <w:r>
        <w:rPr>
          <w:rFonts w:ascii="仿宋_GB2312" w:eastAsia="仿宋_GB2312" w:hAnsi="微软雅黑" w:cs="宋体" w:hint="eastAsia"/>
          <w:color w:val="000000"/>
          <w:sz w:val="32"/>
          <w:szCs w:val="32"/>
        </w:rPr>
        <w:t>。部分要素如下：</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180"/>
        <w:gridCol w:w="6790"/>
      </w:tblGrid>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1"/>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产品名称</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3"/>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苏银理财启源融汇现金1号</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40"/>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理财产品登记编码</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Z7003121000014</w:t>
            </w:r>
          </w:p>
          <w:p w:rsidR="00B31B3A" w:rsidRDefault="00B31B3A" w:rsidP="00B31B3A">
            <w:pPr>
              <w:pStyle w:val="TableParagraph"/>
              <w:kinsoku w:val="0"/>
              <w:overflowPunct w:val="0"/>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（投资者可依据该编码在中国理财网www.chinawealth.com．cn查询产品信息）。</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3"/>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销售简称/销售代码</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苏银理财启源现金1号-F/J02008</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4"/>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产品管理人</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苏银理财有限责任公司</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3"/>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产品托管人</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江苏银行股份有限公司</w:t>
            </w:r>
          </w:p>
        </w:tc>
      </w:tr>
      <w:tr w:rsidR="00B31B3A" w:rsidTr="00B31B3A">
        <w:trPr>
          <w:trHeight w:val="3272"/>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3"/>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产品内部风险评级</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3"/>
              <w:ind w:left="59" w:rightChars="35" w:right="77"/>
              <w:jc w:val="both"/>
              <w:rPr>
                <w:rFonts w:ascii="楷体" w:eastAsia="楷体" w:hAnsi="楷体" w:cs="宋体"/>
                <w:b/>
                <w:spacing w:val="-2"/>
                <w:kern w:val="2"/>
                <w:sz w:val="21"/>
                <w:szCs w:val="21"/>
                <w:u w:val="single"/>
              </w:rPr>
            </w:pPr>
            <w:r>
              <w:rPr>
                <w:rFonts w:ascii="楷体" w:eastAsia="楷体" w:hAnsi="楷体" w:cs="宋体" w:hint="eastAsia"/>
                <w:spacing w:val="-2"/>
                <w:kern w:val="2"/>
                <w:sz w:val="21"/>
                <w:szCs w:val="21"/>
              </w:rPr>
              <w:t>1、★一级，本评级为苏银理财有限责任公司内部评级，由苏银理财根据理财产品的投资组合、同类产品过往业绩和风险状况等因素，对理财产品进行评级，仅供客户参考。</w:t>
            </w:r>
          </w:p>
          <w:p w:rsidR="00B31B3A" w:rsidRDefault="00B31B3A" w:rsidP="00B31B3A">
            <w:pPr>
              <w:pStyle w:val="TableParagraph"/>
              <w:kinsoku w:val="0"/>
              <w:overflowPunct w:val="0"/>
              <w:spacing w:before="13"/>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本产品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rsidR="00B31B3A" w:rsidRDefault="00B31B3A" w:rsidP="00B31B3A">
            <w:pPr>
              <w:pStyle w:val="TableParagraph"/>
              <w:kinsoku w:val="0"/>
              <w:overflowPunct w:val="0"/>
              <w:spacing w:before="13"/>
              <w:ind w:left="115" w:rightChars="55" w:right="121"/>
              <w:jc w:val="both"/>
              <w:rPr>
                <w:rFonts w:ascii="楷体" w:eastAsia="楷体" w:hAnsi="楷体" w:cs="宋体"/>
                <w:b/>
                <w:spacing w:val="-2"/>
                <w:kern w:val="2"/>
                <w:sz w:val="21"/>
                <w:szCs w:val="21"/>
                <w:u w:val="single"/>
              </w:rPr>
            </w:pPr>
            <w:r>
              <w:rPr>
                <w:rFonts w:ascii="楷体" w:eastAsia="楷体" w:hAnsi="楷体" w:cs="宋体" w:hint="eastAsia"/>
                <w:bCs/>
                <w:spacing w:val="-2"/>
                <w:kern w:val="2"/>
                <w:sz w:val="21"/>
                <w:szCs w:val="21"/>
              </w:rPr>
              <w:t>3、</w:t>
            </w:r>
            <w:r>
              <w:rPr>
                <w:rFonts w:ascii="楷体" w:eastAsia="楷体" w:hAnsi="楷体" w:cs="宋体" w:hint="eastAsia"/>
                <w:b/>
                <w:spacing w:val="-2"/>
                <w:kern w:val="2"/>
                <w:sz w:val="21"/>
                <w:szCs w:val="21"/>
                <w:u w:val="single"/>
              </w:rPr>
              <w:t>该产品通过代理销售机构渠道销售的，理财产品评级以代理销售机构最终披露的评级结果为准。</w:t>
            </w:r>
          </w:p>
          <w:p w:rsidR="00AC2AB1" w:rsidRPr="00AC2AB1" w:rsidRDefault="00AC2AB1" w:rsidP="00AC2AB1">
            <w:pPr>
              <w:rPr>
                <w:rFonts w:ascii="仿宋" w:eastAsia="仿宋" w:hAnsi="仿宋"/>
                <w:b/>
                <w:color w:val="FF0000"/>
              </w:rPr>
            </w:pPr>
            <w:r>
              <w:rPr>
                <w:rFonts w:ascii="仿宋" w:eastAsia="仿宋" w:hAnsi="仿宋" w:hint="eastAsia"/>
                <w:b/>
                <w:color w:val="FF0000"/>
              </w:rPr>
              <w:t>紫金农商银行对本产品的风险评级为低风险。</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收益类型</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净值型（非保本浮动收益）</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3"/>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产品类型</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115" w:rightChars="55" w:right="121"/>
              <w:jc w:val="both"/>
              <w:rPr>
                <w:rFonts w:ascii="楷体" w:eastAsia="楷体" w:hAnsi="楷体" w:cs="宋体"/>
                <w:b/>
                <w:spacing w:val="-2"/>
                <w:kern w:val="2"/>
                <w:sz w:val="21"/>
                <w:szCs w:val="21"/>
                <w:u w:val="single"/>
              </w:rPr>
            </w:pPr>
            <w:r>
              <w:rPr>
                <w:rFonts w:ascii="楷体" w:eastAsia="楷体" w:hAnsi="楷体" w:cs="宋体" w:hint="eastAsia"/>
                <w:b/>
                <w:spacing w:val="-2"/>
                <w:kern w:val="2"/>
                <w:sz w:val="21"/>
                <w:szCs w:val="21"/>
                <w:u w:val="single"/>
              </w:rPr>
              <w:t>固定收益类、公募、开放式</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3"/>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销售对象</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苏银理财启源现金1号-F：个人和机构投资者（非江苏银行渠道，具体以“销售机构”公示为准）。</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4"/>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募集币种</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4"/>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人民币</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业绩比较基准（年化）</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pPr>
              <w:pStyle w:val="TableParagraph"/>
              <w:spacing w:before="37" w:line="271" w:lineRule="auto"/>
              <w:ind w:left="103" w:right="103"/>
              <w:rPr>
                <w:rFonts w:ascii="楷体" w:eastAsia="楷体" w:hAnsi="楷体" w:cs="宋体"/>
                <w:spacing w:val="-2"/>
                <w:kern w:val="2"/>
                <w:sz w:val="21"/>
                <w:szCs w:val="21"/>
              </w:rPr>
            </w:pPr>
            <w:r>
              <w:rPr>
                <w:rFonts w:ascii="楷体" w:eastAsia="楷体" w:hAnsi="楷体" w:cs="宋体" w:hint="eastAsia"/>
                <w:spacing w:val="-2"/>
                <w:kern w:val="2"/>
                <w:sz w:val="21"/>
                <w:szCs w:val="21"/>
              </w:rPr>
              <w:t>7天通知存款利率（管理人参考过往投资经验，依据近期货币市场工具、债券等资产投资收益水平，综合考虑各份额收取的销售服务费和投资管理费的情况，在产品说明书约定的投资范围和投资比例内模拟测算得出）。</w:t>
            </w:r>
          </w:p>
          <w:p w:rsidR="00B31B3A" w:rsidRDefault="00B31B3A" w:rsidP="00B31B3A">
            <w:pPr>
              <w:widowControl w:val="0"/>
              <w:ind w:left="115" w:rightChars="55" w:right="121"/>
              <w:jc w:val="both"/>
              <w:rPr>
                <w:rFonts w:ascii="楷体" w:eastAsia="楷体" w:hAnsi="楷体" w:cs="宋体"/>
                <w:b/>
                <w:spacing w:val="-2"/>
                <w:sz w:val="21"/>
                <w:szCs w:val="21"/>
                <w:u w:val="single"/>
              </w:rPr>
            </w:pPr>
            <w:r>
              <w:rPr>
                <w:rFonts w:ascii="楷体" w:eastAsia="楷体" w:hAnsi="楷体" w:cs="宋体" w:hint="eastAsia"/>
                <w:b/>
                <w:spacing w:val="-2"/>
                <w:szCs w:val="21"/>
                <w:u w:val="single"/>
              </w:rPr>
              <w:t>本产品为净值型产品，业绩表现将随市场波动，具有不确定性。业绩比较基准仅作为管理人收取超额业绩报酬的依据，不代表理财产品未来表现，不等于理财产品实际收益，不作为产品收益的业绩保证，投资者的实际收益由产品净值表现决定。产品存续期内管理人有权根据市场情况调整业绩比较基准，如有调整以管理人公告为准。</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计划发行规模</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初始募集规模1亿元，存量规模上限为1650亿元，F份额发行规模上限如</w:t>
            </w:r>
            <w:r>
              <w:rPr>
                <w:rFonts w:ascii="楷体" w:eastAsia="楷体" w:hAnsi="楷体" w:cs="宋体" w:hint="eastAsia"/>
                <w:spacing w:val="-2"/>
                <w:kern w:val="2"/>
                <w:sz w:val="21"/>
                <w:szCs w:val="21"/>
              </w:rPr>
              <w:lastRenderedPageBreak/>
              <w:t>下：</w:t>
            </w:r>
          </w:p>
          <w:p w:rsidR="00B31B3A" w:rsidRDefault="00B31B3A" w:rsidP="00B31B3A">
            <w:pPr>
              <w:pStyle w:val="TableParagraph"/>
              <w:kinsoku w:val="0"/>
              <w:overflowPunct w:val="0"/>
              <w:spacing w:before="12"/>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苏银理财启源现金1号-F：发行规模上限为50亿元。</w:t>
            </w:r>
          </w:p>
          <w:p w:rsidR="00B31B3A" w:rsidRDefault="00B31B3A">
            <w:pPr>
              <w:pStyle w:val="TableParagraph"/>
              <w:rPr>
                <w:rFonts w:ascii="楷体" w:eastAsia="楷体" w:hAnsi="楷体" w:cs="宋体"/>
                <w:spacing w:val="-2"/>
                <w:kern w:val="2"/>
                <w:sz w:val="21"/>
                <w:szCs w:val="21"/>
              </w:rPr>
            </w:pPr>
            <w:r>
              <w:rPr>
                <w:rFonts w:ascii="楷体" w:eastAsia="楷体" w:hAnsi="楷体" w:cs="宋体" w:hint="eastAsia"/>
                <w:spacing w:val="-2"/>
                <w:kern w:val="2"/>
                <w:sz w:val="21"/>
                <w:szCs w:val="21"/>
              </w:rPr>
              <w:t>管理人有权对各款产品发行规模上限根据实际业务需求进行调整。</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认购起点/追加金额</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苏银理财启源现金1号-F：首次认/申购起点金额为0.01元,追加申购金额为0.01元的整数倍。</w:t>
            </w:r>
          </w:p>
          <w:p w:rsidR="00B31B3A" w:rsidRDefault="00B31B3A" w:rsidP="00B31B3A">
            <w:pPr>
              <w:ind w:left="115" w:rightChars="55" w:right="121"/>
              <w:rPr>
                <w:rFonts w:ascii="楷体" w:eastAsia="楷体" w:hAnsi="楷体" w:cs="宋体"/>
                <w:spacing w:val="-2"/>
                <w:kern w:val="2"/>
                <w:sz w:val="21"/>
                <w:szCs w:val="21"/>
              </w:rPr>
            </w:pPr>
            <w:r>
              <w:rPr>
                <w:rFonts w:ascii="楷体" w:eastAsia="楷体" w:hAnsi="楷体" w:cs="宋体" w:hint="eastAsia"/>
                <w:spacing w:val="-2"/>
                <w:szCs w:val="21"/>
              </w:rPr>
              <w:t>苏银理财有权对上述起点金额和递增金额进行调整，并在调整前进行公告。</w:t>
            </w:r>
          </w:p>
          <w:p w:rsidR="00B31B3A" w:rsidRDefault="00B31B3A" w:rsidP="00B31B3A">
            <w:pPr>
              <w:widowControl w:val="0"/>
              <w:ind w:left="115" w:rightChars="55" w:right="121"/>
              <w:jc w:val="both"/>
              <w:rPr>
                <w:rFonts w:ascii="楷体" w:eastAsia="楷体" w:hAnsi="楷体" w:cs="宋体"/>
                <w:spacing w:val="-2"/>
                <w:kern w:val="2"/>
                <w:sz w:val="21"/>
                <w:szCs w:val="21"/>
              </w:rPr>
            </w:pPr>
            <w:r>
              <w:rPr>
                <w:rFonts w:ascii="楷体" w:eastAsia="楷体" w:hAnsi="楷体" w:hint="eastAsia"/>
                <w:szCs w:val="21"/>
              </w:rPr>
              <w:t>认购资金的清算和认购份额的计算详见</w:t>
            </w:r>
            <w:r w:rsidR="00AC2AB1">
              <w:rPr>
                <w:rFonts w:ascii="楷体" w:eastAsia="楷体" w:hAnsi="楷体" w:hint="eastAsia"/>
                <w:szCs w:val="21"/>
              </w:rPr>
              <w:t>产品说明书</w:t>
            </w:r>
            <w:r>
              <w:rPr>
                <w:rFonts w:ascii="楷体" w:eastAsia="楷体" w:hAnsi="楷体" w:hint="eastAsia"/>
                <w:szCs w:val="21"/>
              </w:rPr>
              <w:t>“八、产品认购”。</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3"/>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单一投资者单日累计认/申购上限</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115" w:rightChars="55" w:right="121"/>
              <w:jc w:val="both"/>
              <w:rPr>
                <w:rFonts w:ascii="楷体" w:eastAsia="楷体" w:hAnsi="楷体" w:cs="宋体"/>
                <w:b/>
                <w:spacing w:val="-2"/>
                <w:kern w:val="2"/>
                <w:sz w:val="21"/>
                <w:szCs w:val="21"/>
                <w:u w:val="single"/>
              </w:rPr>
            </w:pPr>
            <w:r>
              <w:rPr>
                <w:rFonts w:ascii="楷体" w:eastAsia="楷体" w:hAnsi="楷体" w:cs="宋体" w:hint="eastAsia"/>
                <w:spacing w:val="-2"/>
                <w:kern w:val="2"/>
                <w:sz w:val="21"/>
                <w:szCs w:val="21"/>
              </w:rPr>
              <w:t>各款产品单一投资者单日累计认/申购上限5000万元，超过单日累计认/申购上限时，管理人和销售机构有权拒绝投资者的认/申购申请。产品存续期内管理人和销售机构有权根据实际情况调整单日累计认/申购上限。</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3"/>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单一投资者持有上限</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苏银理财启源现金1号-F：1亿元。</w:t>
            </w:r>
          </w:p>
          <w:p w:rsidR="00B31B3A" w:rsidRDefault="00B31B3A" w:rsidP="00B31B3A">
            <w:pPr>
              <w:pStyle w:val="TableParagraph"/>
              <w:kinsoku w:val="0"/>
              <w:overflowPunct w:val="0"/>
              <w:spacing w:before="12"/>
              <w:ind w:left="115" w:rightChars="55" w:right="121"/>
              <w:jc w:val="both"/>
              <w:rPr>
                <w:rFonts w:ascii="楷体" w:eastAsia="楷体" w:hAnsi="楷体" w:cs="宋体"/>
                <w:b/>
                <w:spacing w:val="-2"/>
                <w:kern w:val="2"/>
                <w:sz w:val="21"/>
                <w:szCs w:val="21"/>
                <w:u w:val="single"/>
              </w:rPr>
            </w:pPr>
            <w:r>
              <w:rPr>
                <w:rFonts w:ascii="楷体" w:eastAsia="楷体" w:hAnsi="楷体" w:cs="宋体" w:hint="eastAsia"/>
                <w:spacing w:val="-2"/>
                <w:kern w:val="2"/>
                <w:sz w:val="21"/>
                <w:szCs w:val="21"/>
              </w:rPr>
              <w:t>产品存续期内管理人和销售机构有权根据实际情况调整单一投资者持有上限。</w:t>
            </w:r>
          </w:p>
          <w:p w:rsidR="00B31B3A" w:rsidRDefault="00B31B3A" w:rsidP="00B31B3A">
            <w:pPr>
              <w:pStyle w:val="TableParagraph"/>
              <w:kinsoku w:val="0"/>
              <w:overflowPunct w:val="0"/>
              <w:spacing w:before="12"/>
              <w:ind w:left="115" w:rightChars="55" w:right="121"/>
              <w:jc w:val="both"/>
              <w:rPr>
                <w:rFonts w:ascii="楷体" w:eastAsia="楷体" w:hAnsi="楷体" w:cs="宋体"/>
                <w:spacing w:val="-2"/>
                <w:kern w:val="2"/>
                <w:sz w:val="21"/>
                <w:szCs w:val="21"/>
              </w:rPr>
            </w:pPr>
            <w:r>
              <w:rPr>
                <w:rFonts w:ascii="楷体" w:eastAsia="楷体" w:hAnsi="楷体" w:cs="宋体" w:hint="eastAsia"/>
                <w:b/>
                <w:spacing w:val="-2"/>
                <w:kern w:val="2"/>
                <w:sz w:val="21"/>
                <w:szCs w:val="21"/>
                <w:u w:val="single"/>
              </w:rPr>
              <w:t>本理财产品不允许单一投资者持有份额超过本理财产品总份额的50%</w:t>
            </w:r>
            <w:r>
              <w:rPr>
                <w:rFonts w:ascii="楷体" w:eastAsia="楷体" w:hAnsi="楷体" w:cs="宋体" w:hint="eastAsia"/>
                <w:spacing w:val="-2"/>
                <w:kern w:val="2"/>
                <w:sz w:val="21"/>
                <w:szCs w:val="21"/>
              </w:rPr>
              <w:t>，对于因理财产品销售募集情况、理财产品规模变化等非因管理人主观因素导致单一投资者持有理财产品份额的比例达到或超过50%的，管理人有权采取控制措施，包括但不限于暂停接受该投资者的认/申购申请、对持有理财产品份额的比例达到或超过50%的单一投资者采取比例确认等方式进行认/申购申请限制等。</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3"/>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份额面值</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1元/份</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3"/>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认购期</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2018年8月27日9:00至2018年8月29日17:00</w:t>
            </w:r>
          </w:p>
          <w:p w:rsidR="00B31B3A" w:rsidRDefault="00B31B3A" w:rsidP="00B31B3A">
            <w:pPr>
              <w:pStyle w:val="TableParagraph"/>
              <w:kinsoku w:val="0"/>
              <w:overflowPunct w:val="0"/>
              <w:spacing w:before="12"/>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管理人在法律允许的范围内保留延长或提前终止产品认购期的权利。如有变动，实际产品认购期以管理人公告为准。</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产品成立日/份额登记日</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2018年8月30日</w:t>
            </w:r>
          </w:p>
          <w:p w:rsidR="00B31B3A" w:rsidRDefault="00B31B3A" w:rsidP="00B31B3A">
            <w:pPr>
              <w:pStyle w:val="TableParagraph"/>
              <w:kinsoku w:val="0"/>
              <w:overflowPunct w:val="0"/>
              <w:spacing w:before="12"/>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若产品认购份额未达到最低发行总规模，或新的法律、法规导致本产品无法合法合规运行，或出现其他导致影响产品成立不可抗力因素，产品管理人有权利但无义务宣布产品不成立，并于产品认购期结束后5个工作日内将投资者认购资金返还至投资者资金账户，在途期间投资者投资本金不计息。</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产品到期日</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2041年3月8日（如遇节假日，顺延至下一工作日）</w:t>
            </w:r>
          </w:p>
          <w:p w:rsidR="00B31B3A" w:rsidRDefault="00B31B3A" w:rsidP="00B31B3A">
            <w:pPr>
              <w:pStyle w:val="TableParagraph"/>
              <w:kinsoku w:val="0"/>
              <w:overflowPunct w:val="0"/>
              <w:spacing w:before="12"/>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在符合本理财产品说明书约定的条件下，管理人有权提前终止该产品，产品到期日受制于提前终止条款。详见</w:t>
            </w:r>
            <w:r w:rsidR="00AC2AB1">
              <w:rPr>
                <w:rFonts w:ascii="楷体" w:eastAsia="楷体" w:hAnsi="楷体" w:cs="宋体" w:hint="eastAsia"/>
                <w:spacing w:val="-2"/>
                <w:kern w:val="2"/>
                <w:sz w:val="21"/>
                <w:szCs w:val="21"/>
              </w:rPr>
              <w:t>产品说明书</w:t>
            </w:r>
            <w:r>
              <w:rPr>
                <w:rFonts w:ascii="楷体" w:eastAsia="楷体" w:hAnsi="楷体" w:cs="宋体" w:hint="eastAsia"/>
                <w:spacing w:val="-2"/>
                <w:kern w:val="2"/>
                <w:sz w:val="21"/>
                <w:szCs w:val="21"/>
              </w:rPr>
              <w:t>“十三、产品的终止与清算”。</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4"/>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封闭期</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本产品募集结束后封闭运作两周（2018年8月30日至2018年9月12日），自2018年9月13日起开放申购/赎回。</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4"/>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开放日</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115" w:rightChars="55" w:right="121"/>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本理财产品存续期间，每个工作日为开放日（T日），管理人仅在工作日对投资者的申购、赎回申请进行确认。管理人有权根据资产运作情况、节假日安排调整开放日，并在调整前进行公告。</w:t>
            </w:r>
          </w:p>
        </w:tc>
      </w:tr>
      <w:tr w:rsidR="00B31B3A" w:rsidTr="00B31B3A">
        <w:trPr>
          <w:trHeight w:val="56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8"/>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申购/赎回</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widowControl w:val="0"/>
              <w:ind w:left="115" w:rightChars="55" w:right="121"/>
              <w:jc w:val="both"/>
              <w:rPr>
                <w:rFonts w:ascii="楷体" w:eastAsia="楷体" w:hAnsi="楷体" w:cs="宋体"/>
                <w:spacing w:val="-2"/>
                <w:kern w:val="2"/>
                <w:sz w:val="21"/>
                <w:szCs w:val="21"/>
              </w:rPr>
            </w:pPr>
            <w:r>
              <w:rPr>
                <w:rFonts w:ascii="楷体" w:eastAsia="楷体" w:hAnsi="楷体" w:cs="宋体" w:hint="eastAsia"/>
                <w:b/>
                <w:bCs/>
                <w:spacing w:val="-2"/>
                <w:szCs w:val="21"/>
                <w:u w:val="single"/>
              </w:rPr>
              <w:t>每日0：00-24:00开放申购/赎回，系统清算时间除外。</w:t>
            </w:r>
            <w:r>
              <w:rPr>
                <w:rFonts w:ascii="楷体" w:eastAsia="楷体" w:hAnsi="楷体" w:cs="宋体" w:hint="eastAsia"/>
                <w:spacing w:val="-2"/>
                <w:szCs w:val="21"/>
              </w:rPr>
              <w:t>申购/赎回确认规则详见</w:t>
            </w:r>
            <w:r w:rsidR="00AC2AB1">
              <w:rPr>
                <w:rFonts w:ascii="楷体" w:eastAsia="楷体" w:hAnsi="楷体" w:cs="宋体" w:hint="eastAsia"/>
                <w:spacing w:val="-2"/>
                <w:szCs w:val="21"/>
              </w:rPr>
              <w:t>产品说明书</w:t>
            </w:r>
            <w:r>
              <w:rPr>
                <w:rFonts w:ascii="楷体" w:eastAsia="楷体" w:hAnsi="楷体" w:cs="宋体" w:hint="eastAsia"/>
                <w:spacing w:val="-2"/>
                <w:szCs w:val="21"/>
              </w:rPr>
              <w:t>“九、产品申购、赎回”。</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8"/>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巨额申购</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2"/>
              <w:ind w:leftChars="98" w:left="216" w:rightChars="55" w:right="121"/>
              <w:rPr>
                <w:rFonts w:ascii="楷体" w:eastAsia="楷体" w:hAnsi="楷体" w:cs="宋体"/>
                <w:bCs/>
                <w:spacing w:val="-2"/>
                <w:kern w:val="2"/>
                <w:szCs w:val="21"/>
              </w:rPr>
            </w:pPr>
            <w:r>
              <w:rPr>
                <w:rFonts w:ascii="楷体" w:eastAsia="楷体" w:hAnsi="楷体" w:cs="宋体" w:hint="eastAsia"/>
                <w:spacing w:val="-2"/>
                <w:kern w:val="2"/>
                <w:sz w:val="21"/>
                <w:szCs w:val="21"/>
              </w:rPr>
              <w:t>产品单个开放日净申购申请折算产品份额超过上一日产品总份额20%时，即认为发生了巨额申购。当出现巨额申购时，产品管理人有权拒绝客户的全部或部分申购申请。</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8"/>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巨额赎回</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ind w:left="115" w:rightChars="55" w:right="121"/>
              <w:rPr>
                <w:rFonts w:ascii="楷体" w:eastAsia="楷体" w:hAnsi="楷体" w:cs="宋体"/>
                <w:spacing w:val="-2"/>
                <w:szCs w:val="21"/>
              </w:rPr>
            </w:pPr>
            <w:r>
              <w:rPr>
                <w:rFonts w:ascii="楷体" w:eastAsia="楷体" w:hAnsi="楷体" w:cs="宋体" w:hint="eastAsia"/>
                <w:spacing w:val="-2"/>
                <w:szCs w:val="21"/>
              </w:rPr>
              <w:t>本产品每个开放日投资者净赎回额（赎回申请份额总数扣除申购申请份额总数）超过本产品上一工作日日终份额10%时，即为发生巨额赎回。</w:t>
            </w:r>
          </w:p>
          <w:p w:rsidR="00B31B3A" w:rsidRDefault="00B31B3A" w:rsidP="00B31B3A">
            <w:pPr>
              <w:widowControl w:val="0"/>
              <w:ind w:left="115" w:rightChars="55" w:right="121"/>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发生巨额赎回时，当日办理的赎回份额不得低于前一日终理财产品总份额的10%，对其余赎回申请管理人有权选择全额赎回、部分赎回或延缓支付赎回款项。对该产品单个份额持有人的赎回申请，按照其申请占当日申请赎回总份额的比例，确定该份额持有人当日办理的赎回份额。对于该开放日内净赎回额超过本产品上一工作日日终份额10%时，管理人有权拒绝超过10%以上部分的赎回申请，这可能影响投资者的资金安排。</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8"/>
              <w:ind w:left="83" w:rightChars="31" w:right="68"/>
              <w:jc w:val="both"/>
              <w:rPr>
                <w:rFonts w:ascii="楷体" w:eastAsia="楷体" w:hAnsi="楷体" w:cs="宋体"/>
                <w:spacing w:val="-2"/>
                <w:kern w:val="2"/>
                <w:sz w:val="21"/>
                <w:szCs w:val="21"/>
              </w:rPr>
            </w:pPr>
            <w:r>
              <w:rPr>
                <w:rFonts w:ascii="楷体" w:eastAsia="楷体" w:hAnsi="楷体" w:cs="宋体" w:hint="eastAsia"/>
                <w:b/>
                <w:spacing w:val="-2"/>
                <w:kern w:val="2"/>
                <w:sz w:val="21"/>
                <w:szCs w:val="21"/>
              </w:rPr>
              <w:t>产品费用</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ind w:left="115" w:rightChars="55" w:right="121"/>
              <w:rPr>
                <w:rFonts w:ascii="楷体" w:eastAsia="楷体" w:hAnsi="楷体" w:cs="宋体"/>
                <w:spacing w:val="-2"/>
                <w:szCs w:val="21"/>
              </w:rPr>
            </w:pPr>
            <w:r>
              <w:rPr>
                <w:rFonts w:ascii="楷体" w:eastAsia="楷体" w:hAnsi="楷体" w:cs="宋体" w:hint="eastAsia"/>
                <w:spacing w:val="-2"/>
                <w:szCs w:val="21"/>
              </w:rPr>
              <w:t>本产品费用包括托管费、销售服务费、投资管理费以及产品运作和清算中产生的其他费用等。</w:t>
            </w:r>
          </w:p>
          <w:p w:rsidR="00B31B3A" w:rsidRDefault="00B31B3A" w:rsidP="00B31B3A">
            <w:pPr>
              <w:ind w:left="115" w:rightChars="55" w:right="121"/>
              <w:rPr>
                <w:rFonts w:ascii="楷体" w:eastAsia="楷体" w:hAnsi="楷体" w:cs="宋体"/>
                <w:spacing w:val="-2"/>
                <w:szCs w:val="21"/>
              </w:rPr>
            </w:pPr>
            <w:r>
              <w:rPr>
                <w:rFonts w:ascii="楷体" w:eastAsia="楷体" w:hAnsi="楷体" w:cs="宋体" w:hint="eastAsia"/>
                <w:spacing w:val="-2"/>
                <w:szCs w:val="21"/>
              </w:rPr>
              <w:t>1．托管费率：0.02%/年；</w:t>
            </w:r>
          </w:p>
          <w:p w:rsidR="00B31B3A" w:rsidRDefault="00B31B3A" w:rsidP="00B31B3A">
            <w:pPr>
              <w:ind w:left="115" w:rightChars="55" w:right="121"/>
              <w:rPr>
                <w:rFonts w:ascii="楷体" w:eastAsia="楷体" w:hAnsi="楷体" w:cs="宋体"/>
                <w:spacing w:val="-2"/>
                <w:szCs w:val="21"/>
              </w:rPr>
            </w:pPr>
            <w:r>
              <w:rPr>
                <w:rFonts w:ascii="楷体" w:eastAsia="楷体" w:hAnsi="楷体" w:cs="宋体" w:hint="eastAsia"/>
                <w:spacing w:val="-2"/>
                <w:szCs w:val="21"/>
              </w:rPr>
              <w:t>2．销售服务费率：0.20%/年；</w:t>
            </w:r>
          </w:p>
          <w:p w:rsidR="00B31B3A" w:rsidRDefault="00B31B3A" w:rsidP="00B31B3A">
            <w:pPr>
              <w:ind w:left="115" w:rightChars="55" w:right="121"/>
              <w:rPr>
                <w:rFonts w:ascii="楷体" w:eastAsia="楷体" w:hAnsi="楷体" w:cs="宋体"/>
                <w:spacing w:val="-2"/>
                <w:szCs w:val="21"/>
              </w:rPr>
            </w:pPr>
            <w:r>
              <w:rPr>
                <w:rFonts w:ascii="楷体" w:eastAsia="楷体" w:hAnsi="楷体" w:cs="宋体" w:hint="eastAsia"/>
                <w:spacing w:val="-2"/>
                <w:szCs w:val="21"/>
              </w:rPr>
              <w:t>3．投资管理费：启源现金1号-F份额0.50%/年;</w:t>
            </w:r>
          </w:p>
          <w:p w:rsidR="00B31B3A" w:rsidRDefault="00B31B3A" w:rsidP="00B31B3A">
            <w:pPr>
              <w:ind w:left="115" w:rightChars="55" w:right="121"/>
              <w:rPr>
                <w:rFonts w:ascii="楷体" w:eastAsia="楷体" w:hAnsi="楷体" w:cs="宋体"/>
                <w:spacing w:val="-2"/>
                <w:szCs w:val="21"/>
              </w:rPr>
            </w:pPr>
            <w:r>
              <w:rPr>
                <w:rFonts w:ascii="楷体" w:eastAsia="楷体" w:hAnsi="楷体" w:cs="宋体" w:hint="eastAsia"/>
                <w:b/>
                <w:bCs/>
                <w:spacing w:val="-2"/>
                <w:szCs w:val="21"/>
                <w:u w:val="single"/>
              </w:rPr>
              <w:t>4</w:t>
            </w:r>
            <w:r>
              <w:rPr>
                <w:rFonts w:ascii="楷体" w:eastAsia="楷体" w:hAnsi="楷体" w:cs="宋体" w:hint="eastAsia"/>
                <w:b/>
                <w:spacing w:val="-2"/>
                <w:szCs w:val="21"/>
                <w:u w:val="single"/>
              </w:rPr>
              <w:t>.强制赎回费</w:t>
            </w:r>
            <w:r>
              <w:rPr>
                <w:rFonts w:ascii="楷体" w:eastAsia="楷体" w:hAnsi="楷体" w:cs="宋体" w:hint="eastAsia"/>
                <w:spacing w:val="-2"/>
                <w:szCs w:val="21"/>
              </w:rPr>
              <w:t>：</w:t>
            </w:r>
          </w:p>
          <w:p w:rsidR="00B31B3A" w:rsidRDefault="00B31B3A" w:rsidP="00B31B3A">
            <w:pPr>
              <w:ind w:left="115" w:rightChars="55" w:right="121"/>
              <w:rPr>
                <w:rFonts w:ascii="楷体" w:eastAsia="楷体" w:hAnsi="楷体" w:cs="宋体"/>
                <w:spacing w:val="-2"/>
                <w:szCs w:val="21"/>
              </w:rPr>
            </w:pPr>
            <w:r>
              <w:rPr>
                <w:rFonts w:ascii="楷体" w:eastAsia="楷体" w:hAnsi="楷体" w:cs="宋体" w:hint="eastAsia"/>
                <w:spacing w:val="-2"/>
                <w:szCs w:val="21"/>
              </w:rPr>
              <w:t>（1）</w:t>
            </w:r>
            <w:r>
              <w:rPr>
                <w:rFonts w:ascii="楷体" w:eastAsia="楷体" w:hAnsi="楷体" w:cs="宋体" w:hint="eastAsia"/>
                <w:b/>
                <w:spacing w:val="-2"/>
                <w:szCs w:val="21"/>
                <w:u w:val="single"/>
              </w:rPr>
              <w:t>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w:t>
            </w:r>
            <w:r>
              <w:rPr>
                <w:rFonts w:ascii="楷体" w:eastAsia="楷体" w:hAnsi="楷体" w:cs="宋体" w:hint="eastAsia"/>
                <w:spacing w:val="-2"/>
                <w:szCs w:val="21"/>
              </w:rPr>
              <w:t>管理人与托管人协商确认上述做法无益于本产品利益最大化的情形除外。</w:t>
            </w:r>
          </w:p>
          <w:p w:rsidR="00B31B3A" w:rsidRDefault="00B31B3A" w:rsidP="00B31B3A">
            <w:pPr>
              <w:ind w:left="115" w:rightChars="55" w:right="121"/>
              <w:rPr>
                <w:rFonts w:ascii="楷体" w:eastAsia="楷体" w:hAnsi="楷体" w:cs="宋体"/>
                <w:spacing w:val="-2"/>
                <w:szCs w:val="21"/>
              </w:rPr>
            </w:pPr>
            <w:r>
              <w:rPr>
                <w:rFonts w:ascii="楷体" w:eastAsia="楷体" w:hAnsi="楷体" w:cs="宋体" w:hint="eastAsia"/>
                <w:spacing w:val="-2"/>
                <w:szCs w:val="21"/>
              </w:rPr>
              <w:t>（2）本产品前10名投资者的持有份额合计超过本产品总份额50%的，当投资组合中现金、国债、中央银行票据、政策性金融债券以及5个交易日内到期的其他金融工具占本产品资产净值的比例合计低于10%且偏离度为负时，</w:t>
            </w:r>
            <w:r>
              <w:rPr>
                <w:rFonts w:ascii="楷体" w:eastAsia="楷体" w:hAnsi="楷体" w:cs="宋体" w:hint="eastAsia"/>
                <w:b/>
                <w:spacing w:val="-2"/>
                <w:szCs w:val="21"/>
                <w:u w:val="single"/>
              </w:rPr>
              <w:t>管理人有权对投资者超过本产品总份额1%以上的赎回申请征收1%的强制赎回费用。</w:t>
            </w:r>
          </w:p>
          <w:p w:rsidR="00B31B3A" w:rsidRDefault="00B31B3A" w:rsidP="00B31B3A">
            <w:pPr>
              <w:widowControl w:val="0"/>
              <w:ind w:rightChars="55" w:right="121"/>
              <w:jc w:val="both"/>
              <w:rPr>
                <w:rFonts w:ascii="楷体" w:eastAsia="楷体" w:hAnsi="楷体" w:cs="宋体"/>
                <w:spacing w:val="-2"/>
                <w:kern w:val="2"/>
                <w:sz w:val="21"/>
                <w:szCs w:val="21"/>
              </w:rPr>
            </w:pPr>
            <w:r>
              <w:rPr>
                <w:rFonts w:ascii="楷体" w:eastAsia="楷体" w:hAnsi="楷体" w:cs="宋体" w:hint="eastAsia"/>
                <w:spacing w:val="-2"/>
                <w:szCs w:val="21"/>
              </w:rPr>
              <w:t>法律法规或监管机构另有规定的，从其规定。产品存续期内苏银理财可对产品费用施行优惠，实际收取标准以管理人公告为准。详见</w:t>
            </w:r>
            <w:r w:rsidR="00AC2AB1">
              <w:rPr>
                <w:rFonts w:ascii="楷体" w:eastAsia="楷体" w:hAnsi="楷体" w:cs="宋体" w:hint="eastAsia"/>
                <w:spacing w:val="-2"/>
                <w:szCs w:val="21"/>
              </w:rPr>
              <w:t>产品说明书</w:t>
            </w:r>
            <w:r>
              <w:rPr>
                <w:rFonts w:ascii="楷体" w:eastAsia="楷体" w:hAnsi="楷体" w:cs="宋体" w:hint="eastAsia"/>
                <w:spacing w:val="-2"/>
                <w:szCs w:val="21"/>
              </w:rPr>
              <w:t>“十一、产品费用”。</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8"/>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估值日</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widowControl w:val="0"/>
              <w:ind w:left="115" w:rightChars="55" w:right="121"/>
              <w:jc w:val="both"/>
              <w:rPr>
                <w:rFonts w:ascii="楷体" w:eastAsia="楷体" w:hAnsi="楷体" w:cs="宋体"/>
                <w:spacing w:val="-2"/>
                <w:kern w:val="2"/>
                <w:sz w:val="21"/>
                <w:szCs w:val="21"/>
              </w:rPr>
            </w:pPr>
            <w:r>
              <w:rPr>
                <w:rFonts w:ascii="楷体" w:eastAsia="楷体" w:hAnsi="楷体" w:cs="宋体" w:hint="eastAsia"/>
                <w:spacing w:val="-2"/>
                <w:szCs w:val="21"/>
              </w:rPr>
              <w:t>本理财产品存续期内，每个工作日为估值日。管理人于估值日后第一个工作日公布理财产品份额收益率。详见</w:t>
            </w:r>
            <w:r w:rsidR="00AC2AB1">
              <w:rPr>
                <w:rFonts w:ascii="楷体" w:eastAsia="楷体" w:hAnsi="楷体" w:cs="宋体" w:hint="eastAsia"/>
                <w:spacing w:val="-2"/>
                <w:szCs w:val="21"/>
              </w:rPr>
              <w:t>产品说明书</w:t>
            </w:r>
            <w:r>
              <w:rPr>
                <w:rFonts w:ascii="楷体" w:eastAsia="楷体" w:hAnsi="楷体" w:cs="宋体" w:hint="eastAsia"/>
                <w:spacing w:val="-2"/>
                <w:szCs w:val="21"/>
              </w:rPr>
              <w:t>“十二、产品估值”。</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8"/>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收益分配</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ind w:left="115" w:rightChars="55" w:right="121"/>
              <w:rPr>
                <w:rFonts w:ascii="楷体" w:eastAsia="楷体" w:hAnsi="楷体" w:cs="宋体"/>
                <w:spacing w:val="-2"/>
                <w:szCs w:val="21"/>
              </w:rPr>
            </w:pPr>
            <w:r>
              <w:rPr>
                <w:rFonts w:ascii="楷体" w:eastAsia="楷体" w:hAnsi="楷体" w:cs="宋体" w:hint="eastAsia"/>
                <w:spacing w:val="-2"/>
                <w:szCs w:val="21"/>
              </w:rPr>
              <w:t>本理财产品根据每日收益情况，以理财计划实际收益（如有）为基准，每日为投资者计提当日理财收益，每日结转份额，投资者继续持有的红利份额可参与后续理财产品投资收益分配。</w:t>
            </w:r>
          </w:p>
          <w:p w:rsidR="00B31B3A" w:rsidRDefault="00B31B3A" w:rsidP="00B31B3A">
            <w:pPr>
              <w:widowControl w:val="0"/>
              <w:ind w:left="115" w:rightChars="55" w:right="121"/>
              <w:jc w:val="both"/>
              <w:rPr>
                <w:rFonts w:ascii="楷体" w:eastAsia="楷体" w:hAnsi="楷体" w:cs="宋体"/>
                <w:spacing w:val="-2"/>
                <w:kern w:val="2"/>
                <w:sz w:val="21"/>
                <w:szCs w:val="21"/>
              </w:rPr>
            </w:pPr>
            <w:r>
              <w:rPr>
                <w:rFonts w:ascii="楷体" w:eastAsia="楷体" w:hAnsi="楷体" w:cs="宋体" w:hint="eastAsia"/>
                <w:spacing w:val="-2"/>
                <w:szCs w:val="21"/>
              </w:rPr>
              <w:t>详见</w:t>
            </w:r>
            <w:r w:rsidR="00AC2AB1">
              <w:rPr>
                <w:rFonts w:ascii="楷体" w:eastAsia="楷体" w:hAnsi="楷体" w:cs="宋体" w:hint="eastAsia"/>
                <w:spacing w:val="-2"/>
                <w:szCs w:val="21"/>
              </w:rPr>
              <w:t>产品说明书</w:t>
            </w:r>
            <w:r>
              <w:rPr>
                <w:rFonts w:ascii="楷体" w:eastAsia="楷体" w:hAnsi="楷体" w:cs="宋体" w:hint="eastAsia"/>
                <w:spacing w:val="-2"/>
                <w:szCs w:val="21"/>
              </w:rPr>
              <w:t>“十、收益分配”。</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8"/>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信息披露</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widowControl w:val="0"/>
              <w:ind w:left="115" w:rightChars="55" w:right="121"/>
              <w:jc w:val="both"/>
              <w:rPr>
                <w:rFonts w:ascii="楷体" w:eastAsia="楷体" w:hAnsi="楷体" w:cs="宋体"/>
                <w:spacing w:val="-2"/>
                <w:kern w:val="2"/>
                <w:sz w:val="21"/>
                <w:szCs w:val="21"/>
              </w:rPr>
            </w:pPr>
            <w:r>
              <w:rPr>
                <w:rFonts w:ascii="楷体" w:eastAsia="楷体" w:hAnsi="楷体" w:cs="宋体" w:hint="eastAsia"/>
                <w:spacing w:val="-2"/>
                <w:szCs w:val="21"/>
              </w:rPr>
              <w:t>管理人将按照《理财产品说明书》中约定的方式进行信息披露，详见</w:t>
            </w:r>
            <w:r w:rsidR="00AC2AB1">
              <w:rPr>
                <w:rFonts w:ascii="楷体" w:eastAsia="楷体" w:hAnsi="楷体" w:cs="宋体" w:hint="eastAsia"/>
                <w:spacing w:val="-2"/>
                <w:szCs w:val="21"/>
              </w:rPr>
              <w:lastRenderedPageBreak/>
              <w:t>产品说明书</w:t>
            </w:r>
            <w:r>
              <w:rPr>
                <w:rFonts w:ascii="楷体" w:eastAsia="楷体" w:hAnsi="楷体" w:cs="宋体" w:hint="eastAsia"/>
                <w:spacing w:val="-2"/>
                <w:szCs w:val="21"/>
              </w:rPr>
              <w:t>“十六、信息披露”。</w:t>
            </w:r>
          </w:p>
        </w:tc>
      </w:tr>
      <w:tr w:rsidR="00B31B3A" w:rsidTr="00B31B3A">
        <w:trPr>
          <w:trHeight w:val="397"/>
          <w:jc w:val="center"/>
        </w:trPr>
        <w:tc>
          <w:tcPr>
            <w:tcW w:w="218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pStyle w:val="TableParagraph"/>
              <w:kinsoku w:val="0"/>
              <w:overflowPunct w:val="0"/>
              <w:spacing w:before="18"/>
              <w:ind w:left="83" w:rightChars="31" w:right="68"/>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税款</w:t>
            </w:r>
          </w:p>
        </w:tc>
        <w:tc>
          <w:tcPr>
            <w:tcW w:w="6790" w:type="dxa"/>
            <w:tcBorders>
              <w:top w:val="single" w:sz="4" w:space="0" w:color="auto"/>
              <w:left w:val="single" w:sz="4" w:space="0" w:color="auto"/>
              <w:bottom w:val="single" w:sz="4" w:space="0" w:color="auto"/>
              <w:right w:val="single" w:sz="4" w:space="0" w:color="auto"/>
            </w:tcBorders>
            <w:vAlign w:val="center"/>
            <w:hideMark/>
          </w:tcPr>
          <w:p w:rsidR="00B31B3A" w:rsidRDefault="00B31B3A" w:rsidP="00B31B3A">
            <w:pPr>
              <w:widowControl w:val="0"/>
              <w:ind w:left="115" w:rightChars="55" w:right="121"/>
              <w:jc w:val="both"/>
              <w:rPr>
                <w:rFonts w:ascii="楷体" w:eastAsia="楷体" w:hAnsi="楷体" w:cs="宋体"/>
                <w:spacing w:val="-2"/>
                <w:kern w:val="2"/>
                <w:sz w:val="21"/>
                <w:szCs w:val="21"/>
              </w:rPr>
            </w:pPr>
            <w:r>
              <w:rPr>
                <w:rFonts w:ascii="楷体" w:eastAsia="楷体" w:hAnsi="楷体" w:cs="宋体" w:hint="eastAsia"/>
                <w:spacing w:val="-2"/>
                <w:szCs w:val="21"/>
              </w:rPr>
              <w:t>本产品运作过程中涉及的各纳税主体，其纳税义务按国家税收法律、法规执行。详见</w:t>
            </w:r>
            <w:r w:rsidR="00AC2AB1">
              <w:rPr>
                <w:rFonts w:ascii="楷体" w:eastAsia="楷体" w:hAnsi="楷体" w:cs="宋体" w:hint="eastAsia"/>
                <w:spacing w:val="-2"/>
                <w:szCs w:val="21"/>
              </w:rPr>
              <w:t>产品说明书</w:t>
            </w:r>
            <w:r>
              <w:rPr>
                <w:rFonts w:ascii="楷体" w:eastAsia="楷体" w:hAnsi="楷体" w:cs="宋体" w:hint="eastAsia"/>
                <w:spacing w:val="-2"/>
                <w:szCs w:val="21"/>
              </w:rPr>
              <w:t>“十四、税收规定”。</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（更多具体要素请详阅产品说明书）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3.如有其他未尽事宜以私人银行部解释为准。</w:t>
      </w:r>
    </w:p>
    <w:p w:rsidR="00C934C7" w:rsidRDefault="00C934C7">
      <w:pPr>
        <w:adjustRightInd/>
        <w:snapToGrid/>
        <w:spacing w:after="0"/>
        <w:rPr>
          <w:rFonts w:ascii="微软雅黑" w:hAnsi="微软雅黑" w:cs="宋体"/>
          <w:color w:val="000000"/>
          <w:sz w:val="30"/>
          <w:szCs w:val="30"/>
        </w:rPr>
      </w:pP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附件：1.“苏银理财</w:t>
      </w:r>
      <w:r w:rsidR="003A6833">
        <w:rPr>
          <w:rFonts w:ascii="仿宋_GB2312" w:eastAsia="仿宋_GB2312" w:hAnsi="微软雅黑" w:cs="宋体" w:hint="eastAsia"/>
          <w:color w:val="000000"/>
          <w:sz w:val="32"/>
          <w:szCs w:val="32"/>
        </w:rPr>
        <w:t>启源融汇现金1号</w:t>
      </w:r>
      <w:r>
        <w:rPr>
          <w:rFonts w:ascii="仿宋_GB2312" w:eastAsia="仿宋_GB2312" w:hAnsi="微软雅黑" w:cs="宋体" w:hint="eastAsia"/>
          <w:color w:val="000000"/>
          <w:sz w:val="32"/>
          <w:szCs w:val="32"/>
        </w:rPr>
        <w:t>”理财产品说明书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 理财产品代理销售协议书、苏银理财有限责任公司理财产品投资协议书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3.“苏银理财</w:t>
      </w:r>
      <w:r w:rsidR="003A6833">
        <w:rPr>
          <w:rFonts w:ascii="仿宋_GB2312" w:eastAsia="仿宋_GB2312" w:hAnsi="微软雅黑" w:cs="宋体" w:hint="eastAsia"/>
          <w:color w:val="000000"/>
          <w:sz w:val="32"/>
          <w:szCs w:val="32"/>
        </w:rPr>
        <w:t>启源融汇现金1号</w:t>
      </w:r>
      <w:r>
        <w:rPr>
          <w:rFonts w:ascii="仿宋_GB2312" w:eastAsia="仿宋_GB2312" w:hAnsi="微软雅黑" w:cs="宋体" w:hint="eastAsia"/>
          <w:color w:val="000000"/>
          <w:sz w:val="32"/>
          <w:szCs w:val="32"/>
        </w:rPr>
        <w:t>”理财产品风险揭示书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4.苏银理财有限责任公司投资者权益须知</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5. 风险承受能力评估表</w:t>
      </w:r>
    </w:p>
    <w:p w:rsidR="00C934C7" w:rsidRDefault="00C934C7">
      <w:pPr>
        <w:adjustRightInd/>
        <w:snapToGrid/>
        <w:spacing w:after="0"/>
        <w:ind w:firstLine="645"/>
        <w:rPr>
          <w:rFonts w:ascii="微软雅黑" w:hAnsi="微软雅黑" w:cs="宋体"/>
          <w:color w:val="000000"/>
          <w:sz w:val="30"/>
          <w:szCs w:val="30"/>
        </w:rPr>
      </w:pPr>
    </w:p>
    <w:p w:rsidR="00C934C7" w:rsidRDefault="00C934C7">
      <w:pPr>
        <w:adjustRightInd/>
        <w:snapToGrid/>
        <w:spacing w:after="0"/>
        <w:ind w:firstLine="645"/>
        <w:rPr>
          <w:rFonts w:ascii="微软雅黑" w:hAnsi="微软雅黑" w:cs="宋体"/>
          <w:color w:val="000000"/>
          <w:sz w:val="30"/>
          <w:szCs w:val="30"/>
        </w:rPr>
      </w:pPr>
    </w:p>
    <w:p w:rsidR="00C934C7" w:rsidRDefault="00C934C7">
      <w:pPr>
        <w:adjustRightInd/>
        <w:snapToGrid/>
        <w:spacing w:after="0"/>
        <w:ind w:firstLine="645"/>
        <w:rPr>
          <w:rFonts w:ascii="微软雅黑" w:hAnsi="微软雅黑" w:cs="宋体"/>
          <w:color w:val="000000"/>
          <w:sz w:val="30"/>
          <w:szCs w:val="30"/>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6A4477">
        <w:rPr>
          <w:rFonts w:ascii="仿宋_GB2312" w:eastAsia="仿宋_GB2312" w:hAnsi="微软雅黑" w:cs="宋体" w:hint="eastAsia"/>
          <w:color w:val="000000"/>
          <w:sz w:val="32"/>
          <w:szCs w:val="32"/>
        </w:rPr>
        <w:t>3</w:t>
      </w:r>
      <w:r>
        <w:rPr>
          <w:rFonts w:ascii="仿宋_GB2312" w:eastAsia="仿宋_GB2312" w:hAnsi="微软雅黑" w:cs="宋体" w:hint="eastAsia"/>
          <w:color w:val="000000"/>
          <w:sz w:val="32"/>
          <w:szCs w:val="32"/>
        </w:rPr>
        <w:t>年</w:t>
      </w:r>
      <w:r w:rsidR="003105D1">
        <w:rPr>
          <w:rFonts w:ascii="仿宋_GB2312" w:eastAsia="仿宋_GB2312" w:hAnsi="微软雅黑" w:cs="宋体" w:hint="eastAsia"/>
          <w:color w:val="000000"/>
          <w:sz w:val="32"/>
          <w:szCs w:val="32"/>
        </w:rPr>
        <w:t>2</w:t>
      </w:r>
      <w:r>
        <w:rPr>
          <w:rFonts w:ascii="仿宋_GB2312" w:eastAsia="仿宋_GB2312" w:hAnsi="微软雅黑" w:cs="宋体" w:hint="eastAsia"/>
          <w:color w:val="000000"/>
          <w:sz w:val="32"/>
          <w:szCs w:val="32"/>
        </w:rPr>
        <w:t>月</w:t>
      </w:r>
      <w:bookmarkStart w:id="0" w:name="_GoBack"/>
      <w:bookmarkEnd w:id="0"/>
      <w:r w:rsidR="003105D1">
        <w:rPr>
          <w:rFonts w:ascii="仿宋_GB2312" w:eastAsia="仿宋_GB2312" w:hAnsi="微软雅黑" w:cs="宋体" w:hint="eastAsia"/>
          <w:color w:val="000000"/>
          <w:sz w:val="32"/>
          <w:szCs w:val="32"/>
        </w:rPr>
        <w:t>28</w:t>
      </w:r>
      <w:r w:rsidR="006A4477">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3F6B" w:rsidRDefault="004F3F6B" w:rsidP="00141F36">
      <w:pPr>
        <w:spacing w:after="0"/>
      </w:pPr>
      <w:r>
        <w:separator/>
      </w:r>
    </w:p>
  </w:endnote>
  <w:endnote w:type="continuationSeparator" w:id="1">
    <w:p w:rsidR="004F3F6B" w:rsidRDefault="004F3F6B" w:rsidP="00141F3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3F6B" w:rsidRDefault="004F3F6B" w:rsidP="00141F36">
      <w:pPr>
        <w:spacing w:after="0"/>
      </w:pPr>
      <w:r>
        <w:separator/>
      </w:r>
    </w:p>
  </w:footnote>
  <w:footnote w:type="continuationSeparator" w:id="1">
    <w:p w:rsidR="004F3F6B" w:rsidRDefault="004F3F6B" w:rsidP="00141F3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20482"/>
  </w:hdrShapeDefaults>
  <w:footnotePr>
    <w:footnote w:id="0"/>
    <w:footnote w:id="1"/>
  </w:footnotePr>
  <w:endnotePr>
    <w:endnote w:id="0"/>
    <w:endnote w:id="1"/>
  </w:endnotePr>
  <w:compat>
    <w:useFELayout/>
  </w:compat>
  <w:rsids>
    <w:rsidRoot w:val="00D31D50"/>
    <w:rsid w:val="00002A13"/>
    <w:rsid w:val="00012365"/>
    <w:rsid w:val="00014D89"/>
    <w:rsid w:val="0002233E"/>
    <w:rsid w:val="00025736"/>
    <w:rsid w:val="000430CA"/>
    <w:rsid w:val="00045358"/>
    <w:rsid w:val="00050465"/>
    <w:rsid w:val="000547BB"/>
    <w:rsid w:val="0006322B"/>
    <w:rsid w:val="000729EB"/>
    <w:rsid w:val="000812F4"/>
    <w:rsid w:val="000936F7"/>
    <w:rsid w:val="000957AC"/>
    <w:rsid w:val="000A5028"/>
    <w:rsid w:val="000D4E77"/>
    <w:rsid w:val="000E18A2"/>
    <w:rsid w:val="000E1FA9"/>
    <w:rsid w:val="000E7543"/>
    <w:rsid w:val="0010440D"/>
    <w:rsid w:val="00110B5C"/>
    <w:rsid w:val="001225F8"/>
    <w:rsid w:val="00141F36"/>
    <w:rsid w:val="00157799"/>
    <w:rsid w:val="00160908"/>
    <w:rsid w:val="00174CF3"/>
    <w:rsid w:val="00174FC8"/>
    <w:rsid w:val="00182785"/>
    <w:rsid w:val="001930D1"/>
    <w:rsid w:val="001A556D"/>
    <w:rsid w:val="001B2273"/>
    <w:rsid w:val="001D40A6"/>
    <w:rsid w:val="001F72B5"/>
    <w:rsid w:val="00201E20"/>
    <w:rsid w:val="00206F8F"/>
    <w:rsid w:val="00207F97"/>
    <w:rsid w:val="00214CF7"/>
    <w:rsid w:val="00216E71"/>
    <w:rsid w:val="002235BC"/>
    <w:rsid w:val="00233CED"/>
    <w:rsid w:val="00236FDA"/>
    <w:rsid w:val="002513BD"/>
    <w:rsid w:val="00257856"/>
    <w:rsid w:val="00266F77"/>
    <w:rsid w:val="00277323"/>
    <w:rsid w:val="002777A1"/>
    <w:rsid w:val="00283408"/>
    <w:rsid w:val="002866F6"/>
    <w:rsid w:val="0029028F"/>
    <w:rsid w:val="002B1948"/>
    <w:rsid w:val="002C248B"/>
    <w:rsid w:val="002C2685"/>
    <w:rsid w:val="002D757D"/>
    <w:rsid w:val="002D7671"/>
    <w:rsid w:val="002E2039"/>
    <w:rsid w:val="002E3ECB"/>
    <w:rsid w:val="002E7145"/>
    <w:rsid w:val="002F07C0"/>
    <w:rsid w:val="003059D5"/>
    <w:rsid w:val="003105D1"/>
    <w:rsid w:val="00320D56"/>
    <w:rsid w:val="00322F4C"/>
    <w:rsid w:val="00323B43"/>
    <w:rsid w:val="00347193"/>
    <w:rsid w:val="00353BA9"/>
    <w:rsid w:val="00355E21"/>
    <w:rsid w:val="00357EB7"/>
    <w:rsid w:val="00361A72"/>
    <w:rsid w:val="00393219"/>
    <w:rsid w:val="003A6833"/>
    <w:rsid w:val="003C0D6B"/>
    <w:rsid w:val="003C1D41"/>
    <w:rsid w:val="003D37D8"/>
    <w:rsid w:val="003D4715"/>
    <w:rsid w:val="003E2BFC"/>
    <w:rsid w:val="003F70AB"/>
    <w:rsid w:val="00410A33"/>
    <w:rsid w:val="00422AD1"/>
    <w:rsid w:val="00426133"/>
    <w:rsid w:val="00431C9E"/>
    <w:rsid w:val="004349C0"/>
    <w:rsid w:val="004358AB"/>
    <w:rsid w:val="00443E90"/>
    <w:rsid w:val="00450005"/>
    <w:rsid w:val="00450C77"/>
    <w:rsid w:val="0045680A"/>
    <w:rsid w:val="00471A3B"/>
    <w:rsid w:val="004749F0"/>
    <w:rsid w:val="00476C3B"/>
    <w:rsid w:val="0049140E"/>
    <w:rsid w:val="004950F4"/>
    <w:rsid w:val="00496E4F"/>
    <w:rsid w:val="004C175A"/>
    <w:rsid w:val="004F3F6B"/>
    <w:rsid w:val="00510995"/>
    <w:rsid w:val="005168C5"/>
    <w:rsid w:val="005218F6"/>
    <w:rsid w:val="00523BDD"/>
    <w:rsid w:val="0052515C"/>
    <w:rsid w:val="00530F2D"/>
    <w:rsid w:val="00536DF2"/>
    <w:rsid w:val="00543584"/>
    <w:rsid w:val="00543782"/>
    <w:rsid w:val="0055369F"/>
    <w:rsid w:val="0056630E"/>
    <w:rsid w:val="00566FD9"/>
    <w:rsid w:val="00567122"/>
    <w:rsid w:val="00577BF0"/>
    <w:rsid w:val="005902E6"/>
    <w:rsid w:val="005B1774"/>
    <w:rsid w:val="005B38B5"/>
    <w:rsid w:val="005B45CF"/>
    <w:rsid w:val="005C155D"/>
    <w:rsid w:val="005C31E9"/>
    <w:rsid w:val="005D072F"/>
    <w:rsid w:val="005E27BB"/>
    <w:rsid w:val="005F2B78"/>
    <w:rsid w:val="00606205"/>
    <w:rsid w:val="00607EC0"/>
    <w:rsid w:val="00610019"/>
    <w:rsid w:val="006110FC"/>
    <w:rsid w:val="00611544"/>
    <w:rsid w:val="006128D5"/>
    <w:rsid w:val="006148C9"/>
    <w:rsid w:val="0061606F"/>
    <w:rsid w:val="006170B5"/>
    <w:rsid w:val="006214F4"/>
    <w:rsid w:val="00642C20"/>
    <w:rsid w:val="00677D5A"/>
    <w:rsid w:val="0068015B"/>
    <w:rsid w:val="006A4477"/>
    <w:rsid w:val="006C44CC"/>
    <w:rsid w:val="006C68D5"/>
    <w:rsid w:val="006F7856"/>
    <w:rsid w:val="00701C74"/>
    <w:rsid w:val="0070239F"/>
    <w:rsid w:val="00710B34"/>
    <w:rsid w:val="00714309"/>
    <w:rsid w:val="00714B02"/>
    <w:rsid w:val="007248B8"/>
    <w:rsid w:val="0073205A"/>
    <w:rsid w:val="0074046E"/>
    <w:rsid w:val="00740E8C"/>
    <w:rsid w:val="00741563"/>
    <w:rsid w:val="00747E0A"/>
    <w:rsid w:val="00766E00"/>
    <w:rsid w:val="007675CD"/>
    <w:rsid w:val="007745AB"/>
    <w:rsid w:val="00783419"/>
    <w:rsid w:val="007865C9"/>
    <w:rsid w:val="00790B80"/>
    <w:rsid w:val="00793A91"/>
    <w:rsid w:val="00796629"/>
    <w:rsid w:val="007A6260"/>
    <w:rsid w:val="007C44C4"/>
    <w:rsid w:val="007D35F2"/>
    <w:rsid w:val="008201C5"/>
    <w:rsid w:val="00827FB9"/>
    <w:rsid w:val="008445DB"/>
    <w:rsid w:val="008450A8"/>
    <w:rsid w:val="00846546"/>
    <w:rsid w:val="008507C0"/>
    <w:rsid w:val="0085497C"/>
    <w:rsid w:val="00854BCB"/>
    <w:rsid w:val="00867E9B"/>
    <w:rsid w:val="00884835"/>
    <w:rsid w:val="008930CD"/>
    <w:rsid w:val="00893277"/>
    <w:rsid w:val="00895EEF"/>
    <w:rsid w:val="00896839"/>
    <w:rsid w:val="00896D1C"/>
    <w:rsid w:val="00897920"/>
    <w:rsid w:val="008A6AC1"/>
    <w:rsid w:val="008B008A"/>
    <w:rsid w:val="008B4334"/>
    <w:rsid w:val="008B450C"/>
    <w:rsid w:val="008B4E39"/>
    <w:rsid w:val="008B6523"/>
    <w:rsid w:val="008B7726"/>
    <w:rsid w:val="008F2B7A"/>
    <w:rsid w:val="008F5738"/>
    <w:rsid w:val="008F7CA5"/>
    <w:rsid w:val="009039D4"/>
    <w:rsid w:val="00903E35"/>
    <w:rsid w:val="00911DE1"/>
    <w:rsid w:val="00916AFD"/>
    <w:rsid w:val="00946A62"/>
    <w:rsid w:val="00951BFC"/>
    <w:rsid w:val="00953E58"/>
    <w:rsid w:val="0096633A"/>
    <w:rsid w:val="0096677C"/>
    <w:rsid w:val="00971266"/>
    <w:rsid w:val="00985586"/>
    <w:rsid w:val="00986A17"/>
    <w:rsid w:val="00996AC4"/>
    <w:rsid w:val="009A5FF7"/>
    <w:rsid w:val="009A6871"/>
    <w:rsid w:val="009B21F1"/>
    <w:rsid w:val="009B2786"/>
    <w:rsid w:val="009B3C8E"/>
    <w:rsid w:val="009D1D85"/>
    <w:rsid w:val="009E16F2"/>
    <w:rsid w:val="009F6193"/>
    <w:rsid w:val="00A01DF4"/>
    <w:rsid w:val="00A215C9"/>
    <w:rsid w:val="00A30CF8"/>
    <w:rsid w:val="00A34D57"/>
    <w:rsid w:val="00A4169B"/>
    <w:rsid w:val="00A54155"/>
    <w:rsid w:val="00A65280"/>
    <w:rsid w:val="00A6775F"/>
    <w:rsid w:val="00A838DC"/>
    <w:rsid w:val="00A84AE0"/>
    <w:rsid w:val="00A9135E"/>
    <w:rsid w:val="00A9294C"/>
    <w:rsid w:val="00AA23FA"/>
    <w:rsid w:val="00AB6BA4"/>
    <w:rsid w:val="00AC2AB1"/>
    <w:rsid w:val="00AC33B2"/>
    <w:rsid w:val="00AC51A3"/>
    <w:rsid w:val="00AC6774"/>
    <w:rsid w:val="00AD4C9C"/>
    <w:rsid w:val="00AE6487"/>
    <w:rsid w:val="00AF3E9A"/>
    <w:rsid w:val="00B01B88"/>
    <w:rsid w:val="00B02F94"/>
    <w:rsid w:val="00B126A7"/>
    <w:rsid w:val="00B21220"/>
    <w:rsid w:val="00B22801"/>
    <w:rsid w:val="00B24A4C"/>
    <w:rsid w:val="00B27E33"/>
    <w:rsid w:val="00B31B3A"/>
    <w:rsid w:val="00B4326E"/>
    <w:rsid w:val="00B64881"/>
    <w:rsid w:val="00B73241"/>
    <w:rsid w:val="00B73A10"/>
    <w:rsid w:val="00B941A3"/>
    <w:rsid w:val="00B941AB"/>
    <w:rsid w:val="00BA2412"/>
    <w:rsid w:val="00BA4BCB"/>
    <w:rsid w:val="00BC7E2B"/>
    <w:rsid w:val="00BC7E3B"/>
    <w:rsid w:val="00BE351A"/>
    <w:rsid w:val="00C00041"/>
    <w:rsid w:val="00C15704"/>
    <w:rsid w:val="00C17395"/>
    <w:rsid w:val="00C23A87"/>
    <w:rsid w:val="00C468C3"/>
    <w:rsid w:val="00C50B0B"/>
    <w:rsid w:val="00C66A8C"/>
    <w:rsid w:val="00C71423"/>
    <w:rsid w:val="00C73288"/>
    <w:rsid w:val="00C77D66"/>
    <w:rsid w:val="00C934C7"/>
    <w:rsid w:val="00CA70DD"/>
    <w:rsid w:val="00CB16FF"/>
    <w:rsid w:val="00CB29BA"/>
    <w:rsid w:val="00CB2A01"/>
    <w:rsid w:val="00CD21BA"/>
    <w:rsid w:val="00CD328F"/>
    <w:rsid w:val="00CD4295"/>
    <w:rsid w:val="00CD4F0F"/>
    <w:rsid w:val="00CD74BD"/>
    <w:rsid w:val="00CE0BFB"/>
    <w:rsid w:val="00CE0C36"/>
    <w:rsid w:val="00CE411C"/>
    <w:rsid w:val="00CF39DD"/>
    <w:rsid w:val="00CF5224"/>
    <w:rsid w:val="00D0319E"/>
    <w:rsid w:val="00D10241"/>
    <w:rsid w:val="00D20F22"/>
    <w:rsid w:val="00D3062D"/>
    <w:rsid w:val="00D31D50"/>
    <w:rsid w:val="00D42DFD"/>
    <w:rsid w:val="00D476F9"/>
    <w:rsid w:val="00D51249"/>
    <w:rsid w:val="00D5491D"/>
    <w:rsid w:val="00D57726"/>
    <w:rsid w:val="00D67754"/>
    <w:rsid w:val="00D763B7"/>
    <w:rsid w:val="00D80BDE"/>
    <w:rsid w:val="00D871F8"/>
    <w:rsid w:val="00DA521E"/>
    <w:rsid w:val="00DB1998"/>
    <w:rsid w:val="00DB267C"/>
    <w:rsid w:val="00DC08E6"/>
    <w:rsid w:val="00DD1E41"/>
    <w:rsid w:val="00DD52AA"/>
    <w:rsid w:val="00DE145A"/>
    <w:rsid w:val="00DF18D2"/>
    <w:rsid w:val="00E00192"/>
    <w:rsid w:val="00E05633"/>
    <w:rsid w:val="00E210A0"/>
    <w:rsid w:val="00E328E5"/>
    <w:rsid w:val="00E342C9"/>
    <w:rsid w:val="00E4613A"/>
    <w:rsid w:val="00E51943"/>
    <w:rsid w:val="00E65FB9"/>
    <w:rsid w:val="00E773E2"/>
    <w:rsid w:val="00E774C6"/>
    <w:rsid w:val="00E807D3"/>
    <w:rsid w:val="00E86AD3"/>
    <w:rsid w:val="00E92031"/>
    <w:rsid w:val="00EA1489"/>
    <w:rsid w:val="00EB3586"/>
    <w:rsid w:val="00EC780B"/>
    <w:rsid w:val="00EE0CF8"/>
    <w:rsid w:val="00EE50F7"/>
    <w:rsid w:val="00EF21FB"/>
    <w:rsid w:val="00EF297D"/>
    <w:rsid w:val="00EF3251"/>
    <w:rsid w:val="00EF76FE"/>
    <w:rsid w:val="00F04234"/>
    <w:rsid w:val="00F21AAA"/>
    <w:rsid w:val="00F234C6"/>
    <w:rsid w:val="00F24E77"/>
    <w:rsid w:val="00F634A7"/>
    <w:rsid w:val="00F7443F"/>
    <w:rsid w:val="00F805F0"/>
    <w:rsid w:val="00F94858"/>
    <w:rsid w:val="00F94E57"/>
    <w:rsid w:val="00F957A8"/>
    <w:rsid w:val="00F96EC9"/>
    <w:rsid w:val="00FA233C"/>
    <w:rsid w:val="00FA792A"/>
    <w:rsid w:val="00FB39AB"/>
    <w:rsid w:val="00FC1CBF"/>
    <w:rsid w:val="00FC73A4"/>
    <w:rsid w:val="00FD35EB"/>
    <w:rsid w:val="00FE0475"/>
    <w:rsid w:val="00FE20C6"/>
    <w:rsid w:val="00FF0EB4"/>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table" w:styleId="a9">
    <w:name w:val="Table Grid"/>
    <w:basedOn w:val="a1"/>
    <w:uiPriority w:val="59"/>
    <w:rsid w:val="00BA4BCB"/>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Char2"/>
    <w:uiPriority w:val="1"/>
    <w:qFormat/>
    <w:rsid w:val="005902E6"/>
    <w:pPr>
      <w:widowControl w:val="0"/>
      <w:autoSpaceDE w:val="0"/>
      <w:autoSpaceDN w:val="0"/>
      <w:snapToGrid/>
      <w:spacing w:before="162" w:after="0"/>
      <w:ind w:left="120"/>
    </w:pPr>
    <w:rPr>
      <w:rFonts w:ascii="宋体" w:eastAsia="宋体" w:hAnsi="Times New Roman" w:cs="Times New Roman"/>
      <w:sz w:val="20"/>
      <w:szCs w:val="21"/>
    </w:rPr>
  </w:style>
  <w:style w:type="character" w:customStyle="1" w:styleId="Char2">
    <w:name w:val="正文文本 Char"/>
    <w:basedOn w:val="a0"/>
    <w:link w:val="aa"/>
    <w:uiPriority w:val="1"/>
    <w:rsid w:val="005902E6"/>
    <w:rPr>
      <w:rFonts w:ascii="宋体" w:eastAsia="宋体" w:hAnsi="Times New Roman"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041310">
      <w:bodyDiv w:val="1"/>
      <w:marLeft w:val="0"/>
      <w:marRight w:val="0"/>
      <w:marTop w:val="0"/>
      <w:marBottom w:val="0"/>
      <w:divBdr>
        <w:top w:val="none" w:sz="0" w:space="0" w:color="auto"/>
        <w:left w:val="none" w:sz="0" w:space="0" w:color="auto"/>
        <w:bottom w:val="none" w:sz="0" w:space="0" w:color="auto"/>
        <w:right w:val="none" w:sz="0" w:space="0" w:color="auto"/>
      </w:divBdr>
    </w:div>
    <w:div w:id="220212518">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691304627">
      <w:bodyDiv w:val="1"/>
      <w:marLeft w:val="0"/>
      <w:marRight w:val="0"/>
      <w:marTop w:val="0"/>
      <w:marBottom w:val="0"/>
      <w:divBdr>
        <w:top w:val="none" w:sz="0" w:space="0" w:color="auto"/>
        <w:left w:val="none" w:sz="0" w:space="0" w:color="auto"/>
        <w:bottom w:val="none" w:sz="0" w:space="0" w:color="auto"/>
        <w:right w:val="none" w:sz="0" w:space="0" w:color="auto"/>
      </w:divBdr>
    </w:div>
    <w:div w:id="788670042">
      <w:bodyDiv w:val="1"/>
      <w:marLeft w:val="0"/>
      <w:marRight w:val="0"/>
      <w:marTop w:val="0"/>
      <w:marBottom w:val="0"/>
      <w:divBdr>
        <w:top w:val="none" w:sz="0" w:space="0" w:color="auto"/>
        <w:left w:val="none" w:sz="0" w:space="0" w:color="auto"/>
        <w:bottom w:val="none" w:sz="0" w:space="0" w:color="auto"/>
        <w:right w:val="none" w:sz="0" w:space="0" w:color="auto"/>
      </w:divBdr>
    </w:div>
    <w:div w:id="789251317">
      <w:bodyDiv w:val="1"/>
      <w:marLeft w:val="0"/>
      <w:marRight w:val="0"/>
      <w:marTop w:val="0"/>
      <w:marBottom w:val="0"/>
      <w:divBdr>
        <w:top w:val="none" w:sz="0" w:space="0" w:color="auto"/>
        <w:left w:val="none" w:sz="0" w:space="0" w:color="auto"/>
        <w:bottom w:val="none" w:sz="0" w:space="0" w:color="auto"/>
        <w:right w:val="none" w:sz="0" w:space="0" w:color="auto"/>
      </w:divBdr>
    </w:div>
    <w:div w:id="806312309">
      <w:bodyDiv w:val="1"/>
      <w:marLeft w:val="0"/>
      <w:marRight w:val="0"/>
      <w:marTop w:val="0"/>
      <w:marBottom w:val="0"/>
      <w:divBdr>
        <w:top w:val="none" w:sz="0" w:space="0" w:color="auto"/>
        <w:left w:val="none" w:sz="0" w:space="0" w:color="auto"/>
        <w:bottom w:val="none" w:sz="0" w:space="0" w:color="auto"/>
        <w:right w:val="none" w:sz="0" w:space="0" w:color="auto"/>
      </w:divBdr>
    </w:div>
    <w:div w:id="1196044906">
      <w:bodyDiv w:val="1"/>
      <w:marLeft w:val="0"/>
      <w:marRight w:val="0"/>
      <w:marTop w:val="0"/>
      <w:marBottom w:val="0"/>
      <w:divBdr>
        <w:top w:val="none" w:sz="0" w:space="0" w:color="auto"/>
        <w:left w:val="none" w:sz="0" w:space="0" w:color="auto"/>
        <w:bottom w:val="none" w:sz="0" w:space="0" w:color="auto"/>
        <w:right w:val="none" w:sz="0" w:space="0" w:color="auto"/>
      </w:divBdr>
    </w:div>
    <w:div w:id="1312177544">
      <w:bodyDiv w:val="1"/>
      <w:marLeft w:val="0"/>
      <w:marRight w:val="0"/>
      <w:marTop w:val="0"/>
      <w:marBottom w:val="0"/>
      <w:divBdr>
        <w:top w:val="none" w:sz="0" w:space="0" w:color="auto"/>
        <w:left w:val="none" w:sz="0" w:space="0" w:color="auto"/>
        <w:bottom w:val="none" w:sz="0" w:space="0" w:color="auto"/>
        <w:right w:val="none" w:sz="0" w:space="0" w:color="auto"/>
      </w:divBdr>
    </w:div>
    <w:div w:id="1340425281">
      <w:bodyDiv w:val="1"/>
      <w:marLeft w:val="0"/>
      <w:marRight w:val="0"/>
      <w:marTop w:val="0"/>
      <w:marBottom w:val="0"/>
      <w:divBdr>
        <w:top w:val="none" w:sz="0" w:space="0" w:color="auto"/>
        <w:left w:val="none" w:sz="0" w:space="0" w:color="auto"/>
        <w:bottom w:val="none" w:sz="0" w:space="0" w:color="auto"/>
        <w:right w:val="none" w:sz="0" w:space="0" w:color="auto"/>
      </w:divBdr>
    </w:div>
    <w:div w:id="1351681714">
      <w:bodyDiv w:val="1"/>
      <w:marLeft w:val="0"/>
      <w:marRight w:val="0"/>
      <w:marTop w:val="0"/>
      <w:marBottom w:val="0"/>
      <w:divBdr>
        <w:top w:val="none" w:sz="0" w:space="0" w:color="auto"/>
        <w:left w:val="none" w:sz="0" w:space="0" w:color="auto"/>
        <w:bottom w:val="none" w:sz="0" w:space="0" w:color="auto"/>
        <w:right w:val="none" w:sz="0" w:space="0" w:color="auto"/>
      </w:divBdr>
    </w:div>
    <w:div w:id="1513454259">
      <w:bodyDiv w:val="1"/>
      <w:marLeft w:val="0"/>
      <w:marRight w:val="0"/>
      <w:marTop w:val="0"/>
      <w:marBottom w:val="0"/>
      <w:divBdr>
        <w:top w:val="none" w:sz="0" w:space="0" w:color="auto"/>
        <w:left w:val="none" w:sz="0" w:space="0" w:color="auto"/>
        <w:bottom w:val="none" w:sz="0" w:space="0" w:color="auto"/>
        <w:right w:val="none" w:sz="0" w:space="0" w:color="auto"/>
      </w:divBdr>
    </w:div>
    <w:div w:id="1626813943">
      <w:bodyDiv w:val="1"/>
      <w:marLeft w:val="0"/>
      <w:marRight w:val="0"/>
      <w:marTop w:val="0"/>
      <w:marBottom w:val="0"/>
      <w:divBdr>
        <w:top w:val="none" w:sz="0" w:space="0" w:color="auto"/>
        <w:left w:val="none" w:sz="0" w:space="0" w:color="auto"/>
        <w:bottom w:val="none" w:sz="0" w:space="0" w:color="auto"/>
        <w:right w:val="none" w:sz="0" w:space="0" w:color="auto"/>
      </w:divBdr>
    </w:div>
    <w:div w:id="1809006599">
      <w:bodyDiv w:val="1"/>
      <w:marLeft w:val="0"/>
      <w:marRight w:val="0"/>
      <w:marTop w:val="0"/>
      <w:marBottom w:val="0"/>
      <w:divBdr>
        <w:top w:val="none" w:sz="0" w:space="0" w:color="auto"/>
        <w:left w:val="none" w:sz="0" w:space="0" w:color="auto"/>
        <w:bottom w:val="none" w:sz="0" w:space="0" w:color="auto"/>
        <w:right w:val="none" w:sz="0" w:space="0" w:color="auto"/>
      </w:divBdr>
    </w:div>
    <w:div w:id="2099673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4</Pages>
  <Words>517</Words>
  <Characters>2947</Characters>
  <Application>Microsoft Office Word</Application>
  <DocSecurity>0</DocSecurity>
  <Lines>24</Lines>
  <Paragraphs>6</Paragraphs>
  <ScaleCrop>false</ScaleCrop>
  <Company/>
  <LinksUpToDate>false</LinksUpToDate>
  <CharactersWithSpaces>3458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313</cp:revision>
  <cp:lastPrinted>2021-06-03T04:20:00Z</cp:lastPrinted>
  <dcterms:created xsi:type="dcterms:W3CDTF">2008-09-11T17:20:00Z</dcterms:created>
  <dcterms:modified xsi:type="dcterms:W3CDTF">2023-02-28T01:53:00Z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