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4A59" w:rsidRDefault="009A057A">
      <w:pPr>
        <w:adjustRightInd/>
        <w:snapToGrid/>
        <w:spacing w:after="0"/>
        <w:jc w:val="center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36"/>
        </w:rPr>
        <w:t>关于代销苏银理财恒源</w:t>
      </w:r>
      <w:r w:rsidR="001B26D8">
        <w:rPr>
          <w:rFonts w:ascii="宋体" w:eastAsia="宋体" w:hAnsi="宋体" w:cs="宋体" w:hint="eastAsia"/>
          <w:b/>
          <w:bCs/>
          <w:sz w:val="36"/>
        </w:rPr>
        <w:t>封闭债权151期</w:t>
      </w:r>
      <w:r>
        <w:rPr>
          <w:rFonts w:ascii="宋体" w:eastAsia="宋体" w:hAnsi="宋体" w:cs="宋体" w:hint="eastAsia"/>
          <w:b/>
          <w:bCs/>
          <w:sz w:val="36"/>
        </w:rPr>
        <w:t>的通知</w:t>
      </w:r>
    </w:p>
    <w:p w:rsidR="00F34A59" w:rsidRDefault="009A057A">
      <w:pPr>
        <w:adjustRightInd/>
        <w:snapToGrid/>
        <w:spacing w:after="0" w:line="555" w:lineRule="atLeast"/>
        <w:rPr>
          <w:rFonts w:ascii="微软雅黑" w:hAnsi="微软雅黑" w:cs="宋体"/>
          <w:color w:val="000000"/>
          <w:sz w:val="30"/>
          <w:szCs w:val="30"/>
        </w:rPr>
      </w:pPr>
      <w:r>
        <w:rPr>
          <w:rFonts w:ascii="仿宋_GB2312" w:eastAsia="仿宋_GB2312" w:hAnsi="微软雅黑" w:cs="宋体" w:hint="eastAsia"/>
          <w:color w:val="000000"/>
          <w:sz w:val="32"/>
          <w:szCs w:val="32"/>
        </w:rPr>
        <w:t>各分</w:t>
      </w:r>
      <w:r>
        <w:rPr>
          <w:rFonts w:ascii="仿宋_GB2312" w:eastAsia="仿宋_GB2312" w:hAnsi="微软雅黑" w:cs="宋体" w:hint="eastAsia"/>
          <w:color w:val="000000"/>
          <w:sz w:val="32"/>
          <w:szCs w:val="32"/>
        </w:rPr>
        <w:t>(</w:t>
      </w:r>
      <w:r>
        <w:rPr>
          <w:rFonts w:ascii="仿宋_GB2312" w:eastAsia="仿宋_GB2312" w:hAnsi="微软雅黑" w:cs="宋体" w:hint="eastAsia"/>
          <w:color w:val="000000"/>
          <w:sz w:val="32"/>
          <w:szCs w:val="32"/>
        </w:rPr>
        <w:t>支</w:t>
      </w:r>
      <w:r>
        <w:rPr>
          <w:rFonts w:ascii="仿宋_GB2312" w:eastAsia="仿宋_GB2312" w:hAnsi="微软雅黑" w:cs="宋体" w:hint="eastAsia"/>
          <w:color w:val="000000"/>
          <w:sz w:val="32"/>
          <w:szCs w:val="32"/>
        </w:rPr>
        <w:t>)</w:t>
      </w:r>
      <w:r>
        <w:rPr>
          <w:rFonts w:ascii="仿宋_GB2312" w:eastAsia="仿宋_GB2312" w:hAnsi="微软雅黑" w:cs="宋体" w:hint="eastAsia"/>
          <w:color w:val="000000"/>
          <w:sz w:val="32"/>
          <w:szCs w:val="32"/>
        </w:rPr>
        <w:t>行、总行营业部：</w:t>
      </w:r>
    </w:p>
    <w:p w:rsidR="00F34A59" w:rsidRDefault="009A057A">
      <w:pPr>
        <w:adjustRightInd/>
        <w:snapToGrid/>
        <w:spacing w:after="0"/>
        <w:ind w:firstLine="630"/>
        <w:rPr>
          <w:rFonts w:ascii="仿宋_GB2312" w:eastAsia="仿宋_GB2312" w:hAnsi="微软雅黑" w:cs="宋体"/>
          <w:color w:val="000000"/>
          <w:sz w:val="32"/>
          <w:szCs w:val="32"/>
        </w:rPr>
      </w:pPr>
      <w:r>
        <w:rPr>
          <w:rFonts w:ascii="仿宋_GB2312" w:eastAsia="仿宋_GB2312" w:hAnsi="微软雅黑" w:cs="宋体" w:hint="eastAsia"/>
          <w:color w:val="000000"/>
          <w:sz w:val="32"/>
          <w:szCs w:val="32"/>
        </w:rPr>
        <w:t>我行代销</w:t>
      </w:r>
      <w:r>
        <w:rPr>
          <w:rFonts w:ascii="仿宋_GB2312" w:eastAsia="仿宋_GB2312" w:hAnsi="微软雅黑" w:cs="宋体" w:hint="eastAsia"/>
          <w:color w:val="FF0000"/>
          <w:sz w:val="32"/>
          <w:szCs w:val="32"/>
        </w:rPr>
        <w:t>苏银理财有限责任</w:t>
      </w:r>
      <w:bookmarkStart w:id="0" w:name="_GoBack"/>
      <w:bookmarkEnd w:id="0"/>
      <w:r>
        <w:rPr>
          <w:rFonts w:ascii="仿宋_GB2312" w:eastAsia="仿宋_GB2312" w:hAnsi="微软雅黑" w:cs="宋体" w:hint="eastAsia"/>
          <w:color w:val="FF0000"/>
          <w:sz w:val="32"/>
          <w:szCs w:val="32"/>
        </w:rPr>
        <w:t>公司</w:t>
      </w:r>
      <w:r>
        <w:rPr>
          <w:rFonts w:ascii="仿宋_GB2312" w:eastAsia="仿宋_GB2312" w:hAnsi="微软雅黑" w:cs="宋体" w:hint="eastAsia"/>
          <w:color w:val="000000"/>
          <w:sz w:val="32"/>
          <w:szCs w:val="32"/>
        </w:rPr>
        <w:t>发行的苏银理财恒源</w:t>
      </w:r>
      <w:r w:rsidR="001B26D8">
        <w:rPr>
          <w:rFonts w:ascii="仿宋_GB2312" w:eastAsia="仿宋_GB2312" w:hAnsi="微软雅黑" w:cs="宋体" w:hint="eastAsia"/>
          <w:color w:val="000000"/>
          <w:sz w:val="32"/>
          <w:szCs w:val="32"/>
        </w:rPr>
        <w:t>封闭债权151期</w:t>
      </w:r>
      <w:r>
        <w:rPr>
          <w:rFonts w:ascii="仿宋_GB2312" w:eastAsia="仿宋_GB2312" w:hAnsi="微软雅黑" w:cs="宋体" w:hint="eastAsia"/>
          <w:color w:val="000000"/>
          <w:sz w:val="32"/>
          <w:szCs w:val="32"/>
        </w:rPr>
        <w:t>将</w:t>
      </w:r>
      <w:r>
        <w:rPr>
          <w:rFonts w:ascii="仿宋_GB2312" w:eastAsia="仿宋_GB2312" w:hAnsi="微软雅黑" w:cs="宋体" w:hint="eastAsia"/>
          <w:sz w:val="32"/>
          <w:szCs w:val="32"/>
        </w:rPr>
        <w:t>于</w:t>
      </w:r>
      <w:r>
        <w:rPr>
          <w:rFonts w:ascii="仿宋_GB2312" w:eastAsia="仿宋_GB2312" w:hAnsi="微软雅黑" w:cs="宋体" w:hint="eastAsia"/>
          <w:color w:val="FF0000"/>
          <w:sz w:val="32"/>
          <w:szCs w:val="32"/>
        </w:rPr>
        <w:t>202</w:t>
      </w:r>
      <w:r>
        <w:rPr>
          <w:rFonts w:ascii="仿宋_GB2312" w:eastAsia="仿宋_GB2312" w:hAnsi="微软雅黑" w:cs="宋体" w:hint="eastAsia"/>
          <w:color w:val="FF0000"/>
          <w:sz w:val="32"/>
          <w:szCs w:val="32"/>
        </w:rPr>
        <w:t>5</w:t>
      </w:r>
      <w:r>
        <w:rPr>
          <w:rFonts w:ascii="仿宋_GB2312" w:eastAsia="仿宋_GB2312" w:hAnsi="微软雅黑" w:cs="宋体" w:hint="eastAsia"/>
          <w:color w:val="FF0000"/>
          <w:sz w:val="32"/>
          <w:szCs w:val="32"/>
        </w:rPr>
        <w:t>年</w:t>
      </w:r>
      <w:r>
        <w:rPr>
          <w:rFonts w:ascii="仿宋_GB2312" w:eastAsia="仿宋_GB2312" w:hAnsi="微软雅黑" w:cs="宋体" w:hint="eastAsia"/>
          <w:color w:val="FF0000"/>
          <w:sz w:val="32"/>
          <w:szCs w:val="32"/>
        </w:rPr>
        <w:t>1</w:t>
      </w:r>
      <w:r>
        <w:rPr>
          <w:rFonts w:ascii="仿宋_GB2312" w:eastAsia="仿宋_GB2312" w:hAnsi="微软雅黑" w:cs="宋体" w:hint="eastAsia"/>
          <w:color w:val="FF0000"/>
          <w:sz w:val="32"/>
          <w:szCs w:val="32"/>
        </w:rPr>
        <w:t>月</w:t>
      </w:r>
      <w:r w:rsidR="001B26D8">
        <w:rPr>
          <w:rFonts w:ascii="仿宋_GB2312" w:eastAsia="仿宋_GB2312" w:hAnsi="微软雅黑" w:cs="宋体" w:hint="eastAsia"/>
          <w:color w:val="FF0000"/>
          <w:sz w:val="32"/>
          <w:szCs w:val="32"/>
        </w:rPr>
        <w:t>21</w:t>
      </w:r>
      <w:r>
        <w:rPr>
          <w:rFonts w:ascii="仿宋_GB2312" w:eastAsia="仿宋_GB2312" w:hAnsi="微软雅黑" w:cs="宋体" w:hint="eastAsia"/>
          <w:color w:val="FF0000"/>
          <w:sz w:val="32"/>
          <w:szCs w:val="32"/>
        </w:rPr>
        <w:t>日</w:t>
      </w:r>
      <w:r>
        <w:rPr>
          <w:rFonts w:ascii="仿宋_GB2312" w:eastAsia="仿宋_GB2312" w:hAnsi="微软雅黑" w:cs="宋体" w:hint="eastAsia"/>
          <w:color w:val="FF0000"/>
          <w:sz w:val="32"/>
          <w:szCs w:val="32"/>
        </w:rPr>
        <w:t>9:00</w:t>
      </w:r>
      <w:r>
        <w:rPr>
          <w:rFonts w:ascii="仿宋_GB2312" w:eastAsia="仿宋_GB2312" w:hAnsi="微软雅黑" w:cs="宋体" w:hint="eastAsia"/>
          <w:sz w:val="32"/>
          <w:szCs w:val="32"/>
        </w:rPr>
        <w:t>至</w:t>
      </w:r>
      <w:r>
        <w:rPr>
          <w:rFonts w:ascii="仿宋_GB2312" w:eastAsia="仿宋_GB2312" w:hAnsi="微软雅黑" w:cs="宋体" w:hint="eastAsia"/>
          <w:color w:val="FF0000"/>
          <w:sz w:val="32"/>
          <w:szCs w:val="32"/>
        </w:rPr>
        <w:t>202</w:t>
      </w:r>
      <w:r>
        <w:rPr>
          <w:rFonts w:ascii="仿宋_GB2312" w:eastAsia="仿宋_GB2312" w:hAnsi="微软雅黑" w:cs="宋体" w:hint="eastAsia"/>
          <w:color w:val="FF0000"/>
          <w:sz w:val="32"/>
          <w:szCs w:val="32"/>
        </w:rPr>
        <w:t>5</w:t>
      </w:r>
      <w:r>
        <w:rPr>
          <w:rFonts w:ascii="仿宋_GB2312" w:eastAsia="仿宋_GB2312" w:hAnsi="微软雅黑" w:cs="宋体" w:hint="eastAsia"/>
          <w:color w:val="FF0000"/>
          <w:sz w:val="32"/>
          <w:szCs w:val="32"/>
        </w:rPr>
        <w:t>年</w:t>
      </w:r>
      <w:r w:rsidR="001B26D8">
        <w:rPr>
          <w:rFonts w:ascii="仿宋_GB2312" w:eastAsia="仿宋_GB2312" w:hAnsi="微软雅黑" w:cs="宋体" w:hint="eastAsia"/>
          <w:color w:val="FF0000"/>
          <w:sz w:val="32"/>
          <w:szCs w:val="32"/>
        </w:rPr>
        <w:t>2</w:t>
      </w:r>
      <w:r>
        <w:rPr>
          <w:rFonts w:ascii="仿宋_GB2312" w:eastAsia="仿宋_GB2312" w:hAnsi="微软雅黑" w:cs="宋体" w:hint="eastAsia"/>
          <w:color w:val="FF0000"/>
          <w:sz w:val="32"/>
          <w:szCs w:val="32"/>
        </w:rPr>
        <w:t>月</w:t>
      </w:r>
      <w:r w:rsidR="001B26D8">
        <w:rPr>
          <w:rFonts w:ascii="仿宋_GB2312" w:eastAsia="仿宋_GB2312" w:hAnsi="微软雅黑" w:cs="宋体" w:hint="eastAsia"/>
          <w:color w:val="FF0000"/>
          <w:sz w:val="32"/>
          <w:szCs w:val="32"/>
        </w:rPr>
        <w:t>5</w:t>
      </w:r>
      <w:r>
        <w:rPr>
          <w:rFonts w:ascii="仿宋_GB2312" w:eastAsia="仿宋_GB2312" w:hAnsi="微软雅黑" w:cs="宋体" w:hint="eastAsia"/>
          <w:color w:val="FF0000"/>
          <w:sz w:val="32"/>
          <w:szCs w:val="32"/>
        </w:rPr>
        <w:t>日</w:t>
      </w:r>
      <w:r>
        <w:rPr>
          <w:rFonts w:ascii="仿宋_GB2312" w:eastAsia="仿宋_GB2312" w:hAnsi="微软雅黑" w:cs="宋体" w:hint="eastAsia"/>
          <w:color w:val="FF0000"/>
          <w:sz w:val="32"/>
          <w:szCs w:val="32"/>
        </w:rPr>
        <w:t>17:00</w:t>
      </w:r>
      <w:r>
        <w:rPr>
          <w:rFonts w:ascii="仿宋_GB2312" w:eastAsia="仿宋_GB2312" w:hAnsi="微软雅黑" w:cs="宋体" w:hint="eastAsia"/>
          <w:sz w:val="32"/>
          <w:szCs w:val="32"/>
        </w:rPr>
        <w:t>销售，</w:t>
      </w:r>
      <w:r>
        <w:rPr>
          <w:rFonts w:ascii="仿宋_GB2312" w:eastAsia="仿宋_GB2312" w:hAnsi="微软雅黑" w:cs="宋体" w:hint="eastAsia"/>
          <w:color w:val="000000"/>
          <w:sz w:val="32"/>
          <w:szCs w:val="32"/>
        </w:rPr>
        <w:t>目前在</w:t>
      </w:r>
      <w:r>
        <w:rPr>
          <w:rFonts w:ascii="仿宋_GB2312" w:eastAsia="仿宋_GB2312" w:hAnsi="微软雅黑" w:cs="宋体" w:hint="eastAsia"/>
          <w:color w:val="FF0000"/>
          <w:sz w:val="32"/>
          <w:szCs w:val="32"/>
        </w:rPr>
        <w:t>柜面</w:t>
      </w:r>
      <w:r>
        <w:rPr>
          <w:rFonts w:ascii="仿宋_GB2312" w:eastAsia="仿宋_GB2312" w:hAnsi="微软雅黑" w:cs="宋体" w:hint="eastAsia"/>
          <w:color w:val="000000"/>
          <w:sz w:val="32"/>
          <w:szCs w:val="32"/>
        </w:rPr>
        <w:t>和</w:t>
      </w:r>
      <w:r>
        <w:rPr>
          <w:rFonts w:ascii="仿宋_GB2312" w:eastAsia="仿宋_GB2312" w:hAnsi="微软雅黑" w:cs="宋体" w:hint="eastAsia"/>
          <w:color w:val="FF0000"/>
          <w:sz w:val="32"/>
          <w:szCs w:val="32"/>
        </w:rPr>
        <w:t>手机银行</w:t>
      </w:r>
      <w:r>
        <w:rPr>
          <w:rFonts w:ascii="仿宋_GB2312" w:eastAsia="仿宋_GB2312" w:hAnsi="微软雅黑" w:cs="宋体" w:hint="eastAsia"/>
          <w:color w:val="000000" w:themeColor="text1"/>
          <w:sz w:val="32"/>
          <w:szCs w:val="32"/>
        </w:rPr>
        <w:t>等</w:t>
      </w:r>
      <w:r>
        <w:rPr>
          <w:rFonts w:ascii="仿宋_GB2312" w:eastAsia="仿宋_GB2312" w:hAnsi="微软雅黑" w:cs="宋体" w:hint="eastAsia"/>
          <w:color w:val="000000"/>
          <w:sz w:val="32"/>
          <w:szCs w:val="32"/>
        </w:rPr>
        <w:t>销售。销售服务费率为</w:t>
      </w:r>
      <w:r>
        <w:rPr>
          <w:rFonts w:ascii="仿宋_GB2312" w:eastAsia="仿宋_GB2312" w:hAnsi="微软雅黑" w:cs="宋体" w:hint="eastAsia"/>
          <w:color w:val="000000"/>
          <w:sz w:val="32"/>
          <w:szCs w:val="32"/>
        </w:rPr>
        <w:t>0.2%/</w:t>
      </w:r>
      <w:r>
        <w:rPr>
          <w:rFonts w:ascii="仿宋_GB2312" w:eastAsia="仿宋_GB2312" w:hAnsi="微软雅黑" w:cs="宋体" w:hint="eastAsia"/>
          <w:color w:val="000000"/>
          <w:sz w:val="32"/>
          <w:szCs w:val="32"/>
        </w:rPr>
        <w:t>年。部分要素如下：</w:t>
      </w:r>
    </w:p>
    <w:tbl>
      <w:tblPr>
        <w:tblW w:w="889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2279"/>
        <w:gridCol w:w="6616"/>
      </w:tblGrid>
      <w:tr w:rsidR="001B26D8" w:rsidTr="001B26D8">
        <w:trPr>
          <w:trHeight w:val="397"/>
          <w:jc w:val="center"/>
        </w:trPr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26D8" w:rsidRDefault="001B26D8">
            <w:pPr>
              <w:pStyle w:val="TableParagraph"/>
              <w:kinsoku w:val="0"/>
              <w:overflowPunct w:val="0"/>
              <w:spacing w:before="11"/>
              <w:ind w:left="55"/>
              <w:jc w:val="both"/>
              <w:rPr>
                <w:rFonts w:ascii="楷体" w:eastAsia="楷体" w:hAnsi="楷体" w:cs="宋体"/>
                <w:b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b/>
                <w:spacing w:val="-2"/>
                <w:kern w:val="2"/>
                <w:sz w:val="21"/>
                <w:szCs w:val="21"/>
              </w:rPr>
              <w:t>产品名称</w:t>
            </w:r>
          </w:p>
        </w:tc>
        <w:tc>
          <w:tcPr>
            <w:tcW w:w="6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26D8" w:rsidRDefault="001B26D8" w:rsidP="001B26D8">
            <w:pPr>
              <w:pStyle w:val="TableParagraph"/>
              <w:kinsoku w:val="0"/>
              <w:overflowPunct w:val="0"/>
              <w:spacing w:before="13"/>
              <w:ind w:left="59" w:rightChars="35" w:right="77"/>
              <w:jc w:val="both"/>
              <w:rPr>
                <w:rFonts w:ascii="楷体" w:eastAsia="楷体" w:hAnsi="楷体" w:cs="宋体"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spacing w:val="-2"/>
                <w:kern w:val="2"/>
                <w:sz w:val="21"/>
                <w:szCs w:val="21"/>
              </w:rPr>
              <w:t>苏银理财恒源封闭债权151期</w:t>
            </w:r>
          </w:p>
        </w:tc>
      </w:tr>
      <w:tr w:rsidR="001B26D8" w:rsidTr="001B26D8">
        <w:trPr>
          <w:trHeight w:val="397"/>
          <w:jc w:val="center"/>
        </w:trPr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26D8" w:rsidRDefault="001B26D8">
            <w:pPr>
              <w:pStyle w:val="TableParagraph"/>
              <w:kinsoku w:val="0"/>
              <w:overflowPunct w:val="0"/>
              <w:ind w:left="57"/>
              <w:jc w:val="both"/>
              <w:rPr>
                <w:rFonts w:ascii="楷体" w:eastAsia="楷体" w:hAnsi="楷体" w:cs="宋体"/>
                <w:b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b/>
                <w:spacing w:val="-2"/>
                <w:kern w:val="2"/>
                <w:sz w:val="21"/>
                <w:szCs w:val="21"/>
              </w:rPr>
              <w:t>理财产品登记编码</w:t>
            </w:r>
          </w:p>
        </w:tc>
        <w:tc>
          <w:tcPr>
            <w:tcW w:w="6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26D8" w:rsidRDefault="001B26D8" w:rsidP="001B26D8">
            <w:pPr>
              <w:pStyle w:val="TableParagraph"/>
              <w:kinsoku w:val="0"/>
              <w:overflowPunct w:val="0"/>
              <w:spacing w:line="260" w:lineRule="exact"/>
              <w:ind w:left="59" w:rightChars="35" w:right="77"/>
              <w:jc w:val="both"/>
              <w:rPr>
                <w:rFonts w:ascii="楷体" w:eastAsia="楷体" w:hAnsi="楷体" w:cs="宋体"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spacing w:val="-2"/>
                <w:kern w:val="2"/>
                <w:sz w:val="21"/>
                <w:szCs w:val="21"/>
              </w:rPr>
              <w:t>Z7003124000181</w:t>
            </w:r>
          </w:p>
          <w:p w:rsidR="001B26D8" w:rsidRDefault="001B26D8" w:rsidP="001B26D8">
            <w:pPr>
              <w:pStyle w:val="TableParagraph"/>
              <w:kinsoku w:val="0"/>
              <w:overflowPunct w:val="0"/>
              <w:spacing w:line="260" w:lineRule="exact"/>
              <w:ind w:left="59" w:rightChars="35" w:right="77"/>
              <w:jc w:val="both"/>
              <w:rPr>
                <w:rFonts w:ascii="楷体" w:eastAsia="楷体" w:hAnsi="楷体" w:cs="宋体"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spacing w:val="-2"/>
                <w:kern w:val="2"/>
                <w:sz w:val="21"/>
                <w:szCs w:val="21"/>
              </w:rPr>
              <w:t>（投资者可依据该编码在中国理财网</w:t>
            </w:r>
            <w:hyperlink r:id="rId6" w:history="1">
              <w:r>
                <w:rPr>
                  <w:rStyle w:val="a8"/>
                  <w:rFonts w:ascii="楷体" w:eastAsia="楷体" w:hAnsi="楷体" w:cs="宋体" w:hint="eastAsia"/>
                  <w:spacing w:val="-2"/>
                  <w:kern w:val="2"/>
                  <w:sz w:val="21"/>
                  <w:szCs w:val="21"/>
                </w:rPr>
                <w:t>www.chinawealth.com.cn</w:t>
              </w:r>
            </w:hyperlink>
            <w:r>
              <w:rPr>
                <w:rFonts w:ascii="楷体" w:eastAsia="楷体" w:hAnsi="楷体" w:cs="宋体" w:hint="eastAsia"/>
                <w:spacing w:val="-2"/>
                <w:kern w:val="2"/>
                <w:sz w:val="21"/>
                <w:szCs w:val="21"/>
              </w:rPr>
              <w:t>查询产品信息）</w:t>
            </w:r>
          </w:p>
        </w:tc>
      </w:tr>
      <w:tr w:rsidR="001B26D8" w:rsidTr="001B26D8">
        <w:trPr>
          <w:trHeight w:val="397"/>
          <w:jc w:val="center"/>
        </w:trPr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26D8" w:rsidRDefault="001B26D8">
            <w:pPr>
              <w:pStyle w:val="TableParagraph"/>
              <w:kinsoku w:val="0"/>
              <w:overflowPunct w:val="0"/>
              <w:spacing w:before="13"/>
              <w:ind w:left="55"/>
              <w:jc w:val="both"/>
              <w:rPr>
                <w:rFonts w:ascii="楷体" w:eastAsia="楷体" w:hAnsi="楷体" w:cs="宋体"/>
                <w:b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b/>
                <w:spacing w:val="-2"/>
                <w:kern w:val="2"/>
                <w:sz w:val="21"/>
                <w:szCs w:val="21"/>
              </w:rPr>
              <w:t>销售简称/销售代码</w:t>
            </w:r>
          </w:p>
        </w:tc>
        <w:tc>
          <w:tcPr>
            <w:tcW w:w="6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26D8" w:rsidRDefault="001B26D8" w:rsidP="001B26D8">
            <w:pPr>
              <w:pStyle w:val="TableParagraph"/>
              <w:kinsoku w:val="0"/>
              <w:overflowPunct w:val="0"/>
              <w:spacing w:before="12"/>
              <w:ind w:left="59" w:rightChars="35" w:right="77"/>
              <w:jc w:val="both"/>
              <w:rPr>
                <w:rFonts w:ascii="楷体" w:eastAsia="楷体" w:hAnsi="楷体" w:cs="宋体"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spacing w:val="-2"/>
                <w:kern w:val="2"/>
                <w:sz w:val="21"/>
                <w:szCs w:val="21"/>
              </w:rPr>
              <w:t>B份额：苏银理财恒源封闭债权151期13月B/J03752</w:t>
            </w:r>
          </w:p>
        </w:tc>
      </w:tr>
      <w:tr w:rsidR="001B26D8" w:rsidTr="001B26D8">
        <w:trPr>
          <w:trHeight w:val="397"/>
          <w:jc w:val="center"/>
        </w:trPr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26D8" w:rsidRDefault="001B26D8">
            <w:pPr>
              <w:pStyle w:val="TableParagraph"/>
              <w:kinsoku w:val="0"/>
              <w:overflowPunct w:val="0"/>
              <w:spacing w:before="14"/>
              <w:ind w:left="55"/>
              <w:jc w:val="both"/>
              <w:rPr>
                <w:rFonts w:ascii="楷体" w:eastAsia="楷体" w:hAnsi="楷体" w:cs="宋体"/>
                <w:b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b/>
                <w:spacing w:val="-2"/>
                <w:kern w:val="2"/>
                <w:sz w:val="21"/>
                <w:szCs w:val="21"/>
              </w:rPr>
              <w:t>产品管理人</w:t>
            </w:r>
          </w:p>
        </w:tc>
        <w:tc>
          <w:tcPr>
            <w:tcW w:w="6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26D8" w:rsidRDefault="001B26D8" w:rsidP="001B26D8">
            <w:pPr>
              <w:pStyle w:val="TableParagraph"/>
              <w:kinsoku w:val="0"/>
              <w:overflowPunct w:val="0"/>
              <w:spacing w:before="12"/>
              <w:ind w:left="59" w:rightChars="35" w:right="77"/>
              <w:jc w:val="both"/>
              <w:rPr>
                <w:rFonts w:ascii="楷体" w:eastAsia="楷体" w:hAnsi="楷体" w:cs="宋体"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spacing w:val="-2"/>
                <w:kern w:val="2"/>
                <w:sz w:val="21"/>
                <w:szCs w:val="21"/>
              </w:rPr>
              <w:t>苏银理财有限责任公司</w:t>
            </w:r>
          </w:p>
        </w:tc>
      </w:tr>
      <w:tr w:rsidR="001B26D8" w:rsidTr="001B26D8">
        <w:trPr>
          <w:trHeight w:val="397"/>
          <w:jc w:val="center"/>
        </w:trPr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26D8" w:rsidRDefault="001B26D8">
            <w:pPr>
              <w:pStyle w:val="TableParagraph"/>
              <w:kinsoku w:val="0"/>
              <w:overflowPunct w:val="0"/>
              <w:spacing w:before="13"/>
              <w:ind w:left="55"/>
              <w:jc w:val="both"/>
              <w:rPr>
                <w:rFonts w:ascii="楷体" w:eastAsia="楷体" w:hAnsi="楷体" w:cs="宋体"/>
                <w:b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b/>
                <w:spacing w:val="-2"/>
                <w:kern w:val="2"/>
                <w:sz w:val="21"/>
                <w:szCs w:val="21"/>
              </w:rPr>
              <w:t>产品托管人</w:t>
            </w:r>
          </w:p>
        </w:tc>
        <w:tc>
          <w:tcPr>
            <w:tcW w:w="6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26D8" w:rsidRDefault="001B26D8" w:rsidP="001B26D8">
            <w:pPr>
              <w:pStyle w:val="TableParagraph"/>
              <w:kinsoku w:val="0"/>
              <w:overflowPunct w:val="0"/>
              <w:spacing w:before="12"/>
              <w:ind w:left="59" w:rightChars="35" w:right="77"/>
              <w:jc w:val="both"/>
              <w:rPr>
                <w:rFonts w:ascii="楷体" w:eastAsia="楷体" w:hAnsi="楷体" w:cs="宋体"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spacing w:val="-2"/>
                <w:kern w:val="2"/>
                <w:sz w:val="21"/>
                <w:szCs w:val="21"/>
              </w:rPr>
              <w:t>江苏银行股份有限公司</w:t>
            </w:r>
          </w:p>
        </w:tc>
      </w:tr>
      <w:tr w:rsidR="001B26D8" w:rsidTr="001B26D8">
        <w:trPr>
          <w:trHeight w:val="397"/>
          <w:jc w:val="center"/>
        </w:trPr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26D8" w:rsidRDefault="001B26D8">
            <w:pPr>
              <w:pStyle w:val="TableParagraph"/>
              <w:kinsoku w:val="0"/>
              <w:overflowPunct w:val="0"/>
              <w:spacing w:before="13"/>
              <w:ind w:left="55"/>
              <w:jc w:val="both"/>
              <w:rPr>
                <w:rFonts w:ascii="楷体" w:eastAsia="楷体" w:hAnsi="楷体" w:cs="宋体"/>
                <w:b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b/>
                <w:spacing w:val="-2"/>
                <w:kern w:val="2"/>
                <w:sz w:val="21"/>
                <w:szCs w:val="21"/>
              </w:rPr>
              <w:t>产品内部风险评级</w:t>
            </w:r>
          </w:p>
        </w:tc>
        <w:tc>
          <w:tcPr>
            <w:tcW w:w="6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26D8" w:rsidRDefault="001B26D8" w:rsidP="001B26D8">
            <w:pPr>
              <w:pStyle w:val="TableParagraph"/>
              <w:kinsoku w:val="0"/>
              <w:overflowPunct w:val="0"/>
              <w:spacing w:before="13"/>
              <w:ind w:left="59" w:rightChars="35" w:right="77"/>
              <w:jc w:val="both"/>
              <w:rPr>
                <w:rFonts w:ascii="楷体" w:eastAsia="楷体" w:hAnsi="楷体" w:cs="宋体"/>
                <w:b/>
                <w:spacing w:val="-2"/>
                <w:kern w:val="2"/>
                <w:sz w:val="21"/>
                <w:szCs w:val="21"/>
                <w:u w:val="single"/>
              </w:rPr>
            </w:pPr>
            <w:r>
              <w:rPr>
                <w:rFonts w:ascii="楷体" w:eastAsia="楷体" w:hAnsi="楷体" w:cs="宋体" w:hint="eastAsia"/>
                <w:b/>
                <w:spacing w:val="-2"/>
                <w:kern w:val="2"/>
                <w:sz w:val="21"/>
                <w:szCs w:val="21"/>
                <w:u w:val="single"/>
              </w:rPr>
              <w:t>1、★★二级，</w:t>
            </w:r>
            <w:r>
              <w:rPr>
                <w:rFonts w:ascii="楷体" w:eastAsia="楷体" w:hAnsi="楷体" w:cs="宋体" w:hint="eastAsia"/>
                <w:spacing w:val="-2"/>
                <w:kern w:val="2"/>
                <w:sz w:val="21"/>
                <w:szCs w:val="21"/>
              </w:rPr>
              <w:t>本评级为苏银理财有限责任公司内部评级，由苏银理财根据理财产品的投资组合、同类产品过往业绩和风险状况等因素，对理财产品进行评级，仅供客户参考。</w:t>
            </w:r>
          </w:p>
          <w:p w:rsidR="001B26D8" w:rsidRDefault="001B26D8" w:rsidP="001B26D8">
            <w:pPr>
              <w:pStyle w:val="TableParagraph"/>
              <w:kinsoku w:val="0"/>
              <w:overflowPunct w:val="0"/>
              <w:spacing w:before="13"/>
              <w:ind w:left="59" w:rightChars="35" w:right="77"/>
              <w:jc w:val="both"/>
              <w:rPr>
                <w:rFonts w:ascii="楷体" w:eastAsia="楷体" w:hAnsi="楷体" w:cs="宋体" w:hint="eastAsia"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spacing w:val="-2"/>
                <w:kern w:val="2"/>
                <w:sz w:val="21"/>
                <w:szCs w:val="21"/>
              </w:rPr>
              <w:t>2、如本产品通过代理销售机构渠道销售，代理销售机构应当根据本机构的方式和方法，依据理财产品的投资组合、同类产品过往业绩和风险状况等因素，独立、审慎地对代理销售的理财产品进行销售评级，并向苏银理财及时、准确提供本机构销售评级结果等信息。销售评级与苏银理财产品评级结果不一致的，代理销售机构应当采用对应较高风险等级的评级结果并予以披露。</w:t>
            </w:r>
          </w:p>
          <w:p w:rsidR="001B26D8" w:rsidRDefault="001B26D8" w:rsidP="001B26D8">
            <w:pPr>
              <w:pStyle w:val="TableParagraph"/>
              <w:kinsoku w:val="0"/>
              <w:overflowPunct w:val="0"/>
              <w:spacing w:before="13"/>
              <w:ind w:left="59" w:rightChars="35" w:right="77"/>
              <w:jc w:val="both"/>
              <w:rPr>
                <w:rFonts w:ascii="楷体" w:eastAsia="楷体" w:hAnsi="楷体" w:cs="宋体" w:hint="eastAsia"/>
                <w:b/>
                <w:spacing w:val="-2"/>
                <w:kern w:val="2"/>
                <w:sz w:val="21"/>
                <w:szCs w:val="21"/>
                <w:u w:val="single"/>
              </w:rPr>
            </w:pPr>
            <w:r>
              <w:rPr>
                <w:rFonts w:ascii="楷体" w:eastAsia="楷体" w:hAnsi="楷体" w:cs="宋体" w:hint="eastAsia"/>
                <w:b/>
                <w:spacing w:val="-2"/>
                <w:kern w:val="2"/>
                <w:sz w:val="21"/>
                <w:szCs w:val="21"/>
                <w:u w:val="single"/>
              </w:rPr>
              <w:t>3、如本产品通过代理销售机构渠道销售，理财产品评级以代理销售机构最终披露的评级结果为准。</w:t>
            </w:r>
          </w:p>
          <w:p w:rsidR="001B26D8" w:rsidRPr="001B26D8" w:rsidRDefault="001B26D8" w:rsidP="001B26D8">
            <w:pPr>
              <w:rPr>
                <w:rFonts w:ascii="仿宋" w:eastAsia="仿宋" w:hAnsi="仿宋"/>
                <w:b/>
                <w:color w:val="FF0000"/>
              </w:rPr>
            </w:pPr>
            <w:r>
              <w:rPr>
                <w:rFonts w:ascii="仿宋" w:eastAsia="仿宋" w:hAnsi="仿宋" w:hint="eastAsia"/>
                <w:b/>
                <w:color w:val="FF0000"/>
              </w:rPr>
              <w:t>4、紫金农商银行对本产品的风险评级为中低风险。</w:t>
            </w:r>
          </w:p>
        </w:tc>
      </w:tr>
      <w:tr w:rsidR="001B26D8" w:rsidTr="001B26D8">
        <w:trPr>
          <w:trHeight w:val="397"/>
          <w:jc w:val="center"/>
        </w:trPr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26D8" w:rsidRDefault="001B26D8">
            <w:pPr>
              <w:pStyle w:val="TableParagraph"/>
              <w:kinsoku w:val="0"/>
              <w:overflowPunct w:val="0"/>
              <w:spacing w:before="12"/>
              <w:ind w:left="55"/>
              <w:jc w:val="both"/>
              <w:rPr>
                <w:rFonts w:ascii="楷体" w:eastAsia="楷体" w:hAnsi="楷体" w:cs="宋体"/>
                <w:b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b/>
                <w:spacing w:val="-2"/>
                <w:kern w:val="2"/>
                <w:sz w:val="21"/>
                <w:szCs w:val="21"/>
              </w:rPr>
              <w:t>收益类型</w:t>
            </w:r>
          </w:p>
        </w:tc>
        <w:tc>
          <w:tcPr>
            <w:tcW w:w="6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26D8" w:rsidRDefault="001B26D8" w:rsidP="001B26D8">
            <w:pPr>
              <w:pStyle w:val="TableParagraph"/>
              <w:kinsoku w:val="0"/>
              <w:overflowPunct w:val="0"/>
              <w:spacing w:before="12"/>
              <w:ind w:left="59" w:rightChars="35" w:right="77"/>
              <w:jc w:val="both"/>
              <w:rPr>
                <w:rFonts w:ascii="楷体" w:eastAsia="楷体" w:hAnsi="楷体" w:cs="宋体"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spacing w:val="-2"/>
                <w:kern w:val="2"/>
                <w:sz w:val="21"/>
                <w:szCs w:val="21"/>
              </w:rPr>
              <w:t>净值型（非保本浮动收益）</w:t>
            </w:r>
          </w:p>
        </w:tc>
      </w:tr>
      <w:tr w:rsidR="001B26D8" w:rsidTr="001B26D8">
        <w:trPr>
          <w:trHeight w:val="397"/>
          <w:jc w:val="center"/>
        </w:trPr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26D8" w:rsidRDefault="001B26D8">
            <w:pPr>
              <w:pStyle w:val="TableParagraph"/>
              <w:kinsoku w:val="0"/>
              <w:overflowPunct w:val="0"/>
              <w:spacing w:before="13"/>
              <w:ind w:left="55"/>
              <w:jc w:val="both"/>
              <w:rPr>
                <w:rFonts w:ascii="楷体" w:eastAsia="楷体" w:hAnsi="楷体" w:cs="宋体"/>
                <w:b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b/>
                <w:spacing w:val="-2"/>
                <w:kern w:val="2"/>
                <w:sz w:val="21"/>
                <w:szCs w:val="21"/>
              </w:rPr>
              <w:t>产品类型</w:t>
            </w:r>
          </w:p>
        </w:tc>
        <w:tc>
          <w:tcPr>
            <w:tcW w:w="6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26D8" w:rsidRDefault="001B26D8" w:rsidP="001B26D8">
            <w:pPr>
              <w:pStyle w:val="TableParagraph"/>
              <w:kinsoku w:val="0"/>
              <w:overflowPunct w:val="0"/>
              <w:spacing w:before="12"/>
              <w:ind w:left="59" w:rightChars="35" w:right="77"/>
              <w:jc w:val="both"/>
              <w:rPr>
                <w:rFonts w:ascii="楷体" w:eastAsia="楷体" w:hAnsi="楷体" w:cs="宋体"/>
                <w:b/>
                <w:spacing w:val="-2"/>
                <w:kern w:val="2"/>
                <w:sz w:val="21"/>
                <w:szCs w:val="21"/>
                <w:u w:val="single"/>
              </w:rPr>
            </w:pPr>
            <w:r>
              <w:rPr>
                <w:rFonts w:ascii="楷体" w:eastAsia="楷体" w:hAnsi="楷体" w:cs="宋体" w:hint="eastAsia"/>
                <w:b/>
                <w:spacing w:val="-2"/>
                <w:kern w:val="2"/>
                <w:sz w:val="21"/>
                <w:szCs w:val="21"/>
                <w:u w:val="single"/>
              </w:rPr>
              <w:t>固定收益类、公募、封闭式</w:t>
            </w:r>
          </w:p>
        </w:tc>
      </w:tr>
      <w:tr w:rsidR="001B26D8" w:rsidTr="001B26D8">
        <w:trPr>
          <w:trHeight w:val="397"/>
          <w:jc w:val="center"/>
        </w:trPr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26D8" w:rsidRDefault="001B26D8">
            <w:pPr>
              <w:pStyle w:val="TableParagraph"/>
              <w:kinsoku w:val="0"/>
              <w:overflowPunct w:val="0"/>
              <w:spacing w:before="13"/>
              <w:ind w:left="55"/>
              <w:jc w:val="both"/>
              <w:rPr>
                <w:rFonts w:ascii="楷体" w:eastAsia="楷体" w:hAnsi="楷体" w:cs="宋体"/>
                <w:b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b/>
                <w:spacing w:val="-2"/>
                <w:kern w:val="2"/>
                <w:sz w:val="21"/>
                <w:szCs w:val="21"/>
              </w:rPr>
              <w:t>销售对象</w:t>
            </w:r>
          </w:p>
        </w:tc>
        <w:tc>
          <w:tcPr>
            <w:tcW w:w="6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26D8" w:rsidRDefault="001B26D8" w:rsidP="001B26D8">
            <w:pPr>
              <w:pStyle w:val="TableParagraph"/>
              <w:kinsoku w:val="0"/>
              <w:overflowPunct w:val="0"/>
              <w:spacing w:before="12"/>
              <w:ind w:left="59" w:rightChars="35" w:right="77"/>
              <w:jc w:val="both"/>
              <w:rPr>
                <w:rFonts w:ascii="楷体" w:eastAsia="楷体" w:hAnsi="楷体" w:cs="宋体"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spacing w:val="-2"/>
                <w:kern w:val="2"/>
                <w:sz w:val="21"/>
                <w:szCs w:val="21"/>
              </w:rPr>
              <w:t>面向个人和机构投资者销售</w:t>
            </w:r>
          </w:p>
        </w:tc>
      </w:tr>
      <w:tr w:rsidR="001B26D8" w:rsidTr="001B26D8">
        <w:trPr>
          <w:trHeight w:val="397"/>
          <w:jc w:val="center"/>
        </w:trPr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26D8" w:rsidRDefault="001B26D8">
            <w:pPr>
              <w:pStyle w:val="TableParagraph"/>
              <w:kinsoku w:val="0"/>
              <w:overflowPunct w:val="0"/>
              <w:spacing w:before="14"/>
              <w:ind w:left="55"/>
              <w:jc w:val="both"/>
              <w:rPr>
                <w:rFonts w:ascii="楷体" w:eastAsia="楷体" w:hAnsi="楷体" w:cs="宋体"/>
                <w:b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b/>
                <w:spacing w:val="-2"/>
                <w:kern w:val="2"/>
                <w:sz w:val="21"/>
                <w:szCs w:val="21"/>
              </w:rPr>
              <w:t>募集币种</w:t>
            </w:r>
          </w:p>
        </w:tc>
        <w:tc>
          <w:tcPr>
            <w:tcW w:w="6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26D8" w:rsidRDefault="001B26D8" w:rsidP="001B26D8">
            <w:pPr>
              <w:pStyle w:val="TableParagraph"/>
              <w:kinsoku w:val="0"/>
              <w:overflowPunct w:val="0"/>
              <w:spacing w:before="14"/>
              <w:ind w:left="59" w:rightChars="35" w:right="77"/>
              <w:jc w:val="both"/>
              <w:rPr>
                <w:rFonts w:ascii="楷体" w:eastAsia="楷体" w:hAnsi="楷体" w:cs="宋体"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spacing w:val="-2"/>
                <w:kern w:val="2"/>
                <w:sz w:val="21"/>
                <w:szCs w:val="21"/>
              </w:rPr>
              <w:t>人民币</w:t>
            </w:r>
          </w:p>
        </w:tc>
      </w:tr>
      <w:tr w:rsidR="001B26D8" w:rsidTr="001B26D8">
        <w:trPr>
          <w:trHeight w:val="397"/>
          <w:jc w:val="center"/>
        </w:trPr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26D8" w:rsidRDefault="001B26D8">
            <w:pPr>
              <w:pStyle w:val="TableParagraph"/>
              <w:kinsoku w:val="0"/>
              <w:overflowPunct w:val="0"/>
              <w:spacing w:before="13"/>
              <w:ind w:left="55"/>
              <w:jc w:val="both"/>
              <w:rPr>
                <w:rFonts w:ascii="楷体" w:eastAsia="楷体" w:hAnsi="楷体" w:cs="宋体"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b/>
                <w:spacing w:val="-2"/>
                <w:kern w:val="2"/>
                <w:sz w:val="21"/>
                <w:szCs w:val="21"/>
              </w:rPr>
              <w:t>计划发行规模</w:t>
            </w:r>
          </w:p>
        </w:tc>
        <w:tc>
          <w:tcPr>
            <w:tcW w:w="6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26D8" w:rsidRDefault="001B26D8" w:rsidP="001B26D8">
            <w:pPr>
              <w:ind w:left="59" w:rightChars="35" w:right="77"/>
              <w:rPr>
                <w:rFonts w:ascii="楷体" w:eastAsia="楷体" w:hAnsi="楷体" w:cs="Times New Roman"/>
                <w:szCs w:val="21"/>
              </w:rPr>
            </w:pPr>
            <w:r>
              <w:rPr>
                <w:rFonts w:ascii="楷体" w:eastAsia="楷体" w:hAnsi="楷体" w:hint="eastAsia"/>
                <w:szCs w:val="21"/>
              </w:rPr>
              <w:t>计划发行总规模：6亿份。</w:t>
            </w:r>
          </w:p>
          <w:p w:rsidR="001B26D8" w:rsidRDefault="001B26D8" w:rsidP="001B26D8">
            <w:pPr>
              <w:pStyle w:val="TableParagraph"/>
              <w:kinsoku w:val="0"/>
              <w:overflowPunct w:val="0"/>
              <w:spacing w:before="12"/>
              <w:ind w:left="59" w:rightChars="35" w:right="77"/>
              <w:jc w:val="both"/>
              <w:rPr>
                <w:rFonts w:ascii="楷体" w:eastAsia="楷体" w:hAnsi="楷体" w:cs="宋体"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spacing w:val="-2"/>
                <w:kern w:val="2"/>
                <w:sz w:val="21"/>
                <w:szCs w:val="21"/>
              </w:rPr>
              <w:t>募集过程中管理人有权根据产品的募集情况调整计划发行规模。</w:t>
            </w:r>
          </w:p>
        </w:tc>
      </w:tr>
      <w:tr w:rsidR="001B26D8" w:rsidTr="001B26D8">
        <w:trPr>
          <w:trHeight w:val="397"/>
          <w:jc w:val="center"/>
        </w:trPr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26D8" w:rsidRDefault="001B26D8">
            <w:pPr>
              <w:pStyle w:val="TableParagraph"/>
              <w:kinsoku w:val="0"/>
              <w:overflowPunct w:val="0"/>
              <w:spacing w:before="12"/>
              <w:ind w:left="55"/>
              <w:jc w:val="both"/>
              <w:rPr>
                <w:rFonts w:ascii="楷体" w:eastAsia="楷体" w:hAnsi="楷体" w:cs="宋体"/>
                <w:b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b/>
                <w:spacing w:val="-2"/>
                <w:kern w:val="2"/>
                <w:sz w:val="21"/>
                <w:szCs w:val="21"/>
              </w:rPr>
              <w:t>认购起点/追加金额</w:t>
            </w:r>
          </w:p>
        </w:tc>
        <w:tc>
          <w:tcPr>
            <w:tcW w:w="6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26D8" w:rsidRDefault="001B26D8" w:rsidP="001B26D8">
            <w:pPr>
              <w:ind w:left="59" w:rightChars="35" w:right="77"/>
              <w:rPr>
                <w:rFonts w:ascii="楷体" w:eastAsia="楷体" w:hAnsi="楷体" w:cs="Times New Roman"/>
                <w:szCs w:val="21"/>
              </w:rPr>
            </w:pPr>
            <w:r>
              <w:rPr>
                <w:rFonts w:ascii="楷体" w:eastAsia="楷体" w:hAnsi="楷体" w:cs="宋体" w:hint="eastAsia"/>
                <w:spacing w:val="-2"/>
                <w:szCs w:val="21"/>
              </w:rPr>
              <w:t>投资者单笔</w:t>
            </w:r>
            <w:r>
              <w:rPr>
                <w:rFonts w:ascii="楷体" w:eastAsia="楷体" w:hAnsi="楷体" w:hint="eastAsia"/>
                <w:szCs w:val="21"/>
              </w:rPr>
              <w:t>认购起点金额为1元，追加金额为1元的整数倍。</w:t>
            </w:r>
          </w:p>
          <w:p w:rsidR="001B26D8" w:rsidRDefault="001B26D8" w:rsidP="001B26D8">
            <w:pPr>
              <w:widowControl w:val="0"/>
              <w:ind w:left="59" w:rightChars="35" w:right="77"/>
              <w:jc w:val="both"/>
              <w:rPr>
                <w:rFonts w:ascii="楷体" w:eastAsia="楷体" w:hAnsi="楷体" w:cs="宋体"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hint="eastAsia"/>
                <w:szCs w:val="21"/>
              </w:rPr>
              <w:t>认购资金的清算和认购份额的计算详见产品说明书“八、产品认购”。</w:t>
            </w:r>
          </w:p>
        </w:tc>
      </w:tr>
      <w:tr w:rsidR="001B26D8" w:rsidTr="001B26D8">
        <w:trPr>
          <w:trHeight w:val="397"/>
          <w:jc w:val="center"/>
        </w:trPr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26D8" w:rsidRDefault="001B26D8">
            <w:pPr>
              <w:pStyle w:val="TableParagraph"/>
              <w:kinsoku w:val="0"/>
              <w:overflowPunct w:val="0"/>
              <w:spacing w:before="13"/>
              <w:ind w:left="55"/>
              <w:jc w:val="both"/>
              <w:rPr>
                <w:rFonts w:ascii="楷体" w:eastAsia="楷体" w:hAnsi="楷体" w:cs="宋体"/>
                <w:b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b/>
                <w:spacing w:val="-2"/>
                <w:kern w:val="2"/>
                <w:sz w:val="21"/>
                <w:szCs w:val="21"/>
              </w:rPr>
              <w:t>份额面值</w:t>
            </w:r>
          </w:p>
        </w:tc>
        <w:tc>
          <w:tcPr>
            <w:tcW w:w="6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26D8" w:rsidRDefault="001B26D8" w:rsidP="001B26D8">
            <w:pPr>
              <w:pStyle w:val="TableParagraph"/>
              <w:kinsoku w:val="0"/>
              <w:overflowPunct w:val="0"/>
              <w:spacing w:before="12"/>
              <w:ind w:left="59" w:rightChars="35" w:right="77"/>
              <w:jc w:val="both"/>
              <w:rPr>
                <w:rFonts w:ascii="楷体" w:eastAsia="楷体" w:hAnsi="楷体" w:cs="宋体"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spacing w:val="-2"/>
                <w:kern w:val="2"/>
                <w:sz w:val="21"/>
                <w:szCs w:val="21"/>
              </w:rPr>
              <w:t>1元/份</w:t>
            </w:r>
          </w:p>
        </w:tc>
      </w:tr>
      <w:tr w:rsidR="001B26D8" w:rsidTr="001B26D8">
        <w:trPr>
          <w:trHeight w:val="397"/>
          <w:jc w:val="center"/>
        </w:trPr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26D8" w:rsidRDefault="001B26D8">
            <w:pPr>
              <w:pStyle w:val="TableParagraph"/>
              <w:kinsoku w:val="0"/>
              <w:overflowPunct w:val="0"/>
              <w:spacing w:before="13"/>
              <w:ind w:left="55"/>
              <w:jc w:val="both"/>
              <w:rPr>
                <w:rFonts w:ascii="楷体" w:eastAsia="楷体" w:hAnsi="楷体" w:cs="宋体"/>
                <w:b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b/>
                <w:spacing w:val="-2"/>
                <w:kern w:val="2"/>
                <w:sz w:val="21"/>
                <w:szCs w:val="21"/>
              </w:rPr>
              <w:t>募集期</w:t>
            </w:r>
          </w:p>
        </w:tc>
        <w:tc>
          <w:tcPr>
            <w:tcW w:w="6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26D8" w:rsidRDefault="001B26D8" w:rsidP="001B26D8">
            <w:pPr>
              <w:pStyle w:val="TableParagraph"/>
              <w:kinsoku w:val="0"/>
              <w:overflowPunct w:val="0"/>
              <w:spacing w:before="12"/>
              <w:ind w:left="59" w:rightChars="35" w:right="77"/>
              <w:jc w:val="both"/>
              <w:rPr>
                <w:rFonts w:ascii="楷体" w:eastAsia="楷体" w:hAnsi="楷体" w:cs="宋体"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spacing w:val="-2"/>
                <w:kern w:val="2"/>
                <w:sz w:val="21"/>
                <w:szCs w:val="21"/>
              </w:rPr>
              <w:t>2025年1月21日9:00至2025年2月5日17:00</w:t>
            </w:r>
          </w:p>
          <w:p w:rsidR="001B26D8" w:rsidRDefault="001B26D8" w:rsidP="001B26D8">
            <w:pPr>
              <w:pStyle w:val="TableParagraph"/>
              <w:kinsoku w:val="0"/>
              <w:overflowPunct w:val="0"/>
              <w:spacing w:before="12"/>
              <w:ind w:left="59" w:rightChars="35" w:right="77"/>
              <w:jc w:val="both"/>
              <w:rPr>
                <w:rFonts w:ascii="楷体" w:eastAsia="楷体" w:hAnsi="楷体" w:cs="宋体"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spacing w:val="-2"/>
                <w:kern w:val="2"/>
                <w:sz w:val="21"/>
                <w:szCs w:val="21"/>
              </w:rPr>
              <w:t>管理人在法律允许的范围内保留延长或提前终止产品募集期的权利。如有变动，实际产品募集期以管理人公告为准。</w:t>
            </w:r>
          </w:p>
        </w:tc>
      </w:tr>
      <w:tr w:rsidR="001B26D8" w:rsidTr="001B26D8">
        <w:trPr>
          <w:trHeight w:val="397"/>
          <w:jc w:val="center"/>
        </w:trPr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26D8" w:rsidRDefault="001B26D8">
            <w:pPr>
              <w:pStyle w:val="TableParagraph"/>
              <w:kinsoku w:val="0"/>
              <w:overflowPunct w:val="0"/>
              <w:spacing w:before="12"/>
              <w:ind w:left="55"/>
              <w:jc w:val="both"/>
              <w:rPr>
                <w:rFonts w:ascii="楷体" w:eastAsia="楷体" w:hAnsi="楷体" w:cs="宋体"/>
                <w:b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b/>
                <w:spacing w:val="-2"/>
                <w:kern w:val="2"/>
                <w:sz w:val="21"/>
                <w:szCs w:val="21"/>
              </w:rPr>
              <w:lastRenderedPageBreak/>
              <w:t>产品成立日/份额登记日</w:t>
            </w:r>
          </w:p>
        </w:tc>
        <w:tc>
          <w:tcPr>
            <w:tcW w:w="6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26D8" w:rsidRDefault="001B26D8" w:rsidP="001B26D8">
            <w:pPr>
              <w:pStyle w:val="TableParagraph"/>
              <w:kinsoku w:val="0"/>
              <w:overflowPunct w:val="0"/>
              <w:spacing w:before="12"/>
              <w:ind w:left="59" w:rightChars="35" w:right="77"/>
              <w:jc w:val="both"/>
              <w:rPr>
                <w:rFonts w:ascii="楷体" w:eastAsia="楷体" w:hAnsi="楷体" w:cs="宋体"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spacing w:val="-2"/>
                <w:kern w:val="2"/>
                <w:sz w:val="21"/>
                <w:szCs w:val="21"/>
              </w:rPr>
              <w:t>2025年2月6日</w:t>
            </w:r>
          </w:p>
          <w:p w:rsidR="001B26D8" w:rsidRDefault="001B26D8" w:rsidP="001B26D8">
            <w:pPr>
              <w:pStyle w:val="TableParagraph"/>
              <w:kinsoku w:val="0"/>
              <w:overflowPunct w:val="0"/>
              <w:spacing w:before="12"/>
              <w:ind w:left="59" w:rightChars="35" w:right="77"/>
              <w:jc w:val="both"/>
              <w:rPr>
                <w:rFonts w:ascii="楷体" w:eastAsia="楷体" w:hAnsi="楷体" w:cs="宋体"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spacing w:val="-2"/>
                <w:kern w:val="2"/>
                <w:sz w:val="21"/>
                <w:szCs w:val="21"/>
              </w:rPr>
              <w:t>若产品认购份额未达到最低发行总规模3000万，或新的法律、法规导致本产品无法合法合规运行，或出现其他导致影响产品成立不可抗力因素，产品管理人有权利但无义务宣布产品不成立，并于产品募集期结束后5个工作日内将投资者认购资金返还至投资者资金账户，募集期及资金在途期间投资者投资本金不计息。</w:t>
            </w:r>
          </w:p>
        </w:tc>
      </w:tr>
      <w:tr w:rsidR="001B26D8" w:rsidTr="001B26D8">
        <w:trPr>
          <w:trHeight w:val="397"/>
          <w:jc w:val="center"/>
        </w:trPr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26D8" w:rsidRDefault="001B26D8">
            <w:pPr>
              <w:pStyle w:val="TableParagraph"/>
              <w:kinsoku w:val="0"/>
              <w:overflowPunct w:val="0"/>
              <w:spacing w:before="12"/>
              <w:ind w:left="55"/>
              <w:jc w:val="both"/>
              <w:rPr>
                <w:rFonts w:ascii="楷体" w:eastAsia="楷体" w:hAnsi="楷体" w:cs="宋体"/>
                <w:b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b/>
                <w:spacing w:val="-2"/>
                <w:kern w:val="2"/>
                <w:sz w:val="21"/>
                <w:szCs w:val="21"/>
              </w:rPr>
              <w:t>产品到期日</w:t>
            </w:r>
          </w:p>
        </w:tc>
        <w:tc>
          <w:tcPr>
            <w:tcW w:w="6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26D8" w:rsidRDefault="001B26D8" w:rsidP="001B26D8">
            <w:pPr>
              <w:pStyle w:val="TableParagraph"/>
              <w:kinsoku w:val="0"/>
              <w:overflowPunct w:val="0"/>
              <w:spacing w:before="12"/>
              <w:ind w:left="59" w:rightChars="35" w:right="77"/>
              <w:jc w:val="both"/>
              <w:rPr>
                <w:rFonts w:ascii="楷体" w:eastAsia="楷体" w:hAnsi="楷体" w:cs="宋体"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spacing w:val="-2"/>
                <w:kern w:val="2"/>
                <w:sz w:val="21"/>
                <w:szCs w:val="21"/>
              </w:rPr>
              <w:t>2026年3月4日（如遇节假日，顺延至下一工作日）</w:t>
            </w:r>
          </w:p>
          <w:p w:rsidR="001B26D8" w:rsidRDefault="001B26D8" w:rsidP="001B26D8">
            <w:pPr>
              <w:pStyle w:val="TableParagraph"/>
              <w:kinsoku w:val="0"/>
              <w:overflowPunct w:val="0"/>
              <w:spacing w:before="12"/>
              <w:ind w:left="59" w:rightChars="35" w:right="77"/>
              <w:jc w:val="both"/>
              <w:rPr>
                <w:rFonts w:ascii="楷体" w:eastAsia="楷体" w:hAnsi="楷体" w:cs="宋体"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spacing w:val="-2"/>
                <w:kern w:val="2"/>
                <w:sz w:val="21"/>
                <w:szCs w:val="21"/>
              </w:rPr>
              <w:t>在符合产品说明书约定的条件下，管理人有权提前终止该产品，产品到期日受制于提前终止条款。详见产品说明书“十、产品的终止与清算”。</w:t>
            </w:r>
          </w:p>
        </w:tc>
      </w:tr>
      <w:tr w:rsidR="001B26D8" w:rsidTr="001B26D8">
        <w:trPr>
          <w:trHeight w:val="397"/>
          <w:jc w:val="center"/>
        </w:trPr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26D8" w:rsidRDefault="001B26D8" w:rsidP="001B26D8">
            <w:pPr>
              <w:pStyle w:val="TableParagraph"/>
              <w:kinsoku w:val="0"/>
              <w:overflowPunct w:val="0"/>
              <w:spacing w:before="12"/>
              <w:ind w:left="59" w:rightChars="35" w:right="77"/>
              <w:jc w:val="both"/>
              <w:rPr>
                <w:rFonts w:ascii="楷体" w:eastAsia="楷体" w:hAnsi="楷体" w:cs="宋体"/>
                <w:b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b/>
                <w:spacing w:val="-2"/>
                <w:kern w:val="2"/>
                <w:sz w:val="21"/>
                <w:szCs w:val="21"/>
              </w:rPr>
              <w:t>产品存续期限</w:t>
            </w:r>
          </w:p>
        </w:tc>
        <w:tc>
          <w:tcPr>
            <w:tcW w:w="6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26D8" w:rsidRDefault="001B26D8" w:rsidP="001B26D8">
            <w:pPr>
              <w:widowControl w:val="0"/>
              <w:ind w:left="59" w:rightChars="35" w:right="77"/>
              <w:jc w:val="both"/>
              <w:rPr>
                <w:rFonts w:ascii="楷体" w:eastAsia="楷体" w:hAnsi="楷体" w:cs="宋体"/>
                <w:spacing w:val="-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spacing w:val="-2"/>
                <w:szCs w:val="21"/>
              </w:rPr>
              <w:t>391天（以理财产品实际存续天数为准），</w:t>
            </w:r>
            <w:r>
              <w:rPr>
                <w:rFonts w:ascii="楷体" w:eastAsia="楷体" w:hAnsi="楷体" w:cs="Calibri" w:hint="eastAsia"/>
                <w:b/>
                <w:szCs w:val="21"/>
                <w:u w:val="single"/>
              </w:rPr>
              <w:t>本产品运行期间，不开放申购、赎回。</w:t>
            </w:r>
          </w:p>
        </w:tc>
      </w:tr>
      <w:tr w:rsidR="001B26D8" w:rsidTr="001B26D8">
        <w:trPr>
          <w:trHeight w:val="397"/>
          <w:jc w:val="center"/>
        </w:trPr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26D8" w:rsidRDefault="001B26D8">
            <w:pPr>
              <w:pStyle w:val="TableParagraph"/>
              <w:kinsoku w:val="0"/>
              <w:overflowPunct w:val="0"/>
              <w:spacing w:before="12"/>
              <w:ind w:left="55"/>
              <w:jc w:val="both"/>
              <w:rPr>
                <w:rFonts w:ascii="楷体" w:eastAsia="楷体" w:hAnsi="楷体" w:cs="宋体"/>
                <w:b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b/>
                <w:spacing w:val="-2"/>
                <w:kern w:val="2"/>
                <w:sz w:val="21"/>
                <w:szCs w:val="21"/>
              </w:rPr>
              <w:t>单个客户持有份额上限</w:t>
            </w:r>
          </w:p>
        </w:tc>
        <w:tc>
          <w:tcPr>
            <w:tcW w:w="6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26D8" w:rsidRDefault="001B26D8" w:rsidP="001B26D8">
            <w:pPr>
              <w:widowControl w:val="0"/>
              <w:ind w:left="59" w:rightChars="35" w:right="77"/>
              <w:jc w:val="both"/>
              <w:rPr>
                <w:rFonts w:ascii="楷体" w:eastAsia="楷体" w:hAnsi="楷体" w:cs="宋体"/>
                <w:spacing w:val="-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spacing w:val="-2"/>
                <w:szCs w:val="21"/>
              </w:rPr>
              <w:t>单一投资者持有份额不得超过总份额50%；非因主观因素导致突破前款规定比例限制的，在单一投资者持有份额占理财产品总份额比例降至50%以下之前，不再接受该单一投资者对理财产品的认购申请。</w:t>
            </w:r>
          </w:p>
        </w:tc>
      </w:tr>
      <w:tr w:rsidR="001B26D8" w:rsidTr="001B26D8">
        <w:trPr>
          <w:trHeight w:val="397"/>
          <w:jc w:val="center"/>
        </w:trPr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26D8" w:rsidRDefault="001B26D8" w:rsidP="001B26D8">
            <w:pPr>
              <w:pStyle w:val="TableParagraph"/>
              <w:kinsoku w:val="0"/>
              <w:overflowPunct w:val="0"/>
              <w:spacing w:before="12"/>
              <w:ind w:left="59" w:rightChars="35" w:right="77"/>
              <w:jc w:val="both"/>
              <w:rPr>
                <w:rFonts w:ascii="楷体" w:eastAsia="楷体" w:hAnsi="楷体" w:cs="宋体"/>
                <w:b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b/>
                <w:spacing w:val="-2"/>
                <w:kern w:val="2"/>
                <w:sz w:val="21"/>
                <w:szCs w:val="21"/>
              </w:rPr>
              <w:t>业绩比较基准（年化）</w:t>
            </w:r>
          </w:p>
        </w:tc>
        <w:tc>
          <w:tcPr>
            <w:tcW w:w="6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26D8" w:rsidRDefault="001B26D8" w:rsidP="001B26D8">
            <w:pPr>
              <w:pStyle w:val="TableParagraph"/>
              <w:kinsoku w:val="0"/>
              <w:overflowPunct w:val="0"/>
              <w:spacing w:before="37"/>
              <w:ind w:leftChars="10" w:left="22" w:rightChars="35" w:right="77"/>
              <w:jc w:val="both"/>
              <w:rPr>
                <w:rFonts w:ascii="楷体" w:eastAsia="楷体" w:hAnsi="楷体" w:cs="宋体"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b/>
                <w:bCs/>
                <w:spacing w:val="-2"/>
                <w:kern w:val="2"/>
                <w:sz w:val="21"/>
                <w:szCs w:val="21"/>
                <w:u w:val="single"/>
              </w:rPr>
              <w:t>苏银理财参考过往投资经验，依据近期货币市场工具、债券、非标准化债权等资产投资收益水平，在产品说明书约定的投资范围和投资比例内，综合考虑各份额收取的销售服务费和投资管理费的情况，模拟测算得出业绩比较基准。本产品各份额因收取的销售服务费和投资管理费存在差异，业绩比较基准设置将有所不同。</w:t>
            </w:r>
            <w:r>
              <w:rPr>
                <w:rFonts w:ascii="楷体" w:eastAsia="楷体" w:hAnsi="楷体" w:cs="宋体" w:hint="eastAsia"/>
                <w:spacing w:val="-2"/>
                <w:kern w:val="2"/>
                <w:sz w:val="21"/>
                <w:szCs w:val="21"/>
              </w:rPr>
              <w:t>各份额业绩比较基准如下：</w:t>
            </w:r>
          </w:p>
          <w:p w:rsidR="001B26D8" w:rsidRDefault="001B26D8" w:rsidP="001B26D8">
            <w:pPr>
              <w:pStyle w:val="TableParagraph"/>
              <w:kinsoku w:val="0"/>
              <w:overflowPunct w:val="0"/>
              <w:spacing w:before="12"/>
              <w:ind w:left="59" w:rightChars="35" w:right="77"/>
              <w:jc w:val="both"/>
              <w:rPr>
                <w:rFonts w:ascii="楷体" w:eastAsia="楷体" w:hAnsi="楷体" w:cs="宋体" w:hint="eastAsia"/>
                <w:bCs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bCs/>
                <w:spacing w:val="-2"/>
                <w:kern w:val="2"/>
                <w:sz w:val="21"/>
                <w:szCs w:val="21"/>
              </w:rPr>
              <w:t>B份额：年化2.60%</w:t>
            </w:r>
          </w:p>
          <w:p w:rsidR="001B26D8" w:rsidRDefault="001B26D8" w:rsidP="001B26D8">
            <w:pPr>
              <w:ind w:left="59" w:rightChars="35" w:right="77"/>
              <w:rPr>
                <w:rFonts w:ascii="楷体" w:eastAsia="楷体" w:hAnsi="楷体" w:cs="宋体" w:hint="eastAsia"/>
                <w:b/>
                <w:spacing w:val="-2"/>
                <w:kern w:val="2"/>
                <w:sz w:val="21"/>
                <w:szCs w:val="21"/>
                <w:u w:val="single"/>
              </w:rPr>
            </w:pPr>
            <w:r>
              <w:rPr>
                <w:rFonts w:ascii="楷体" w:eastAsia="楷体" w:hAnsi="楷体" w:cs="宋体" w:hint="eastAsia"/>
                <w:b/>
                <w:spacing w:val="-2"/>
                <w:szCs w:val="21"/>
                <w:u w:val="single"/>
              </w:rPr>
              <w:t>本产品为净值型产品，业绩表现将随市场波动，具有不确定性。业绩比</w:t>
            </w:r>
          </w:p>
          <w:p w:rsidR="001B26D8" w:rsidRDefault="001B26D8" w:rsidP="001B26D8">
            <w:pPr>
              <w:widowControl w:val="0"/>
              <w:ind w:left="59" w:rightChars="35" w:right="77"/>
              <w:jc w:val="both"/>
              <w:rPr>
                <w:rFonts w:ascii="楷体" w:eastAsia="楷体" w:hAnsi="楷体" w:cs="宋体"/>
                <w:spacing w:val="-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b/>
                <w:spacing w:val="-2"/>
                <w:szCs w:val="21"/>
                <w:u w:val="single"/>
              </w:rPr>
              <w:t>较基准为管理人对本产品所设定的投资目标，不代表理财产品未来表现，不等于理财产品实际收益，不构成管理人对产品实际投资收益率的承诺或担保，投资者的实际收益由产品净值表现决定。产品存续期内管理人有权根据市场情况调整业绩比较基准，如有调整以管理人公告为准。</w:t>
            </w:r>
          </w:p>
        </w:tc>
      </w:tr>
      <w:tr w:rsidR="001B26D8" w:rsidTr="001B26D8">
        <w:trPr>
          <w:trHeight w:val="397"/>
          <w:jc w:val="center"/>
        </w:trPr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26D8" w:rsidRDefault="001B26D8">
            <w:pPr>
              <w:pStyle w:val="TableParagraph"/>
              <w:kinsoku w:val="0"/>
              <w:overflowPunct w:val="0"/>
              <w:spacing w:before="18"/>
              <w:ind w:left="55"/>
              <w:jc w:val="both"/>
              <w:rPr>
                <w:rFonts w:ascii="楷体" w:eastAsia="楷体" w:hAnsi="楷体" w:cs="宋体"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b/>
                <w:spacing w:val="-2"/>
                <w:kern w:val="2"/>
                <w:sz w:val="21"/>
                <w:szCs w:val="21"/>
              </w:rPr>
              <w:t>产品费用</w:t>
            </w:r>
          </w:p>
        </w:tc>
        <w:tc>
          <w:tcPr>
            <w:tcW w:w="6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26D8" w:rsidRDefault="001B26D8" w:rsidP="001B26D8">
            <w:pPr>
              <w:ind w:left="59" w:rightChars="35" w:right="77"/>
              <w:rPr>
                <w:rFonts w:ascii="楷体" w:eastAsia="楷体" w:hAnsi="楷体" w:cs="宋体"/>
                <w:spacing w:val="-2"/>
                <w:szCs w:val="21"/>
              </w:rPr>
            </w:pPr>
            <w:r>
              <w:rPr>
                <w:rFonts w:ascii="楷体" w:eastAsia="楷体" w:hAnsi="楷体" w:cs="宋体" w:hint="eastAsia"/>
                <w:spacing w:val="-2"/>
                <w:szCs w:val="21"/>
              </w:rPr>
              <w:t>本产品费用包括托管费、销售服务费、投资管理费、超额业绩报酬（如有）以及产品运作和清算中产生的其他费用等。</w:t>
            </w:r>
          </w:p>
          <w:p w:rsidR="001B26D8" w:rsidRDefault="001B26D8" w:rsidP="001B26D8">
            <w:pPr>
              <w:ind w:left="59" w:rightChars="35" w:right="77"/>
              <w:rPr>
                <w:rFonts w:ascii="楷体" w:eastAsia="楷体" w:hAnsi="楷体" w:cs="宋体" w:hint="eastAsia"/>
                <w:spacing w:val="-2"/>
                <w:szCs w:val="21"/>
              </w:rPr>
            </w:pPr>
            <w:r>
              <w:rPr>
                <w:rFonts w:ascii="楷体" w:eastAsia="楷体" w:hAnsi="楷体" w:cs="宋体" w:hint="eastAsia"/>
                <w:spacing w:val="-2"/>
                <w:szCs w:val="21"/>
              </w:rPr>
              <w:t>1.托管费率：0.02%/年；</w:t>
            </w:r>
          </w:p>
          <w:p w:rsidR="001B26D8" w:rsidRDefault="001B26D8" w:rsidP="001B26D8">
            <w:pPr>
              <w:ind w:left="59" w:rightChars="35" w:right="77"/>
              <w:rPr>
                <w:rFonts w:ascii="楷体" w:eastAsia="楷体" w:hAnsi="楷体" w:cs="宋体" w:hint="eastAsia"/>
                <w:spacing w:val="-2"/>
                <w:szCs w:val="21"/>
              </w:rPr>
            </w:pPr>
            <w:r>
              <w:rPr>
                <w:rFonts w:ascii="楷体" w:eastAsia="楷体" w:hAnsi="楷体" w:cs="宋体" w:hint="eastAsia"/>
                <w:spacing w:val="-2"/>
                <w:szCs w:val="21"/>
              </w:rPr>
              <w:t>2.销售服务费率： B份额0.20%/年；</w:t>
            </w:r>
          </w:p>
          <w:p w:rsidR="001B26D8" w:rsidRDefault="001B26D8" w:rsidP="001B26D8">
            <w:pPr>
              <w:ind w:left="59" w:rightChars="35" w:right="77"/>
              <w:rPr>
                <w:rFonts w:ascii="楷体" w:eastAsia="楷体" w:hAnsi="楷体" w:cs="宋体" w:hint="eastAsia"/>
                <w:spacing w:val="-2"/>
                <w:szCs w:val="21"/>
              </w:rPr>
            </w:pPr>
            <w:r>
              <w:rPr>
                <w:rFonts w:ascii="楷体" w:eastAsia="楷体" w:hAnsi="楷体" w:cs="宋体" w:hint="eastAsia"/>
                <w:spacing w:val="-2"/>
                <w:szCs w:val="21"/>
              </w:rPr>
              <w:t>3.投资管理费率： B份额0.25/年；</w:t>
            </w:r>
          </w:p>
          <w:p w:rsidR="001B26D8" w:rsidRDefault="001B26D8" w:rsidP="001B26D8">
            <w:pPr>
              <w:ind w:left="59" w:rightChars="35" w:right="77"/>
              <w:rPr>
                <w:rFonts w:ascii="楷体" w:eastAsia="楷体" w:hAnsi="楷体" w:cs="宋体" w:hint="eastAsia"/>
                <w:spacing w:val="-2"/>
                <w:szCs w:val="21"/>
              </w:rPr>
            </w:pPr>
            <w:r>
              <w:rPr>
                <w:rFonts w:ascii="楷体" w:eastAsia="楷体" w:hAnsi="楷体" w:cs="宋体" w:hint="eastAsia"/>
                <w:spacing w:val="-2"/>
                <w:szCs w:val="21"/>
              </w:rPr>
              <w:t>4.超额业绩报酬：若产品各份额实际投资收益在扣除托管费、销售服务费、投资管理费等费用后超过各份额业绩比较基准，产品管理人将按照超出部分的50%收取超额业绩报酬。</w:t>
            </w:r>
          </w:p>
          <w:p w:rsidR="001B26D8" w:rsidRDefault="001B26D8" w:rsidP="001B26D8">
            <w:pPr>
              <w:ind w:left="59" w:rightChars="35" w:right="77"/>
              <w:rPr>
                <w:rFonts w:ascii="楷体" w:eastAsia="楷体" w:hAnsi="楷体" w:cs="宋体" w:hint="eastAsia"/>
                <w:spacing w:val="-2"/>
                <w:szCs w:val="21"/>
              </w:rPr>
            </w:pPr>
            <w:r>
              <w:rPr>
                <w:rFonts w:ascii="楷体" w:eastAsia="楷体" w:hAnsi="楷体" w:cs="宋体" w:hint="eastAsia"/>
                <w:spacing w:val="-2"/>
                <w:szCs w:val="21"/>
              </w:rPr>
              <w:t>产品存续期内理财产品将每日暂估超额业绩报酬，仅用于理财产品会计核算，并将扣除“暂估超额业绩报酬”后的理财产品份额净值按照说明书约定向投资者进行披露。理财产品实际的超额业绩报酬以到期日计提核算的数值为准。计算累计年化收益率和业绩比较基准时，1年按365日计算。</w:t>
            </w:r>
          </w:p>
          <w:p w:rsidR="001B26D8" w:rsidRDefault="001B26D8" w:rsidP="001B26D8">
            <w:pPr>
              <w:widowControl w:val="0"/>
              <w:ind w:left="59" w:rightChars="35" w:right="77"/>
              <w:jc w:val="both"/>
              <w:rPr>
                <w:rFonts w:ascii="楷体" w:eastAsia="楷体" w:hAnsi="楷体"/>
                <w:kern w:val="2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spacing w:val="-2"/>
                <w:szCs w:val="21"/>
              </w:rPr>
              <w:lastRenderedPageBreak/>
              <w:t>产品存续期内苏银理财可对费用进行调整，实际收取费率以管理人公告为准。</w:t>
            </w:r>
            <w:r>
              <w:rPr>
                <w:rFonts w:ascii="楷体" w:eastAsia="楷体" w:hAnsi="楷体" w:cs="宋体" w:hint="eastAsia"/>
                <w:b/>
                <w:spacing w:val="-2"/>
                <w:szCs w:val="21"/>
                <w:u w:val="single"/>
              </w:rPr>
              <w:t>本产品设置有多个份额，各份额按照设置的销售对象和销售起点进行销售，各份额实际收取的销售服务费率和投资管理费率可能存在差异，客户根据产品销售时设置的条件自主选择购买。</w:t>
            </w:r>
          </w:p>
        </w:tc>
      </w:tr>
      <w:tr w:rsidR="001B26D8" w:rsidTr="001B26D8">
        <w:trPr>
          <w:trHeight w:val="397"/>
          <w:jc w:val="center"/>
        </w:trPr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26D8" w:rsidRDefault="001B26D8">
            <w:pPr>
              <w:pStyle w:val="TableParagraph"/>
              <w:kinsoku w:val="0"/>
              <w:overflowPunct w:val="0"/>
              <w:spacing w:before="18"/>
              <w:ind w:left="55"/>
              <w:jc w:val="both"/>
              <w:rPr>
                <w:rFonts w:ascii="楷体" w:eastAsia="楷体" w:hAnsi="楷体" w:cs="宋体"/>
                <w:b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b/>
                <w:spacing w:val="-2"/>
                <w:kern w:val="2"/>
                <w:sz w:val="21"/>
                <w:szCs w:val="21"/>
              </w:rPr>
              <w:lastRenderedPageBreak/>
              <w:t>估值日</w:t>
            </w:r>
          </w:p>
        </w:tc>
        <w:tc>
          <w:tcPr>
            <w:tcW w:w="6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26D8" w:rsidRDefault="001B26D8" w:rsidP="001B26D8">
            <w:pPr>
              <w:widowControl w:val="0"/>
              <w:ind w:left="59" w:rightChars="35" w:right="77"/>
              <w:jc w:val="both"/>
              <w:rPr>
                <w:rFonts w:ascii="楷体" w:eastAsia="楷体" w:hAnsi="楷体" w:cs="宋体"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spacing w:val="-2"/>
                <w:szCs w:val="21"/>
              </w:rPr>
              <w:t>每周估值，并于估值日后第2个工作日内，通过本产品说明书约定方式披露产品单位净值。详见产品说明书“九、产品估值”。</w:t>
            </w:r>
          </w:p>
        </w:tc>
      </w:tr>
      <w:tr w:rsidR="001B26D8" w:rsidTr="001B26D8">
        <w:trPr>
          <w:trHeight w:val="397"/>
          <w:jc w:val="center"/>
        </w:trPr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26D8" w:rsidRDefault="001B26D8">
            <w:pPr>
              <w:pStyle w:val="TableParagraph"/>
              <w:kinsoku w:val="0"/>
              <w:overflowPunct w:val="0"/>
              <w:spacing w:before="18"/>
              <w:ind w:left="55"/>
              <w:jc w:val="both"/>
              <w:rPr>
                <w:rFonts w:ascii="楷体" w:eastAsia="楷体" w:hAnsi="楷体" w:cs="宋体"/>
                <w:b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b/>
                <w:spacing w:val="-2"/>
                <w:kern w:val="2"/>
                <w:sz w:val="21"/>
                <w:szCs w:val="21"/>
              </w:rPr>
              <w:t>信息披露</w:t>
            </w:r>
          </w:p>
        </w:tc>
        <w:tc>
          <w:tcPr>
            <w:tcW w:w="6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26D8" w:rsidRDefault="001B26D8" w:rsidP="001B26D8">
            <w:pPr>
              <w:widowControl w:val="0"/>
              <w:ind w:left="59" w:rightChars="35" w:right="77"/>
              <w:jc w:val="both"/>
              <w:rPr>
                <w:rFonts w:ascii="楷体" w:eastAsia="楷体" w:hAnsi="楷体" w:cs="宋体"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spacing w:val="-2"/>
                <w:szCs w:val="21"/>
              </w:rPr>
              <w:t>管理人将按照《产品说明书》中约定的方式进行信息披露，详见产品说明书“十四、信息披露”。</w:t>
            </w:r>
          </w:p>
        </w:tc>
      </w:tr>
      <w:tr w:rsidR="001B26D8" w:rsidTr="001B26D8">
        <w:trPr>
          <w:trHeight w:val="397"/>
          <w:jc w:val="center"/>
        </w:trPr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26D8" w:rsidRDefault="001B26D8">
            <w:pPr>
              <w:pStyle w:val="TableParagraph"/>
              <w:kinsoku w:val="0"/>
              <w:overflowPunct w:val="0"/>
              <w:spacing w:before="18"/>
              <w:ind w:left="55"/>
              <w:jc w:val="both"/>
              <w:rPr>
                <w:rFonts w:ascii="楷体" w:eastAsia="楷体" w:hAnsi="楷体" w:cs="宋体"/>
                <w:b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b/>
                <w:spacing w:val="-2"/>
                <w:kern w:val="2"/>
                <w:sz w:val="21"/>
                <w:szCs w:val="21"/>
              </w:rPr>
              <w:t>收益分配</w:t>
            </w:r>
          </w:p>
        </w:tc>
        <w:tc>
          <w:tcPr>
            <w:tcW w:w="6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26D8" w:rsidRDefault="001B26D8" w:rsidP="001B26D8">
            <w:pPr>
              <w:widowControl w:val="0"/>
              <w:ind w:left="59" w:rightChars="35" w:right="77"/>
              <w:jc w:val="both"/>
              <w:rPr>
                <w:rFonts w:ascii="楷体" w:eastAsia="楷体" w:hAnsi="楷体" w:cs="宋体"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spacing w:val="-2"/>
                <w:szCs w:val="21"/>
              </w:rPr>
              <w:t>本产品无分红机制，投资运作情况体现为产品净值变化。产品投资运作到期，投资收益扣除相关费用后，全部分配给投资者。详见产品说明书“十、产品的终止与清算”。</w:t>
            </w:r>
          </w:p>
        </w:tc>
      </w:tr>
      <w:tr w:rsidR="001B26D8" w:rsidTr="001B26D8">
        <w:trPr>
          <w:trHeight w:val="397"/>
          <w:jc w:val="center"/>
        </w:trPr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26D8" w:rsidRDefault="001B26D8">
            <w:pPr>
              <w:pStyle w:val="TableParagraph"/>
              <w:kinsoku w:val="0"/>
              <w:overflowPunct w:val="0"/>
              <w:spacing w:before="18"/>
              <w:ind w:left="55"/>
              <w:jc w:val="both"/>
              <w:rPr>
                <w:rFonts w:ascii="楷体" w:eastAsia="楷体" w:hAnsi="楷体" w:cs="宋体"/>
                <w:b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b/>
                <w:spacing w:val="-2"/>
                <w:kern w:val="2"/>
                <w:sz w:val="21"/>
                <w:szCs w:val="21"/>
              </w:rPr>
              <w:t>税款</w:t>
            </w:r>
          </w:p>
        </w:tc>
        <w:tc>
          <w:tcPr>
            <w:tcW w:w="6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26D8" w:rsidRDefault="001B26D8" w:rsidP="001B26D8">
            <w:pPr>
              <w:widowControl w:val="0"/>
              <w:ind w:left="59" w:rightChars="35" w:right="77"/>
              <w:jc w:val="both"/>
              <w:rPr>
                <w:rFonts w:ascii="楷体" w:eastAsia="楷体" w:hAnsi="楷体" w:cs="宋体"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spacing w:val="-2"/>
                <w:szCs w:val="21"/>
              </w:rPr>
              <w:t xml:space="preserve">本产品运作过程中涉及的各纳税主体，其纳税义务按国家税收法律、法规执行。详见产品说明书“十二、税收规定”。 </w:t>
            </w:r>
          </w:p>
        </w:tc>
      </w:tr>
    </w:tbl>
    <w:p w:rsidR="00F34A59" w:rsidRDefault="009A057A">
      <w:pPr>
        <w:adjustRightInd/>
        <w:snapToGrid/>
        <w:spacing w:after="0"/>
        <w:ind w:firstLine="630"/>
        <w:jc w:val="center"/>
        <w:rPr>
          <w:rFonts w:ascii="仿宋_GB2312" w:eastAsia="仿宋_GB2312" w:hAnsi="微软雅黑" w:cs="宋体"/>
          <w:color w:val="FF0000"/>
          <w:sz w:val="32"/>
          <w:szCs w:val="32"/>
        </w:rPr>
      </w:pPr>
      <w:r>
        <w:rPr>
          <w:rFonts w:ascii="仿宋_GB2312" w:eastAsia="仿宋_GB2312" w:hAnsi="微软雅黑" w:cs="宋体" w:hint="eastAsia"/>
          <w:color w:val="FF0000"/>
          <w:sz w:val="32"/>
          <w:szCs w:val="32"/>
        </w:rPr>
        <w:t>（更多具体要素请详阅产品说明书）</w:t>
      </w:r>
    </w:p>
    <w:p w:rsidR="00F34A59" w:rsidRDefault="009A057A">
      <w:pPr>
        <w:adjustRightInd/>
        <w:snapToGrid/>
        <w:spacing w:after="0"/>
        <w:ind w:firstLineChars="200" w:firstLine="640"/>
        <w:rPr>
          <w:rFonts w:ascii="仿宋_GB2312" w:eastAsia="仿宋_GB2312" w:hAnsi="微软雅黑" w:cs="宋体"/>
          <w:color w:val="000000"/>
          <w:sz w:val="32"/>
          <w:szCs w:val="32"/>
        </w:rPr>
      </w:pPr>
      <w:r>
        <w:rPr>
          <w:rFonts w:ascii="仿宋_GB2312" w:eastAsia="仿宋_GB2312" w:hAnsi="微软雅黑" w:cs="宋体" w:hint="eastAsia"/>
          <w:color w:val="000000"/>
          <w:sz w:val="32"/>
          <w:szCs w:val="32"/>
        </w:rPr>
        <w:t>注意事项：</w:t>
      </w:r>
    </w:p>
    <w:p w:rsidR="00F34A59" w:rsidRDefault="009A057A">
      <w:pPr>
        <w:adjustRightInd/>
        <w:snapToGrid/>
        <w:spacing w:after="0"/>
        <w:ind w:firstLineChars="200" w:firstLine="640"/>
        <w:rPr>
          <w:rFonts w:ascii="微软雅黑" w:hAnsi="微软雅黑" w:cs="宋体"/>
          <w:color w:val="000000"/>
          <w:sz w:val="30"/>
          <w:szCs w:val="30"/>
        </w:rPr>
      </w:pPr>
      <w:r>
        <w:rPr>
          <w:rFonts w:ascii="仿宋_GB2312" w:eastAsia="仿宋_GB2312" w:hAnsi="微软雅黑" w:cs="宋体" w:hint="eastAsia"/>
          <w:color w:val="000000"/>
          <w:sz w:val="32"/>
          <w:szCs w:val="32"/>
        </w:rPr>
        <w:t>1.</w:t>
      </w:r>
      <w:r>
        <w:rPr>
          <w:rFonts w:ascii="仿宋_GB2312" w:eastAsia="仿宋_GB2312" w:hAnsi="微软雅黑" w:cs="宋体" w:hint="eastAsia"/>
          <w:color w:val="000000"/>
          <w:sz w:val="32"/>
          <w:szCs w:val="32"/>
        </w:rPr>
        <w:t>该产品销售要求参照我行自营理财销售相关规定执行。</w:t>
      </w:r>
    </w:p>
    <w:p w:rsidR="00F34A59" w:rsidRDefault="009A057A">
      <w:pPr>
        <w:adjustRightInd/>
        <w:snapToGrid/>
        <w:spacing w:after="0"/>
        <w:ind w:firstLineChars="200" w:firstLine="640"/>
        <w:rPr>
          <w:rFonts w:ascii="仿宋_GB2312" w:eastAsia="仿宋_GB2312" w:hAnsi="微软雅黑" w:cs="宋体"/>
          <w:color w:val="000000"/>
          <w:sz w:val="32"/>
          <w:szCs w:val="32"/>
        </w:rPr>
      </w:pPr>
      <w:r>
        <w:rPr>
          <w:rFonts w:ascii="仿宋_GB2312" w:eastAsia="仿宋_GB2312" w:hAnsi="微软雅黑" w:cs="宋体" w:hint="eastAsia"/>
          <w:color w:val="000000"/>
          <w:sz w:val="32"/>
          <w:szCs w:val="32"/>
        </w:rPr>
        <w:t>2.</w:t>
      </w:r>
      <w:r>
        <w:rPr>
          <w:rFonts w:ascii="仿宋_GB2312" w:eastAsia="仿宋_GB2312" w:hAnsi="微软雅黑" w:cs="宋体" w:hint="eastAsia"/>
          <w:color w:val="000000"/>
          <w:sz w:val="32"/>
          <w:szCs w:val="32"/>
        </w:rPr>
        <w:t>相关产品销售文件见附件。</w:t>
      </w:r>
    </w:p>
    <w:p w:rsidR="00F34A59" w:rsidRDefault="009A057A">
      <w:pPr>
        <w:adjustRightInd/>
        <w:snapToGrid/>
        <w:spacing w:after="0"/>
        <w:ind w:firstLineChars="200" w:firstLine="640"/>
        <w:rPr>
          <w:rFonts w:ascii="仿宋_GB2312" w:eastAsia="仿宋_GB2312" w:hAnsi="微软雅黑" w:cs="宋体"/>
          <w:color w:val="000000"/>
          <w:sz w:val="32"/>
          <w:szCs w:val="32"/>
        </w:rPr>
      </w:pPr>
      <w:r>
        <w:rPr>
          <w:rFonts w:ascii="仿宋_GB2312" w:eastAsia="仿宋_GB2312" w:hAnsi="微软雅黑" w:cs="宋体" w:hint="eastAsia"/>
          <w:color w:val="000000"/>
          <w:sz w:val="32"/>
          <w:szCs w:val="32"/>
        </w:rPr>
        <w:t>3.</w:t>
      </w:r>
      <w:r>
        <w:rPr>
          <w:rFonts w:ascii="仿宋_GB2312" w:eastAsia="仿宋_GB2312" w:hAnsi="微软雅黑" w:cs="宋体" w:hint="eastAsia"/>
          <w:color w:val="000000"/>
          <w:sz w:val="32"/>
          <w:szCs w:val="32"/>
        </w:rPr>
        <w:t>如有其他未尽事宜以私人银行部解释为准。</w:t>
      </w:r>
    </w:p>
    <w:p w:rsidR="00F34A59" w:rsidRDefault="00F34A59">
      <w:pPr>
        <w:adjustRightInd/>
        <w:snapToGrid/>
        <w:spacing w:after="0"/>
        <w:rPr>
          <w:rFonts w:ascii="微软雅黑" w:hAnsi="微软雅黑" w:cs="宋体"/>
          <w:color w:val="000000"/>
          <w:sz w:val="30"/>
          <w:szCs w:val="30"/>
        </w:rPr>
      </w:pPr>
    </w:p>
    <w:p w:rsidR="00F34A59" w:rsidRDefault="009A057A">
      <w:pPr>
        <w:adjustRightInd/>
        <w:snapToGrid/>
        <w:spacing w:after="0"/>
        <w:ind w:firstLineChars="200" w:firstLine="640"/>
        <w:rPr>
          <w:rFonts w:ascii="仿宋_GB2312" w:eastAsia="仿宋_GB2312" w:hAnsi="微软雅黑" w:cs="宋体"/>
          <w:color w:val="000000"/>
          <w:sz w:val="32"/>
          <w:szCs w:val="32"/>
        </w:rPr>
      </w:pPr>
      <w:r>
        <w:rPr>
          <w:rFonts w:ascii="仿宋_GB2312" w:eastAsia="仿宋_GB2312" w:hAnsi="微软雅黑" w:cs="宋体" w:hint="eastAsia"/>
          <w:color w:val="000000"/>
          <w:sz w:val="32"/>
          <w:szCs w:val="32"/>
        </w:rPr>
        <w:t>附件：</w:t>
      </w:r>
      <w:r>
        <w:rPr>
          <w:rFonts w:ascii="仿宋_GB2312" w:eastAsia="仿宋_GB2312" w:hAnsi="微软雅黑" w:cs="宋体" w:hint="eastAsia"/>
          <w:color w:val="000000"/>
          <w:sz w:val="32"/>
          <w:szCs w:val="32"/>
        </w:rPr>
        <w:t>1.</w:t>
      </w:r>
      <w:r>
        <w:rPr>
          <w:rFonts w:ascii="仿宋_GB2312" w:eastAsia="仿宋_GB2312" w:hAnsi="微软雅黑" w:cs="宋体" w:hint="eastAsia"/>
          <w:color w:val="000000"/>
          <w:sz w:val="32"/>
          <w:szCs w:val="32"/>
        </w:rPr>
        <w:t>“苏银理财恒源</w:t>
      </w:r>
      <w:r w:rsidR="001B26D8">
        <w:rPr>
          <w:rFonts w:ascii="仿宋_GB2312" w:eastAsia="仿宋_GB2312" w:hAnsi="微软雅黑" w:cs="宋体" w:hint="eastAsia"/>
          <w:color w:val="000000"/>
          <w:sz w:val="32"/>
          <w:szCs w:val="32"/>
        </w:rPr>
        <w:t>封闭债权151期</w:t>
      </w:r>
      <w:r>
        <w:rPr>
          <w:rFonts w:ascii="仿宋_GB2312" w:eastAsia="仿宋_GB2312" w:hAnsi="微软雅黑" w:cs="宋体" w:hint="eastAsia"/>
          <w:color w:val="000000"/>
          <w:sz w:val="32"/>
          <w:szCs w:val="32"/>
        </w:rPr>
        <w:t>”理财产品说明书</w:t>
      </w:r>
    </w:p>
    <w:p w:rsidR="00F34A59" w:rsidRDefault="009A057A">
      <w:pPr>
        <w:adjustRightInd/>
        <w:snapToGrid/>
        <w:spacing w:after="0"/>
        <w:ind w:firstLineChars="500" w:firstLine="1600"/>
        <w:rPr>
          <w:rFonts w:ascii="仿宋_GB2312" w:eastAsia="仿宋_GB2312" w:hAnsi="微软雅黑" w:cs="宋体"/>
          <w:color w:val="000000"/>
          <w:sz w:val="32"/>
          <w:szCs w:val="32"/>
        </w:rPr>
      </w:pPr>
      <w:r>
        <w:rPr>
          <w:rFonts w:ascii="仿宋_GB2312" w:eastAsia="仿宋_GB2312" w:hAnsi="微软雅黑" w:cs="宋体" w:hint="eastAsia"/>
          <w:color w:val="000000"/>
          <w:sz w:val="32"/>
          <w:szCs w:val="32"/>
        </w:rPr>
        <w:t xml:space="preserve">2. </w:t>
      </w:r>
      <w:r>
        <w:rPr>
          <w:rFonts w:ascii="仿宋_GB2312" w:eastAsia="仿宋_GB2312" w:hAnsi="微软雅黑" w:cs="宋体" w:hint="eastAsia"/>
          <w:color w:val="000000"/>
          <w:sz w:val="32"/>
          <w:szCs w:val="32"/>
        </w:rPr>
        <w:t>理财产品代理销售协议书、苏银理财有限责任公司理财产品投资协议书</w:t>
      </w:r>
    </w:p>
    <w:p w:rsidR="00F34A59" w:rsidRDefault="009A057A">
      <w:pPr>
        <w:adjustRightInd/>
        <w:snapToGrid/>
        <w:spacing w:after="0"/>
        <w:ind w:firstLineChars="500" w:firstLine="1600"/>
        <w:rPr>
          <w:rFonts w:ascii="仿宋_GB2312" w:eastAsia="仿宋_GB2312" w:hAnsi="微软雅黑" w:cs="宋体"/>
          <w:color w:val="000000"/>
          <w:sz w:val="32"/>
          <w:szCs w:val="32"/>
        </w:rPr>
      </w:pPr>
      <w:r>
        <w:rPr>
          <w:rFonts w:ascii="仿宋_GB2312" w:eastAsia="仿宋_GB2312" w:hAnsi="微软雅黑" w:cs="宋体" w:hint="eastAsia"/>
          <w:color w:val="000000"/>
          <w:sz w:val="32"/>
          <w:szCs w:val="32"/>
        </w:rPr>
        <w:t>3.</w:t>
      </w:r>
      <w:r>
        <w:rPr>
          <w:rFonts w:ascii="仿宋_GB2312" w:eastAsia="仿宋_GB2312" w:hAnsi="微软雅黑" w:cs="宋体" w:hint="eastAsia"/>
          <w:color w:val="000000"/>
          <w:sz w:val="32"/>
          <w:szCs w:val="32"/>
        </w:rPr>
        <w:t>“苏银理财恒源</w:t>
      </w:r>
      <w:r w:rsidR="001B26D8">
        <w:rPr>
          <w:rFonts w:ascii="仿宋_GB2312" w:eastAsia="仿宋_GB2312" w:hAnsi="微软雅黑" w:cs="宋体" w:hint="eastAsia"/>
          <w:color w:val="000000"/>
          <w:sz w:val="32"/>
          <w:szCs w:val="32"/>
        </w:rPr>
        <w:t>封闭债权151期</w:t>
      </w:r>
      <w:r>
        <w:rPr>
          <w:rFonts w:ascii="仿宋_GB2312" w:eastAsia="仿宋_GB2312" w:hAnsi="微软雅黑" w:cs="宋体" w:hint="eastAsia"/>
          <w:color w:val="000000"/>
          <w:sz w:val="32"/>
          <w:szCs w:val="32"/>
        </w:rPr>
        <w:t>”理财产品风险揭示书</w:t>
      </w:r>
    </w:p>
    <w:p w:rsidR="00F34A59" w:rsidRDefault="009A057A">
      <w:pPr>
        <w:adjustRightInd/>
        <w:snapToGrid/>
        <w:spacing w:after="0"/>
        <w:ind w:firstLineChars="500" w:firstLine="1600"/>
        <w:rPr>
          <w:rFonts w:ascii="仿宋_GB2312" w:eastAsia="仿宋_GB2312" w:hAnsi="微软雅黑" w:cs="宋体"/>
          <w:color w:val="000000"/>
          <w:sz w:val="32"/>
          <w:szCs w:val="32"/>
        </w:rPr>
      </w:pPr>
      <w:r>
        <w:rPr>
          <w:rFonts w:ascii="仿宋_GB2312" w:eastAsia="仿宋_GB2312" w:hAnsi="微软雅黑" w:cs="宋体" w:hint="eastAsia"/>
          <w:color w:val="000000"/>
          <w:sz w:val="32"/>
          <w:szCs w:val="32"/>
        </w:rPr>
        <w:t>4.</w:t>
      </w:r>
      <w:r>
        <w:rPr>
          <w:rFonts w:ascii="仿宋_GB2312" w:eastAsia="仿宋_GB2312" w:hAnsi="微软雅黑" w:cs="宋体" w:hint="eastAsia"/>
          <w:color w:val="000000"/>
          <w:sz w:val="32"/>
          <w:szCs w:val="32"/>
        </w:rPr>
        <w:t>苏银理财有限责任公司投资者权益须知</w:t>
      </w:r>
    </w:p>
    <w:p w:rsidR="00F34A59" w:rsidRDefault="009A057A">
      <w:pPr>
        <w:adjustRightInd/>
        <w:snapToGrid/>
        <w:spacing w:after="0"/>
        <w:ind w:firstLineChars="500" w:firstLine="1600"/>
        <w:rPr>
          <w:rFonts w:ascii="仿宋_GB2312" w:eastAsia="仿宋_GB2312" w:hAnsi="微软雅黑" w:cs="宋体"/>
          <w:color w:val="000000"/>
          <w:sz w:val="32"/>
          <w:szCs w:val="32"/>
        </w:rPr>
      </w:pPr>
      <w:r>
        <w:rPr>
          <w:rFonts w:ascii="仿宋_GB2312" w:eastAsia="仿宋_GB2312" w:hAnsi="微软雅黑" w:cs="宋体" w:hint="eastAsia"/>
          <w:color w:val="000000"/>
          <w:sz w:val="32"/>
          <w:szCs w:val="32"/>
        </w:rPr>
        <w:t xml:space="preserve">5. </w:t>
      </w:r>
      <w:r>
        <w:rPr>
          <w:rFonts w:ascii="仿宋_GB2312" w:eastAsia="仿宋_GB2312" w:hAnsi="微软雅黑" w:cs="宋体" w:hint="eastAsia"/>
          <w:color w:val="000000"/>
          <w:sz w:val="32"/>
          <w:szCs w:val="32"/>
        </w:rPr>
        <w:t>个人客户风险承受能力评估表</w:t>
      </w:r>
    </w:p>
    <w:p w:rsidR="00F34A59" w:rsidRDefault="009A057A">
      <w:pPr>
        <w:adjustRightInd/>
        <w:snapToGrid/>
        <w:spacing w:after="0"/>
        <w:ind w:firstLineChars="500" w:firstLine="1600"/>
        <w:rPr>
          <w:rFonts w:ascii="仿宋_GB2312" w:eastAsia="仿宋_GB2312" w:hAnsi="微软雅黑" w:cs="宋体"/>
          <w:color w:val="000000"/>
          <w:sz w:val="32"/>
          <w:szCs w:val="32"/>
        </w:rPr>
      </w:pPr>
      <w:r>
        <w:rPr>
          <w:rFonts w:ascii="仿宋_GB2312" w:eastAsia="仿宋_GB2312" w:hAnsi="微软雅黑" w:cs="宋体" w:hint="eastAsia"/>
          <w:color w:val="000000"/>
          <w:sz w:val="32"/>
          <w:szCs w:val="32"/>
        </w:rPr>
        <w:t xml:space="preserve">6. </w:t>
      </w:r>
      <w:r>
        <w:rPr>
          <w:rFonts w:ascii="仿宋_GB2312" w:eastAsia="仿宋_GB2312" w:hAnsi="微软雅黑" w:cs="宋体" w:hint="eastAsia"/>
          <w:color w:val="000000"/>
          <w:sz w:val="32"/>
          <w:szCs w:val="32"/>
        </w:rPr>
        <w:t>机构客户风险承受能力评估表</w:t>
      </w:r>
    </w:p>
    <w:p w:rsidR="00F34A59" w:rsidRDefault="00F34A59">
      <w:pPr>
        <w:adjustRightInd/>
        <w:snapToGrid/>
        <w:spacing w:after="0"/>
        <w:ind w:firstLine="645"/>
        <w:rPr>
          <w:rFonts w:ascii="微软雅黑" w:hAnsi="微软雅黑" w:cs="宋体"/>
          <w:color w:val="000000"/>
          <w:sz w:val="30"/>
          <w:szCs w:val="30"/>
        </w:rPr>
      </w:pPr>
    </w:p>
    <w:p w:rsidR="00F34A59" w:rsidRDefault="00F34A59">
      <w:pPr>
        <w:adjustRightInd/>
        <w:snapToGrid/>
        <w:spacing w:after="0"/>
        <w:ind w:firstLine="5760"/>
        <w:rPr>
          <w:rFonts w:ascii="仿宋_GB2312" w:eastAsia="仿宋_GB2312" w:hAnsi="微软雅黑" w:cs="宋体"/>
          <w:color w:val="000000"/>
          <w:sz w:val="32"/>
          <w:szCs w:val="32"/>
        </w:rPr>
      </w:pPr>
    </w:p>
    <w:p w:rsidR="00F34A59" w:rsidRDefault="00F34A59">
      <w:pPr>
        <w:adjustRightInd/>
        <w:snapToGrid/>
        <w:spacing w:after="0"/>
        <w:ind w:firstLine="5760"/>
        <w:rPr>
          <w:rFonts w:ascii="仿宋_GB2312" w:eastAsia="仿宋_GB2312" w:hAnsi="微软雅黑" w:cs="宋体"/>
          <w:color w:val="000000"/>
          <w:sz w:val="32"/>
          <w:szCs w:val="32"/>
        </w:rPr>
      </w:pPr>
    </w:p>
    <w:p w:rsidR="00F34A59" w:rsidRDefault="009A057A">
      <w:pPr>
        <w:adjustRightInd/>
        <w:snapToGrid/>
        <w:spacing w:after="0"/>
        <w:ind w:firstLine="5760"/>
        <w:rPr>
          <w:rFonts w:ascii="微软雅黑" w:hAnsi="微软雅黑" w:cs="宋体"/>
          <w:color w:val="000000"/>
          <w:sz w:val="30"/>
          <w:szCs w:val="30"/>
        </w:rPr>
      </w:pPr>
      <w:r>
        <w:rPr>
          <w:rFonts w:ascii="仿宋_GB2312" w:eastAsia="仿宋_GB2312" w:hAnsi="微软雅黑" w:cs="宋体" w:hint="eastAsia"/>
          <w:color w:val="000000"/>
          <w:sz w:val="32"/>
          <w:szCs w:val="32"/>
        </w:rPr>
        <w:t>私人银行部</w:t>
      </w:r>
    </w:p>
    <w:p w:rsidR="00F34A59" w:rsidRDefault="009A057A">
      <w:pPr>
        <w:adjustRightInd/>
        <w:snapToGrid/>
        <w:spacing w:after="0"/>
        <w:ind w:firstLine="5445"/>
      </w:pPr>
      <w:r>
        <w:rPr>
          <w:rFonts w:ascii="仿宋_GB2312" w:eastAsia="仿宋_GB2312" w:hAnsi="微软雅黑" w:cs="宋体" w:hint="eastAsia"/>
          <w:color w:val="000000"/>
          <w:sz w:val="32"/>
          <w:szCs w:val="32"/>
        </w:rPr>
        <w:t>202</w:t>
      </w:r>
      <w:r>
        <w:rPr>
          <w:rFonts w:ascii="仿宋_GB2312" w:eastAsia="仿宋_GB2312" w:hAnsi="微软雅黑" w:cs="宋体" w:hint="eastAsia"/>
          <w:color w:val="000000"/>
          <w:sz w:val="32"/>
          <w:szCs w:val="32"/>
        </w:rPr>
        <w:t>5</w:t>
      </w:r>
      <w:r>
        <w:rPr>
          <w:rFonts w:ascii="仿宋_GB2312" w:eastAsia="仿宋_GB2312" w:hAnsi="微软雅黑" w:cs="宋体" w:hint="eastAsia"/>
          <w:color w:val="000000"/>
          <w:sz w:val="32"/>
          <w:szCs w:val="32"/>
        </w:rPr>
        <w:t>年</w:t>
      </w:r>
      <w:r>
        <w:rPr>
          <w:rFonts w:ascii="仿宋_GB2312" w:eastAsia="仿宋_GB2312" w:hAnsi="微软雅黑" w:cs="宋体" w:hint="eastAsia"/>
          <w:color w:val="000000"/>
          <w:sz w:val="32"/>
          <w:szCs w:val="32"/>
        </w:rPr>
        <w:t>1</w:t>
      </w:r>
      <w:r>
        <w:rPr>
          <w:rFonts w:ascii="仿宋_GB2312" w:eastAsia="仿宋_GB2312" w:hAnsi="微软雅黑" w:cs="宋体" w:hint="eastAsia"/>
          <w:color w:val="000000"/>
          <w:sz w:val="32"/>
          <w:szCs w:val="32"/>
        </w:rPr>
        <w:t>月</w:t>
      </w:r>
      <w:r w:rsidR="001B26D8">
        <w:rPr>
          <w:rFonts w:ascii="仿宋_GB2312" w:eastAsia="仿宋_GB2312" w:hAnsi="微软雅黑" w:cs="宋体" w:hint="eastAsia"/>
          <w:color w:val="000000"/>
          <w:sz w:val="32"/>
          <w:szCs w:val="32"/>
        </w:rPr>
        <w:t>20</w:t>
      </w:r>
      <w:r>
        <w:rPr>
          <w:rFonts w:ascii="仿宋_GB2312" w:eastAsia="仿宋_GB2312" w:hAnsi="微软雅黑" w:cs="宋体" w:hint="eastAsia"/>
          <w:color w:val="000000"/>
          <w:sz w:val="32"/>
          <w:szCs w:val="32"/>
        </w:rPr>
        <w:t>日</w:t>
      </w:r>
    </w:p>
    <w:sectPr w:rsidR="00F34A59" w:rsidSect="00F34A59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A057A" w:rsidRDefault="009A057A" w:rsidP="00F34A59">
      <w:pPr>
        <w:spacing w:after="0"/>
      </w:pPr>
      <w:r>
        <w:separator/>
      </w:r>
    </w:p>
  </w:endnote>
  <w:endnote w:type="continuationSeparator" w:id="1">
    <w:p w:rsidR="009A057A" w:rsidRDefault="009A057A" w:rsidP="00F34A59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A057A" w:rsidRDefault="009A057A">
      <w:pPr>
        <w:spacing w:after="0"/>
      </w:pPr>
      <w:r>
        <w:separator/>
      </w:r>
    </w:p>
  </w:footnote>
  <w:footnote w:type="continuationSeparator" w:id="1">
    <w:p w:rsidR="009A057A" w:rsidRDefault="009A057A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D31D50"/>
    <w:rsid w:val="00002A13"/>
    <w:rsid w:val="00014D89"/>
    <w:rsid w:val="0002233E"/>
    <w:rsid w:val="00025736"/>
    <w:rsid w:val="00030E86"/>
    <w:rsid w:val="000430CA"/>
    <w:rsid w:val="00050465"/>
    <w:rsid w:val="000547BB"/>
    <w:rsid w:val="000618D3"/>
    <w:rsid w:val="0006322B"/>
    <w:rsid w:val="0006327A"/>
    <w:rsid w:val="000729EB"/>
    <w:rsid w:val="00074AD2"/>
    <w:rsid w:val="000812F4"/>
    <w:rsid w:val="000910E1"/>
    <w:rsid w:val="000936F7"/>
    <w:rsid w:val="00095294"/>
    <w:rsid w:val="000957AC"/>
    <w:rsid w:val="000A5028"/>
    <w:rsid w:val="000A7695"/>
    <w:rsid w:val="000B5C2A"/>
    <w:rsid w:val="000D30E3"/>
    <w:rsid w:val="000D3348"/>
    <w:rsid w:val="000E18A2"/>
    <w:rsid w:val="000E1FA9"/>
    <w:rsid w:val="000E7543"/>
    <w:rsid w:val="000F4049"/>
    <w:rsid w:val="0010440D"/>
    <w:rsid w:val="00110B5C"/>
    <w:rsid w:val="0011188B"/>
    <w:rsid w:val="00113224"/>
    <w:rsid w:val="001157D7"/>
    <w:rsid w:val="001225F8"/>
    <w:rsid w:val="00134BE7"/>
    <w:rsid w:val="0014766F"/>
    <w:rsid w:val="00152D94"/>
    <w:rsid w:val="00156217"/>
    <w:rsid w:val="00157799"/>
    <w:rsid w:val="0016069B"/>
    <w:rsid w:val="00160908"/>
    <w:rsid w:val="00170032"/>
    <w:rsid w:val="00174CF3"/>
    <w:rsid w:val="00174FC8"/>
    <w:rsid w:val="001810F6"/>
    <w:rsid w:val="00182785"/>
    <w:rsid w:val="00190048"/>
    <w:rsid w:val="00194C32"/>
    <w:rsid w:val="00196E1B"/>
    <w:rsid w:val="001A32AD"/>
    <w:rsid w:val="001A556D"/>
    <w:rsid w:val="001B2273"/>
    <w:rsid w:val="001B26D8"/>
    <w:rsid w:val="001D3092"/>
    <w:rsid w:val="001D40A6"/>
    <w:rsid w:val="001F3153"/>
    <w:rsid w:val="001F72B5"/>
    <w:rsid w:val="00201E20"/>
    <w:rsid w:val="00206F8F"/>
    <w:rsid w:val="00207F97"/>
    <w:rsid w:val="00214CF7"/>
    <w:rsid w:val="00216E71"/>
    <w:rsid w:val="002235BC"/>
    <w:rsid w:val="00233CED"/>
    <w:rsid w:val="00236FDA"/>
    <w:rsid w:val="00244EE2"/>
    <w:rsid w:val="002463C9"/>
    <w:rsid w:val="002513BD"/>
    <w:rsid w:val="00257856"/>
    <w:rsid w:val="00277323"/>
    <w:rsid w:val="002777A1"/>
    <w:rsid w:val="00283408"/>
    <w:rsid w:val="0028525D"/>
    <w:rsid w:val="002866F6"/>
    <w:rsid w:val="0029028F"/>
    <w:rsid w:val="002A3E43"/>
    <w:rsid w:val="002B1948"/>
    <w:rsid w:val="002C122F"/>
    <w:rsid w:val="002C248B"/>
    <w:rsid w:val="002C70E5"/>
    <w:rsid w:val="002D757D"/>
    <w:rsid w:val="002D7671"/>
    <w:rsid w:val="002E2A41"/>
    <w:rsid w:val="002E3ECB"/>
    <w:rsid w:val="002E7145"/>
    <w:rsid w:val="002F00B3"/>
    <w:rsid w:val="002F02FE"/>
    <w:rsid w:val="002F07C0"/>
    <w:rsid w:val="003059D5"/>
    <w:rsid w:val="00307AFA"/>
    <w:rsid w:val="00320D56"/>
    <w:rsid w:val="00322F4C"/>
    <w:rsid w:val="00323B43"/>
    <w:rsid w:val="00335FBE"/>
    <w:rsid w:val="003447B3"/>
    <w:rsid w:val="00347193"/>
    <w:rsid w:val="003476A4"/>
    <w:rsid w:val="00353BA9"/>
    <w:rsid w:val="00355E21"/>
    <w:rsid w:val="00357EB7"/>
    <w:rsid w:val="00361A72"/>
    <w:rsid w:val="00363805"/>
    <w:rsid w:val="00374AE2"/>
    <w:rsid w:val="00386CE1"/>
    <w:rsid w:val="00393219"/>
    <w:rsid w:val="003936A4"/>
    <w:rsid w:val="003936B9"/>
    <w:rsid w:val="003A15E6"/>
    <w:rsid w:val="003C0D6B"/>
    <w:rsid w:val="003C1D41"/>
    <w:rsid w:val="003C2C03"/>
    <w:rsid w:val="003D37D8"/>
    <w:rsid w:val="003D4715"/>
    <w:rsid w:val="003D710A"/>
    <w:rsid w:val="003E2BFC"/>
    <w:rsid w:val="003E5A9F"/>
    <w:rsid w:val="003F70AB"/>
    <w:rsid w:val="00410A33"/>
    <w:rsid w:val="00422AD1"/>
    <w:rsid w:val="00424A38"/>
    <w:rsid w:val="00426133"/>
    <w:rsid w:val="004349C0"/>
    <w:rsid w:val="004358AB"/>
    <w:rsid w:val="00443E90"/>
    <w:rsid w:val="00450005"/>
    <w:rsid w:val="00450C77"/>
    <w:rsid w:val="0045680A"/>
    <w:rsid w:val="00463028"/>
    <w:rsid w:val="00471A3B"/>
    <w:rsid w:val="004749F0"/>
    <w:rsid w:val="00476C3B"/>
    <w:rsid w:val="0047785F"/>
    <w:rsid w:val="0049140E"/>
    <w:rsid w:val="00496E4F"/>
    <w:rsid w:val="004B4CFA"/>
    <w:rsid w:val="004C175A"/>
    <w:rsid w:val="004C7CF2"/>
    <w:rsid w:val="004F0CCD"/>
    <w:rsid w:val="00510995"/>
    <w:rsid w:val="005168C5"/>
    <w:rsid w:val="005218F6"/>
    <w:rsid w:val="00523BDD"/>
    <w:rsid w:val="0052515C"/>
    <w:rsid w:val="00530F2D"/>
    <w:rsid w:val="0053663D"/>
    <w:rsid w:val="00536DF2"/>
    <w:rsid w:val="00537BF8"/>
    <w:rsid w:val="00540DC7"/>
    <w:rsid w:val="00543584"/>
    <w:rsid w:val="00543782"/>
    <w:rsid w:val="0055369F"/>
    <w:rsid w:val="0055709E"/>
    <w:rsid w:val="00566993"/>
    <w:rsid w:val="00566C07"/>
    <w:rsid w:val="00570005"/>
    <w:rsid w:val="005873AF"/>
    <w:rsid w:val="005A6CFB"/>
    <w:rsid w:val="005A7A21"/>
    <w:rsid w:val="005B1774"/>
    <w:rsid w:val="005B45CF"/>
    <w:rsid w:val="005C0D21"/>
    <w:rsid w:val="005C155D"/>
    <w:rsid w:val="005C31E9"/>
    <w:rsid w:val="005C4206"/>
    <w:rsid w:val="005C5781"/>
    <w:rsid w:val="005D072F"/>
    <w:rsid w:val="005D0DEE"/>
    <w:rsid w:val="005F2B78"/>
    <w:rsid w:val="00606205"/>
    <w:rsid w:val="00607358"/>
    <w:rsid w:val="00607EC0"/>
    <w:rsid w:val="00610019"/>
    <w:rsid w:val="006110FC"/>
    <w:rsid w:val="00611544"/>
    <w:rsid w:val="006128D5"/>
    <w:rsid w:val="006148C9"/>
    <w:rsid w:val="0061606F"/>
    <w:rsid w:val="00620A17"/>
    <w:rsid w:val="006214F4"/>
    <w:rsid w:val="006648D9"/>
    <w:rsid w:val="00677D5A"/>
    <w:rsid w:val="006919F0"/>
    <w:rsid w:val="006A1D72"/>
    <w:rsid w:val="006A48A0"/>
    <w:rsid w:val="006C44CC"/>
    <w:rsid w:val="006E08D8"/>
    <w:rsid w:val="006F04BE"/>
    <w:rsid w:val="006F7856"/>
    <w:rsid w:val="00701C74"/>
    <w:rsid w:val="0070239F"/>
    <w:rsid w:val="00702508"/>
    <w:rsid w:val="007121C4"/>
    <w:rsid w:val="00714B02"/>
    <w:rsid w:val="007248B8"/>
    <w:rsid w:val="00727337"/>
    <w:rsid w:val="0073205A"/>
    <w:rsid w:val="00732B85"/>
    <w:rsid w:val="00740E8C"/>
    <w:rsid w:val="00741563"/>
    <w:rsid w:val="007471D4"/>
    <w:rsid w:val="00747E0A"/>
    <w:rsid w:val="00750298"/>
    <w:rsid w:val="00761130"/>
    <w:rsid w:val="007673F5"/>
    <w:rsid w:val="007675CD"/>
    <w:rsid w:val="007745AD"/>
    <w:rsid w:val="00783419"/>
    <w:rsid w:val="00785657"/>
    <w:rsid w:val="007865C9"/>
    <w:rsid w:val="007873F2"/>
    <w:rsid w:val="00793A91"/>
    <w:rsid w:val="00796629"/>
    <w:rsid w:val="007A6260"/>
    <w:rsid w:val="007C416B"/>
    <w:rsid w:val="007C44C4"/>
    <w:rsid w:val="007D0528"/>
    <w:rsid w:val="007D35F2"/>
    <w:rsid w:val="007D3BB9"/>
    <w:rsid w:val="007D6855"/>
    <w:rsid w:val="00817F98"/>
    <w:rsid w:val="008201C5"/>
    <w:rsid w:val="00827FB9"/>
    <w:rsid w:val="008445DB"/>
    <w:rsid w:val="008450A8"/>
    <w:rsid w:val="008507C0"/>
    <w:rsid w:val="0085497C"/>
    <w:rsid w:val="00854BCB"/>
    <w:rsid w:val="0086092D"/>
    <w:rsid w:val="00862981"/>
    <w:rsid w:val="00867E9B"/>
    <w:rsid w:val="00884835"/>
    <w:rsid w:val="008930CD"/>
    <w:rsid w:val="00893277"/>
    <w:rsid w:val="00894AA0"/>
    <w:rsid w:val="00895EEF"/>
    <w:rsid w:val="00896D1C"/>
    <w:rsid w:val="008972C8"/>
    <w:rsid w:val="00897920"/>
    <w:rsid w:val="008A6AC1"/>
    <w:rsid w:val="008B008A"/>
    <w:rsid w:val="008B4334"/>
    <w:rsid w:val="008B450C"/>
    <w:rsid w:val="008B4E39"/>
    <w:rsid w:val="008B6523"/>
    <w:rsid w:val="008B7726"/>
    <w:rsid w:val="008C49E6"/>
    <w:rsid w:val="008D4402"/>
    <w:rsid w:val="008F2B7A"/>
    <w:rsid w:val="008F3B9E"/>
    <w:rsid w:val="008F7CA5"/>
    <w:rsid w:val="00903E35"/>
    <w:rsid w:val="00906053"/>
    <w:rsid w:val="00911DE1"/>
    <w:rsid w:val="00916AFD"/>
    <w:rsid w:val="0094064E"/>
    <w:rsid w:val="00951BFC"/>
    <w:rsid w:val="00953E58"/>
    <w:rsid w:val="00954AA4"/>
    <w:rsid w:val="0096633A"/>
    <w:rsid w:val="0096677C"/>
    <w:rsid w:val="00971266"/>
    <w:rsid w:val="00975280"/>
    <w:rsid w:val="00986A17"/>
    <w:rsid w:val="00986ED0"/>
    <w:rsid w:val="00996AC4"/>
    <w:rsid w:val="009A057A"/>
    <w:rsid w:val="009A5FF7"/>
    <w:rsid w:val="009A6871"/>
    <w:rsid w:val="009B21F1"/>
    <w:rsid w:val="009B2786"/>
    <w:rsid w:val="009B2C38"/>
    <w:rsid w:val="009D1D85"/>
    <w:rsid w:val="009D5A75"/>
    <w:rsid w:val="009E16F2"/>
    <w:rsid w:val="009E18E4"/>
    <w:rsid w:val="009F7C7A"/>
    <w:rsid w:val="00A01DF4"/>
    <w:rsid w:val="00A215C9"/>
    <w:rsid w:val="00A30CF8"/>
    <w:rsid w:val="00A4169B"/>
    <w:rsid w:val="00A54155"/>
    <w:rsid w:val="00A65280"/>
    <w:rsid w:val="00A6775F"/>
    <w:rsid w:val="00A7707D"/>
    <w:rsid w:val="00A838DC"/>
    <w:rsid w:val="00A84AE0"/>
    <w:rsid w:val="00A90D0C"/>
    <w:rsid w:val="00A9135E"/>
    <w:rsid w:val="00A9294C"/>
    <w:rsid w:val="00AA23FA"/>
    <w:rsid w:val="00AB14BA"/>
    <w:rsid w:val="00AB4B2F"/>
    <w:rsid w:val="00AB6BA4"/>
    <w:rsid w:val="00AC33B2"/>
    <w:rsid w:val="00AC6774"/>
    <w:rsid w:val="00AD4C9C"/>
    <w:rsid w:val="00AE0AF2"/>
    <w:rsid w:val="00AE42D4"/>
    <w:rsid w:val="00AE6487"/>
    <w:rsid w:val="00B01B88"/>
    <w:rsid w:val="00B02F94"/>
    <w:rsid w:val="00B126A7"/>
    <w:rsid w:val="00B17CEE"/>
    <w:rsid w:val="00B20784"/>
    <w:rsid w:val="00B21220"/>
    <w:rsid w:val="00B22801"/>
    <w:rsid w:val="00B24A4C"/>
    <w:rsid w:val="00B252B4"/>
    <w:rsid w:val="00B27E33"/>
    <w:rsid w:val="00B33E38"/>
    <w:rsid w:val="00B4326E"/>
    <w:rsid w:val="00B73A10"/>
    <w:rsid w:val="00B86723"/>
    <w:rsid w:val="00B941A3"/>
    <w:rsid w:val="00B941AB"/>
    <w:rsid w:val="00B974A9"/>
    <w:rsid w:val="00BA2412"/>
    <w:rsid w:val="00BA7C4A"/>
    <w:rsid w:val="00BB0278"/>
    <w:rsid w:val="00BB554B"/>
    <w:rsid w:val="00BF73F3"/>
    <w:rsid w:val="00C00041"/>
    <w:rsid w:val="00C0423C"/>
    <w:rsid w:val="00C07A9F"/>
    <w:rsid w:val="00C15704"/>
    <w:rsid w:val="00C17395"/>
    <w:rsid w:val="00C23A87"/>
    <w:rsid w:val="00C344A1"/>
    <w:rsid w:val="00C468C3"/>
    <w:rsid w:val="00C50931"/>
    <w:rsid w:val="00C60359"/>
    <w:rsid w:val="00C61324"/>
    <w:rsid w:val="00C63EDB"/>
    <w:rsid w:val="00C66A8C"/>
    <w:rsid w:val="00C71423"/>
    <w:rsid w:val="00C77D66"/>
    <w:rsid w:val="00C849D4"/>
    <w:rsid w:val="00C858B2"/>
    <w:rsid w:val="00CA5843"/>
    <w:rsid w:val="00CA70DD"/>
    <w:rsid w:val="00CB16FF"/>
    <w:rsid w:val="00CB29BA"/>
    <w:rsid w:val="00CB2A01"/>
    <w:rsid w:val="00CB39C9"/>
    <w:rsid w:val="00CD21BA"/>
    <w:rsid w:val="00CD328F"/>
    <w:rsid w:val="00CD4295"/>
    <w:rsid w:val="00CD4F0F"/>
    <w:rsid w:val="00CD5295"/>
    <w:rsid w:val="00CD74BD"/>
    <w:rsid w:val="00CE0BFB"/>
    <w:rsid w:val="00CE0C36"/>
    <w:rsid w:val="00CE2CE5"/>
    <w:rsid w:val="00CF5224"/>
    <w:rsid w:val="00D0319E"/>
    <w:rsid w:val="00D10241"/>
    <w:rsid w:val="00D11BD4"/>
    <w:rsid w:val="00D30D95"/>
    <w:rsid w:val="00D31D50"/>
    <w:rsid w:val="00D33751"/>
    <w:rsid w:val="00D34922"/>
    <w:rsid w:val="00D35072"/>
    <w:rsid w:val="00D3536D"/>
    <w:rsid w:val="00D37D23"/>
    <w:rsid w:val="00D42DFD"/>
    <w:rsid w:val="00D4593C"/>
    <w:rsid w:val="00D476F9"/>
    <w:rsid w:val="00D51249"/>
    <w:rsid w:val="00D5218E"/>
    <w:rsid w:val="00D5491D"/>
    <w:rsid w:val="00D54FDC"/>
    <w:rsid w:val="00D57471"/>
    <w:rsid w:val="00D67754"/>
    <w:rsid w:val="00D7627A"/>
    <w:rsid w:val="00D763B7"/>
    <w:rsid w:val="00D8428B"/>
    <w:rsid w:val="00D92419"/>
    <w:rsid w:val="00DA20C2"/>
    <w:rsid w:val="00DA521E"/>
    <w:rsid w:val="00DA6344"/>
    <w:rsid w:val="00DB1998"/>
    <w:rsid w:val="00DB267C"/>
    <w:rsid w:val="00DC08E6"/>
    <w:rsid w:val="00DC09A0"/>
    <w:rsid w:val="00DC1A5A"/>
    <w:rsid w:val="00DC23CA"/>
    <w:rsid w:val="00DD1E41"/>
    <w:rsid w:val="00DD52AA"/>
    <w:rsid w:val="00DE103B"/>
    <w:rsid w:val="00DE145A"/>
    <w:rsid w:val="00DE39B7"/>
    <w:rsid w:val="00DF6EDD"/>
    <w:rsid w:val="00DF7361"/>
    <w:rsid w:val="00DF7E82"/>
    <w:rsid w:val="00E05633"/>
    <w:rsid w:val="00E210A0"/>
    <w:rsid w:val="00E328E5"/>
    <w:rsid w:val="00E342C9"/>
    <w:rsid w:val="00E37B32"/>
    <w:rsid w:val="00E42E54"/>
    <w:rsid w:val="00E4437E"/>
    <w:rsid w:val="00E51943"/>
    <w:rsid w:val="00E545D0"/>
    <w:rsid w:val="00E65FB9"/>
    <w:rsid w:val="00E73BDD"/>
    <w:rsid w:val="00E74D03"/>
    <w:rsid w:val="00E773E2"/>
    <w:rsid w:val="00E774C6"/>
    <w:rsid w:val="00E775F8"/>
    <w:rsid w:val="00E807D3"/>
    <w:rsid w:val="00E85118"/>
    <w:rsid w:val="00E85459"/>
    <w:rsid w:val="00E86AD3"/>
    <w:rsid w:val="00EA1489"/>
    <w:rsid w:val="00EA2655"/>
    <w:rsid w:val="00EB3586"/>
    <w:rsid w:val="00EC780B"/>
    <w:rsid w:val="00ED576C"/>
    <w:rsid w:val="00EE0CF8"/>
    <w:rsid w:val="00EE3A96"/>
    <w:rsid w:val="00EE50F7"/>
    <w:rsid w:val="00EF297D"/>
    <w:rsid w:val="00EF76FE"/>
    <w:rsid w:val="00F04234"/>
    <w:rsid w:val="00F047DC"/>
    <w:rsid w:val="00F070F5"/>
    <w:rsid w:val="00F11CB2"/>
    <w:rsid w:val="00F20187"/>
    <w:rsid w:val="00F21AAA"/>
    <w:rsid w:val="00F21F5B"/>
    <w:rsid w:val="00F234C6"/>
    <w:rsid w:val="00F24E77"/>
    <w:rsid w:val="00F24FA8"/>
    <w:rsid w:val="00F34A59"/>
    <w:rsid w:val="00F474DE"/>
    <w:rsid w:val="00F634A7"/>
    <w:rsid w:val="00F7443F"/>
    <w:rsid w:val="00F805F0"/>
    <w:rsid w:val="00F825A1"/>
    <w:rsid w:val="00F9041B"/>
    <w:rsid w:val="00F94E57"/>
    <w:rsid w:val="00F957A8"/>
    <w:rsid w:val="00F96EC9"/>
    <w:rsid w:val="00FA233C"/>
    <w:rsid w:val="00FA5448"/>
    <w:rsid w:val="00FA792A"/>
    <w:rsid w:val="00FB04F3"/>
    <w:rsid w:val="00FB07AF"/>
    <w:rsid w:val="00FB39AB"/>
    <w:rsid w:val="00FC1CBF"/>
    <w:rsid w:val="00FC73A4"/>
    <w:rsid w:val="00FD35EB"/>
    <w:rsid w:val="00FE0475"/>
    <w:rsid w:val="00FF00D9"/>
    <w:rsid w:val="00FF24E9"/>
    <w:rsid w:val="02C17743"/>
    <w:rsid w:val="03AC2408"/>
    <w:rsid w:val="09777728"/>
    <w:rsid w:val="09FF56E8"/>
    <w:rsid w:val="0D061CD4"/>
    <w:rsid w:val="0D0F7A88"/>
    <w:rsid w:val="0D637775"/>
    <w:rsid w:val="11E470A0"/>
    <w:rsid w:val="1302330E"/>
    <w:rsid w:val="15092D84"/>
    <w:rsid w:val="18024DC4"/>
    <w:rsid w:val="19211303"/>
    <w:rsid w:val="1C4E296B"/>
    <w:rsid w:val="1CC77981"/>
    <w:rsid w:val="1CD01DD6"/>
    <w:rsid w:val="1FF27F0A"/>
    <w:rsid w:val="22BD0682"/>
    <w:rsid w:val="259C3DDF"/>
    <w:rsid w:val="281D2B92"/>
    <w:rsid w:val="2F505EBA"/>
    <w:rsid w:val="346D37AA"/>
    <w:rsid w:val="360B4A64"/>
    <w:rsid w:val="37D92952"/>
    <w:rsid w:val="3A7137AE"/>
    <w:rsid w:val="3E7440B0"/>
    <w:rsid w:val="437A0EFD"/>
    <w:rsid w:val="471B4F9C"/>
    <w:rsid w:val="4727670F"/>
    <w:rsid w:val="488B669C"/>
    <w:rsid w:val="498D2846"/>
    <w:rsid w:val="4DC360A2"/>
    <w:rsid w:val="52C1180B"/>
    <w:rsid w:val="53A7561E"/>
    <w:rsid w:val="569A1942"/>
    <w:rsid w:val="573E6F54"/>
    <w:rsid w:val="59526AAF"/>
    <w:rsid w:val="599469F4"/>
    <w:rsid w:val="5D6B5C61"/>
    <w:rsid w:val="5F763953"/>
    <w:rsid w:val="65ED6841"/>
    <w:rsid w:val="6F753C32"/>
    <w:rsid w:val="707F71F1"/>
    <w:rsid w:val="73053858"/>
    <w:rsid w:val="730E7BA1"/>
    <w:rsid w:val="7CD75C71"/>
    <w:rsid w:val="7DD325A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Hyperlink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qFormat="1"/>
    <w:lsdException w:name="Normal Table" w:qFormat="1"/>
    <w:lsdException w:name="Balloon Text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4A59"/>
    <w:pPr>
      <w:adjustRightInd w:val="0"/>
      <w:snapToGrid w:val="0"/>
      <w:spacing w:after="200"/>
    </w:pPr>
    <w:rPr>
      <w:rFonts w:ascii="Tahoma" w:hAnsi="Tahom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sid w:val="00F34A59"/>
    <w:pPr>
      <w:spacing w:after="0"/>
    </w:pPr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rsid w:val="00F34A5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rsid w:val="00F34A59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paragraph" w:styleId="a6">
    <w:name w:val="Normal (Web)"/>
    <w:basedOn w:val="a"/>
    <w:uiPriority w:val="99"/>
    <w:unhideWhenUsed/>
    <w:qFormat/>
    <w:rsid w:val="00F34A59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character" w:styleId="a7">
    <w:name w:val="Strong"/>
    <w:basedOn w:val="a0"/>
    <w:uiPriority w:val="22"/>
    <w:qFormat/>
    <w:rsid w:val="00F34A59"/>
    <w:rPr>
      <w:b/>
      <w:bCs/>
    </w:rPr>
  </w:style>
  <w:style w:type="character" w:styleId="a8">
    <w:name w:val="Hyperlink"/>
    <w:basedOn w:val="a0"/>
    <w:uiPriority w:val="99"/>
    <w:semiHidden/>
    <w:unhideWhenUsed/>
    <w:qFormat/>
    <w:rsid w:val="00F34A59"/>
    <w:rPr>
      <w:color w:val="0000FF"/>
      <w:u w:val="single"/>
    </w:rPr>
  </w:style>
  <w:style w:type="character" w:customStyle="1" w:styleId="Char1">
    <w:name w:val="页眉 Char"/>
    <w:basedOn w:val="a0"/>
    <w:link w:val="a5"/>
    <w:uiPriority w:val="99"/>
    <w:qFormat/>
    <w:rsid w:val="00F34A59"/>
    <w:rPr>
      <w:rFonts w:ascii="Tahoma" w:hAnsi="Tahoma"/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sid w:val="00F34A59"/>
    <w:rPr>
      <w:rFonts w:ascii="Tahoma" w:hAnsi="Tahoma"/>
      <w:sz w:val="18"/>
      <w:szCs w:val="18"/>
    </w:rPr>
  </w:style>
  <w:style w:type="character" w:customStyle="1" w:styleId="apple-converted-space">
    <w:name w:val="apple-converted-space"/>
    <w:basedOn w:val="a0"/>
    <w:qFormat/>
    <w:rsid w:val="00F34A59"/>
  </w:style>
  <w:style w:type="character" w:customStyle="1" w:styleId="Char">
    <w:name w:val="批注框文本 Char"/>
    <w:basedOn w:val="a0"/>
    <w:link w:val="a3"/>
    <w:uiPriority w:val="99"/>
    <w:semiHidden/>
    <w:qFormat/>
    <w:rsid w:val="00F34A59"/>
    <w:rPr>
      <w:rFonts w:ascii="Tahoma" w:hAnsi="Tahoma"/>
      <w:sz w:val="18"/>
      <w:szCs w:val="18"/>
    </w:rPr>
  </w:style>
  <w:style w:type="paragraph" w:customStyle="1" w:styleId="TableParagraph">
    <w:name w:val="Table Paragraph"/>
    <w:basedOn w:val="a"/>
    <w:uiPriority w:val="1"/>
    <w:qFormat/>
    <w:rsid w:val="00F34A59"/>
    <w:pPr>
      <w:widowControl w:val="0"/>
      <w:autoSpaceDE w:val="0"/>
      <w:autoSpaceDN w:val="0"/>
      <w:snapToGrid/>
      <w:spacing w:after="0"/>
    </w:pPr>
    <w:rPr>
      <w:rFonts w:ascii="Times New Roman" w:eastAsia="宋体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509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03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chinawealth.com.cn/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397</Words>
  <Characters>2265</Characters>
  <Application>Microsoft Office Word</Application>
  <DocSecurity>0</DocSecurity>
  <Lines>18</Lines>
  <Paragraphs>5</Paragraphs>
  <ScaleCrop>false</ScaleCrop>
  <Company/>
  <LinksUpToDate>false</LinksUpToDate>
  <CharactersWithSpaces>2657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未定义</cp:lastModifiedBy>
  <cp:revision>391</cp:revision>
  <cp:lastPrinted>2021-06-03T04:20:00Z</cp:lastPrinted>
  <dcterms:created xsi:type="dcterms:W3CDTF">2008-09-11T17:20:00Z</dcterms:created>
  <dcterms:modified xsi:type="dcterms:W3CDTF">2025-01-20T03:32:00Z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2052-11.8.2.11813</vt:lpwstr>
  </property>
  <property fmtid="{D5CDD505-2E9C-101B-9397-08002B2CF9AE}" pid="3" name="ICV">
    <vt:lpwstr>048AEE60E7C840B2AF11B73D7D5F2800</vt:lpwstr>
  </property>
</Properties>
</file>