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95870" w14:textId="77777777" w:rsidR="0078631E" w:rsidRDefault="00000000">
      <w:pPr>
        <w:jc w:val="center"/>
        <w:rPr>
          <w:rFonts w:ascii="黑体" w:eastAsia="黑体" w:hAnsi="宋体" w:hint="eastAsia"/>
          <w:b/>
          <w:bCs/>
          <w:sz w:val="24"/>
          <w:szCs w:val="15"/>
        </w:rPr>
      </w:pPr>
      <w:bookmarkStart w:id="0" w:name="_Hlk180829330"/>
      <w:r>
        <w:rPr>
          <w:rFonts w:ascii="黑体" w:eastAsia="黑体" w:hAnsi="宋体" w:hint="eastAsia"/>
          <w:b/>
          <w:bCs/>
          <w:sz w:val="24"/>
          <w:szCs w:val="15"/>
        </w:rPr>
        <w:t>投资者权益须知</w:t>
      </w:r>
    </w:p>
    <w:p w14:paraId="76D2C42F" w14:textId="77777777" w:rsidR="0078631E" w:rsidRDefault="0078631E">
      <w:pPr>
        <w:ind w:firstLineChars="200" w:firstLine="321"/>
        <w:jc w:val="center"/>
        <w:rPr>
          <w:rFonts w:ascii="宋体" w:hAnsi="宋体" w:hint="eastAsia"/>
          <w:b/>
          <w:i/>
          <w:sz w:val="16"/>
          <w:szCs w:val="15"/>
          <w:u w:val="single"/>
        </w:rPr>
      </w:pPr>
    </w:p>
    <w:p w14:paraId="0EBD36E3" w14:textId="77777777" w:rsidR="0078631E" w:rsidRDefault="00000000">
      <w:pPr>
        <w:ind w:firstLineChars="200" w:firstLine="321"/>
        <w:jc w:val="center"/>
        <w:rPr>
          <w:rFonts w:ascii="宋体" w:hAnsi="宋体" w:hint="eastAsia"/>
          <w:b/>
          <w:i/>
          <w:sz w:val="16"/>
          <w:szCs w:val="15"/>
          <w:u w:val="single"/>
        </w:rPr>
      </w:pPr>
      <w:r>
        <w:rPr>
          <w:rFonts w:ascii="宋体" w:hAnsi="宋体" w:hint="eastAsia"/>
          <w:b/>
          <w:i/>
          <w:sz w:val="16"/>
          <w:szCs w:val="15"/>
          <w:u w:val="single"/>
        </w:rPr>
        <w:t xml:space="preserve">“理财非存款、产品有风险、理财产品过往业绩不代表其未来表现，不等于理财产品实际收益，投资须谨慎！” </w:t>
      </w:r>
    </w:p>
    <w:p w14:paraId="0BEF6707" w14:textId="77777777" w:rsidR="0078631E" w:rsidRDefault="00000000">
      <w:pPr>
        <w:pStyle w:val="ac"/>
        <w:spacing w:before="0" w:after="0" w:line="240" w:lineRule="auto"/>
        <w:ind w:firstLine="0"/>
        <w:rPr>
          <w:color w:val="auto"/>
          <w:spacing w:val="10"/>
          <w:kern w:val="2"/>
          <w:sz w:val="15"/>
          <w:szCs w:val="15"/>
        </w:rPr>
      </w:pPr>
      <w:r>
        <w:rPr>
          <w:rFonts w:hint="eastAsia"/>
          <w:color w:val="auto"/>
          <w:spacing w:val="10"/>
          <w:kern w:val="2"/>
          <w:sz w:val="15"/>
          <w:szCs w:val="15"/>
        </w:rPr>
        <w:t>尊敬的投资者：</w:t>
      </w:r>
    </w:p>
    <w:p w14:paraId="7A5032BC" w14:textId="77777777" w:rsidR="0078631E" w:rsidRDefault="00000000">
      <w:pPr>
        <w:pStyle w:val="ac"/>
        <w:spacing w:before="0" w:after="0" w:line="240" w:lineRule="auto"/>
        <w:ind w:firstLineChars="200" w:firstLine="340"/>
        <w:jc w:val="both"/>
        <w:rPr>
          <w:color w:val="auto"/>
          <w:spacing w:val="10"/>
          <w:kern w:val="2"/>
          <w:sz w:val="15"/>
          <w:szCs w:val="15"/>
        </w:rPr>
      </w:pPr>
      <w:r>
        <w:rPr>
          <w:rFonts w:hint="eastAsia"/>
          <w:color w:val="auto"/>
          <w:spacing w:val="10"/>
          <w:kern w:val="2"/>
          <w:sz w:val="15"/>
          <w:szCs w:val="15"/>
        </w:rPr>
        <w:t>理财产品在投资并获取收益的同时也存在投资风险。为了方便您办理南银理财有限责任公司（以下简称“南银理财”或“管理人”）理财业务，保护投资者（以下简称“投资者”）的合法权益，请在投资本理财产品前认真阅读以下内容：</w:t>
      </w:r>
    </w:p>
    <w:p w14:paraId="71B7432A" w14:textId="77777777" w:rsidR="0078631E" w:rsidRDefault="00000000">
      <w:pPr>
        <w:pStyle w:val="ac"/>
        <w:spacing w:before="0" w:after="0" w:line="240" w:lineRule="auto"/>
        <w:ind w:firstLineChars="200" w:firstLine="340"/>
        <w:jc w:val="both"/>
        <w:rPr>
          <w:color w:val="auto"/>
          <w:spacing w:val="10"/>
          <w:kern w:val="2"/>
          <w:sz w:val="15"/>
          <w:szCs w:val="15"/>
        </w:rPr>
      </w:pPr>
      <w:r>
        <w:rPr>
          <w:rFonts w:hint="eastAsia"/>
          <w:color w:val="auto"/>
          <w:spacing w:val="10"/>
          <w:kern w:val="2"/>
          <w:sz w:val="15"/>
          <w:szCs w:val="15"/>
        </w:rPr>
        <w:t>本理财产品指由南银理财作为管理人发行，并由</w:t>
      </w:r>
      <w:permStart w:id="193867842" w:edGrp="everyone"/>
      <w:r>
        <w:rPr>
          <w:rFonts w:hint="eastAsia"/>
          <w:color w:val="auto"/>
          <w:spacing w:val="10"/>
          <w:kern w:val="2"/>
          <w:sz w:val="15"/>
          <w:szCs w:val="15"/>
        </w:rPr>
        <w:t xml:space="preserve">       </w:t>
      </w:r>
      <w:permEnd w:id="193867842"/>
      <w:r>
        <w:rPr>
          <w:rFonts w:hint="eastAsia"/>
          <w:color w:val="auto"/>
          <w:spacing w:val="10"/>
          <w:kern w:val="2"/>
          <w:sz w:val="15"/>
          <w:szCs w:val="15"/>
        </w:rPr>
        <w:t>（以下简称“销售机构”）销售的理财产品。</w:t>
      </w:r>
    </w:p>
    <w:p w14:paraId="1E989F9D" w14:textId="77777777" w:rsidR="0078631E" w:rsidRDefault="00000000">
      <w:pPr>
        <w:pStyle w:val="ac"/>
        <w:spacing w:line="240" w:lineRule="auto"/>
        <w:ind w:left="341" w:firstLine="0"/>
        <w:jc w:val="both"/>
        <w:rPr>
          <w:b/>
          <w:color w:val="auto"/>
          <w:spacing w:val="10"/>
          <w:kern w:val="2"/>
          <w:sz w:val="15"/>
          <w:szCs w:val="15"/>
        </w:rPr>
      </w:pPr>
      <w:r>
        <w:rPr>
          <w:rFonts w:hint="eastAsia"/>
          <w:b/>
          <w:color w:val="auto"/>
          <w:spacing w:val="10"/>
          <w:kern w:val="2"/>
          <w:sz w:val="15"/>
          <w:szCs w:val="15"/>
        </w:rPr>
        <w:t>第一条</w:t>
      </w:r>
      <w:r>
        <w:rPr>
          <w:rFonts w:hint="eastAsia"/>
          <w:b/>
          <w:color w:val="auto"/>
          <w:spacing w:val="10"/>
          <w:kern w:val="2"/>
          <w:sz w:val="15"/>
          <w:szCs w:val="15"/>
        </w:rPr>
        <w:t xml:space="preserve"> </w:t>
      </w:r>
      <w:r>
        <w:rPr>
          <w:rFonts w:hint="eastAsia"/>
          <w:b/>
          <w:color w:val="auto"/>
          <w:spacing w:val="10"/>
          <w:kern w:val="2"/>
          <w:sz w:val="15"/>
          <w:szCs w:val="15"/>
        </w:rPr>
        <w:t>理财产品购买流程说明</w:t>
      </w:r>
    </w:p>
    <w:p w14:paraId="60301F87" w14:textId="77777777" w:rsidR="0078631E" w:rsidRDefault="00000000">
      <w:pPr>
        <w:pStyle w:val="ac"/>
        <w:spacing w:before="0" w:after="0" w:line="240" w:lineRule="auto"/>
        <w:ind w:firstLineChars="200" w:firstLine="340"/>
        <w:jc w:val="both"/>
        <w:rPr>
          <w:bCs/>
          <w:color w:val="auto"/>
          <w:spacing w:val="10"/>
          <w:kern w:val="2"/>
          <w:sz w:val="15"/>
          <w:szCs w:val="15"/>
        </w:rPr>
      </w:pPr>
      <w:r>
        <w:rPr>
          <w:rFonts w:hint="eastAsia"/>
          <w:bCs/>
          <w:color w:val="auto"/>
          <w:spacing w:val="10"/>
          <w:kern w:val="2"/>
          <w:sz w:val="15"/>
          <w:szCs w:val="15"/>
        </w:rPr>
        <w:t>（一）首次在销售机构购买理财产品的投资者应按销售机构的要求明确授权指定账户，用于本理财产品的理财资金划转及理财收益、到期清算分配资金的分配，提供并确认正确的联系方式。</w:t>
      </w:r>
    </w:p>
    <w:p w14:paraId="3136618D" w14:textId="77777777" w:rsidR="0078631E" w:rsidRDefault="00000000">
      <w:pPr>
        <w:pStyle w:val="ac"/>
        <w:spacing w:before="0" w:after="0" w:line="240" w:lineRule="auto"/>
        <w:ind w:firstLineChars="199" w:firstLine="338"/>
        <w:jc w:val="both"/>
        <w:rPr>
          <w:bCs/>
          <w:color w:val="auto"/>
          <w:spacing w:val="10"/>
          <w:kern w:val="2"/>
          <w:sz w:val="15"/>
          <w:szCs w:val="15"/>
        </w:rPr>
      </w:pPr>
      <w:r>
        <w:rPr>
          <w:rFonts w:hint="eastAsia"/>
          <w:bCs/>
          <w:color w:val="auto"/>
          <w:spacing w:val="10"/>
          <w:kern w:val="2"/>
          <w:sz w:val="15"/>
          <w:szCs w:val="15"/>
        </w:rPr>
        <w:t>（二）在销售机构购买理财产品的个人投资者应按销售机构的要求进行投资者风险承受能力评估，并确认风险承受能力等级不低于本理财产品风险等级。</w:t>
      </w:r>
    </w:p>
    <w:p w14:paraId="0E491A18" w14:textId="77777777" w:rsidR="0078631E" w:rsidRDefault="00000000">
      <w:pPr>
        <w:pStyle w:val="ac"/>
        <w:spacing w:before="0" w:after="0" w:line="240" w:lineRule="auto"/>
        <w:ind w:firstLineChars="199" w:firstLine="338"/>
        <w:jc w:val="both"/>
        <w:rPr>
          <w:bCs/>
          <w:color w:val="auto"/>
          <w:spacing w:val="10"/>
          <w:kern w:val="2"/>
          <w:sz w:val="15"/>
          <w:szCs w:val="15"/>
        </w:rPr>
      </w:pPr>
      <w:r>
        <w:rPr>
          <w:rFonts w:hint="eastAsia"/>
          <w:bCs/>
          <w:color w:val="auto"/>
          <w:spacing w:val="10"/>
          <w:kern w:val="2"/>
          <w:sz w:val="15"/>
          <w:szCs w:val="15"/>
        </w:rPr>
        <w:t>（三）投资者应仔细阅读拟购买理财产品销售文件（以下简称“销售文件”），包括但不限于理财产品对应的：《理财产品销售协议书》《理财产品说明书》《理财产品风险揭示书》《投资者权益须知》</w:t>
      </w:r>
      <w:r>
        <w:rPr>
          <w:bCs/>
          <w:spacing w:val="10"/>
          <w:sz w:val="15"/>
          <w:szCs w:val="15"/>
        </w:rPr>
        <w:t>《</w:t>
      </w:r>
      <w:r>
        <w:rPr>
          <w:bCs/>
          <w:spacing w:val="10"/>
          <w:kern w:val="2"/>
          <w:sz w:val="15"/>
          <w:szCs w:val="15"/>
        </w:rPr>
        <w:t>理财产品投资协议书》</w:t>
      </w:r>
      <w:r>
        <w:rPr>
          <w:rFonts w:hint="eastAsia"/>
          <w:bCs/>
          <w:color w:val="auto"/>
          <w:spacing w:val="10"/>
          <w:kern w:val="2"/>
          <w:sz w:val="15"/>
          <w:szCs w:val="15"/>
        </w:rPr>
        <w:t>等，理解并确认理财产品条款及产品风险。</w:t>
      </w:r>
    </w:p>
    <w:p w14:paraId="257AC337" w14:textId="77777777" w:rsidR="0078631E" w:rsidRDefault="00000000">
      <w:pPr>
        <w:pStyle w:val="ac"/>
        <w:spacing w:before="0" w:after="0" w:line="240" w:lineRule="auto"/>
        <w:ind w:firstLine="480"/>
        <w:jc w:val="both"/>
        <w:rPr>
          <w:bCs/>
          <w:color w:val="auto"/>
          <w:spacing w:val="10"/>
          <w:kern w:val="2"/>
          <w:sz w:val="15"/>
          <w:szCs w:val="15"/>
        </w:rPr>
      </w:pPr>
      <w:r>
        <w:rPr>
          <w:rFonts w:hint="eastAsia"/>
          <w:bCs/>
          <w:color w:val="auto"/>
          <w:spacing w:val="10"/>
          <w:kern w:val="2"/>
          <w:sz w:val="15"/>
          <w:szCs w:val="15"/>
        </w:rPr>
        <w:t>投资者在销售机构提供的渠道自主决定是否购买理财产品，确定购买金额，完成交易申请，并在确认份额后进行查询。</w:t>
      </w:r>
    </w:p>
    <w:p w14:paraId="719FED2B" w14:textId="77777777" w:rsidR="0078631E" w:rsidRDefault="00000000">
      <w:pPr>
        <w:pStyle w:val="ac"/>
        <w:spacing w:before="0" w:after="0" w:line="240" w:lineRule="auto"/>
        <w:ind w:firstLine="480"/>
        <w:jc w:val="both"/>
        <w:rPr>
          <w:bCs/>
          <w:color w:val="auto"/>
          <w:spacing w:val="10"/>
          <w:kern w:val="2"/>
          <w:sz w:val="15"/>
          <w:szCs w:val="15"/>
        </w:rPr>
      </w:pPr>
      <w:permStart w:id="2105048452" w:edGrp="everyone"/>
      <w:r>
        <w:rPr>
          <w:rFonts w:hint="eastAsia"/>
          <w:bCs/>
          <w:color w:val="auto"/>
          <w:spacing w:val="10"/>
          <w:kern w:val="2"/>
          <w:sz w:val="15"/>
          <w:szCs w:val="15"/>
        </w:rPr>
        <w:t>此处填写销售机构具体购买流程</w:t>
      </w:r>
      <w:permEnd w:id="2105048452"/>
    </w:p>
    <w:p w14:paraId="1F5A82CF" w14:textId="77777777" w:rsidR="0078631E" w:rsidRDefault="00000000">
      <w:pPr>
        <w:pStyle w:val="ac"/>
        <w:spacing w:before="0" w:after="0" w:line="240" w:lineRule="auto"/>
        <w:ind w:firstLineChars="200" w:firstLine="341"/>
        <w:jc w:val="both"/>
        <w:rPr>
          <w:bCs/>
          <w:color w:val="auto"/>
          <w:spacing w:val="10"/>
          <w:kern w:val="2"/>
          <w:sz w:val="15"/>
          <w:szCs w:val="15"/>
        </w:rPr>
      </w:pPr>
      <w:r>
        <w:rPr>
          <w:rFonts w:hint="eastAsia"/>
          <w:b/>
          <w:color w:val="auto"/>
          <w:spacing w:val="10"/>
          <w:kern w:val="2"/>
          <w:sz w:val="15"/>
          <w:szCs w:val="15"/>
        </w:rPr>
        <w:t>第二条</w:t>
      </w:r>
      <w:r>
        <w:rPr>
          <w:b/>
          <w:color w:val="auto"/>
          <w:spacing w:val="10"/>
          <w:kern w:val="2"/>
          <w:sz w:val="15"/>
          <w:szCs w:val="15"/>
        </w:rPr>
        <w:t xml:space="preserve"> </w:t>
      </w:r>
      <w:r>
        <w:rPr>
          <w:rFonts w:hint="eastAsia"/>
          <w:b/>
          <w:color w:val="auto"/>
          <w:spacing w:val="10"/>
          <w:kern w:val="2"/>
          <w:sz w:val="15"/>
          <w:szCs w:val="15"/>
        </w:rPr>
        <w:t>投资者风险承受能力评估流程说明</w:t>
      </w:r>
    </w:p>
    <w:p w14:paraId="6E590029" w14:textId="77777777" w:rsidR="0078631E" w:rsidRDefault="00000000">
      <w:pPr>
        <w:pStyle w:val="ac"/>
        <w:spacing w:before="0" w:after="0" w:line="240" w:lineRule="auto"/>
        <w:ind w:firstLine="478"/>
        <w:jc w:val="both"/>
        <w:rPr>
          <w:b/>
          <w:color w:val="auto"/>
          <w:spacing w:val="10"/>
          <w:kern w:val="2"/>
          <w:sz w:val="15"/>
          <w:szCs w:val="15"/>
        </w:rPr>
      </w:pPr>
      <w:r>
        <w:rPr>
          <w:rFonts w:hint="eastAsia"/>
          <w:b/>
          <w:color w:val="auto"/>
          <w:spacing w:val="10"/>
          <w:kern w:val="2"/>
          <w:sz w:val="15"/>
          <w:szCs w:val="15"/>
        </w:rPr>
        <w:t>（一）个人投资者风险承受能力评估流程说明</w:t>
      </w:r>
    </w:p>
    <w:p w14:paraId="6768113D" w14:textId="77777777" w:rsidR="0078631E" w:rsidRDefault="00000000">
      <w:pPr>
        <w:pStyle w:val="ac"/>
        <w:spacing w:before="0" w:after="0" w:line="240" w:lineRule="auto"/>
        <w:ind w:firstLine="338"/>
        <w:jc w:val="both"/>
        <w:rPr>
          <w:bCs/>
          <w:color w:val="auto"/>
          <w:spacing w:val="10"/>
          <w:kern w:val="2"/>
          <w:sz w:val="15"/>
          <w:szCs w:val="15"/>
        </w:rPr>
      </w:pPr>
      <w:r>
        <w:rPr>
          <w:bCs/>
          <w:color w:val="auto"/>
          <w:spacing w:val="10"/>
          <w:kern w:val="2"/>
          <w:sz w:val="15"/>
          <w:szCs w:val="15"/>
        </w:rPr>
        <w:t>1</w:t>
      </w:r>
      <w:r>
        <w:rPr>
          <w:rFonts w:hint="eastAsia"/>
          <w:bCs/>
          <w:color w:val="auto"/>
          <w:spacing w:val="10"/>
          <w:kern w:val="2"/>
          <w:sz w:val="15"/>
          <w:szCs w:val="15"/>
        </w:rPr>
        <w:t>.</w:t>
      </w:r>
      <w:r>
        <w:rPr>
          <w:rFonts w:hint="eastAsia"/>
          <w:bCs/>
          <w:color w:val="auto"/>
          <w:spacing w:val="10"/>
          <w:kern w:val="2"/>
          <w:sz w:val="15"/>
          <w:szCs w:val="15"/>
        </w:rPr>
        <w:t>个人投资者首次通过销售机构购买理财产品时应根据销售机构的要求进行风险承受能力评估。</w:t>
      </w:r>
    </w:p>
    <w:p w14:paraId="1E6A442D" w14:textId="77777777" w:rsidR="0078631E" w:rsidRDefault="00000000">
      <w:pPr>
        <w:pStyle w:val="ac"/>
        <w:spacing w:before="0" w:after="0" w:line="240" w:lineRule="auto"/>
        <w:ind w:firstLine="338"/>
        <w:jc w:val="both"/>
        <w:rPr>
          <w:bCs/>
          <w:color w:val="auto"/>
          <w:spacing w:val="10"/>
          <w:kern w:val="2"/>
          <w:sz w:val="15"/>
          <w:szCs w:val="15"/>
        </w:rPr>
      </w:pPr>
      <w:r>
        <w:rPr>
          <w:bCs/>
          <w:color w:val="auto"/>
          <w:spacing w:val="10"/>
          <w:kern w:val="2"/>
          <w:sz w:val="15"/>
          <w:szCs w:val="15"/>
        </w:rPr>
        <w:t>2</w:t>
      </w:r>
      <w:r>
        <w:rPr>
          <w:rFonts w:hint="eastAsia"/>
          <w:bCs/>
          <w:color w:val="auto"/>
          <w:spacing w:val="10"/>
          <w:kern w:val="2"/>
          <w:sz w:val="15"/>
          <w:szCs w:val="15"/>
        </w:rPr>
        <w:t>.</w:t>
      </w:r>
      <w:r>
        <w:rPr>
          <w:rFonts w:hint="eastAsia"/>
          <w:bCs/>
          <w:color w:val="auto"/>
          <w:spacing w:val="10"/>
          <w:kern w:val="2"/>
          <w:sz w:val="15"/>
          <w:szCs w:val="15"/>
        </w:rPr>
        <w:t>个人投资者超过一年未进行风险承受能力评估或发生可能影响自身风险承受能力情况的，再次购买理财产品时，应根据销售机构的要求及时完成风险承受能力的重新评估；未进行持续风险评估的投资者不能再次购买理财产品。</w:t>
      </w:r>
    </w:p>
    <w:p w14:paraId="6DC64537" w14:textId="77777777" w:rsidR="0078631E" w:rsidRDefault="00000000">
      <w:pPr>
        <w:pStyle w:val="ac"/>
        <w:spacing w:before="0" w:after="0" w:line="240" w:lineRule="auto"/>
        <w:ind w:firstLine="338"/>
        <w:jc w:val="both"/>
        <w:rPr>
          <w:bCs/>
          <w:color w:val="auto"/>
          <w:spacing w:val="10"/>
          <w:kern w:val="2"/>
          <w:sz w:val="15"/>
          <w:szCs w:val="15"/>
        </w:rPr>
      </w:pPr>
      <w:r>
        <w:rPr>
          <w:bCs/>
          <w:color w:val="auto"/>
          <w:spacing w:val="10"/>
          <w:kern w:val="2"/>
          <w:sz w:val="15"/>
          <w:szCs w:val="15"/>
        </w:rPr>
        <w:t>3</w:t>
      </w:r>
      <w:r>
        <w:rPr>
          <w:rFonts w:hint="eastAsia"/>
          <w:bCs/>
          <w:color w:val="auto"/>
          <w:spacing w:val="10"/>
          <w:kern w:val="2"/>
          <w:sz w:val="15"/>
          <w:szCs w:val="15"/>
        </w:rPr>
        <w:t>.</w:t>
      </w:r>
      <w:r>
        <w:rPr>
          <w:rFonts w:hint="eastAsia"/>
          <w:bCs/>
          <w:color w:val="auto"/>
          <w:spacing w:val="10"/>
          <w:kern w:val="2"/>
          <w:sz w:val="15"/>
          <w:szCs w:val="15"/>
        </w:rPr>
        <w:t>个人投资者风险承受能力评估流程</w:t>
      </w:r>
    </w:p>
    <w:p w14:paraId="6A5A4B22" w14:textId="77777777" w:rsidR="0078631E" w:rsidRDefault="00000000">
      <w:pPr>
        <w:pStyle w:val="ac"/>
        <w:spacing w:before="0" w:after="0" w:line="240" w:lineRule="auto"/>
        <w:ind w:firstLine="338"/>
        <w:jc w:val="both"/>
        <w:rPr>
          <w:bCs/>
          <w:color w:val="auto"/>
          <w:spacing w:val="10"/>
          <w:kern w:val="2"/>
          <w:sz w:val="15"/>
          <w:szCs w:val="15"/>
        </w:rPr>
      </w:pPr>
      <w:r>
        <w:rPr>
          <w:rFonts w:hint="eastAsia"/>
          <w:bCs/>
          <w:color w:val="auto"/>
          <w:spacing w:val="10"/>
          <w:kern w:val="2"/>
          <w:sz w:val="15"/>
          <w:szCs w:val="15"/>
        </w:rPr>
        <w:t>（</w:t>
      </w:r>
      <w:r>
        <w:rPr>
          <w:bCs/>
          <w:color w:val="auto"/>
          <w:spacing w:val="10"/>
          <w:kern w:val="2"/>
          <w:sz w:val="15"/>
          <w:szCs w:val="15"/>
        </w:rPr>
        <w:t>1</w:t>
      </w:r>
      <w:r>
        <w:rPr>
          <w:rFonts w:hint="eastAsia"/>
          <w:bCs/>
          <w:color w:val="auto"/>
          <w:spacing w:val="10"/>
          <w:kern w:val="2"/>
          <w:sz w:val="15"/>
          <w:szCs w:val="15"/>
        </w:rPr>
        <w:t>）个人投资者在销售机构进行风险承受能力评估；</w:t>
      </w:r>
    </w:p>
    <w:p w14:paraId="250156CE" w14:textId="77777777" w:rsidR="0078631E" w:rsidRDefault="00000000">
      <w:pPr>
        <w:pStyle w:val="ac"/>
        <w:spacing w:before="0" w:after="0" w:line="240" w:lineRule="auto"/>
        <w:ind w:firstLine="338"/>
        <w:jc w:val="both"/>
        <w:rPr>
          <w:bCs/>
          <w:color w:val="auto"/>
          <w:spacing w:val="10"/>
          <w:kern w:val="2"/>
          <w:sz w:val="15"/>
          <w:szCs w:val="15"/>
        </w:rPr>
      </w:pPr>
      <w:r>
        <w:rPr>
          <w:rFonts w:hint="eastAsia"/>
          <w:bCs/>
          <w:color w:val="auto"/>
          <w:spacing w:val="10"/>
          <w:kern w:val="2"/>
          <w:sz w:val="15"/>
          <w:szCs w:val="15"/>
        </w:rPr>
        <w:t>（</w:t>
      </w:r>
      <w:r>
        <w:rPr>
          <w:bCs/>
          <w:color w:val="auto"/>
          <w:spacing w:val="10"/>
          <w:kern w:val="2"/>
          <w:sz w:val="15"/>
          <w:szCs w:val="15"/>
        </w:rPr>
        <w:t>2</w:t>
      </w:r>
      <w:r>
        <w:rPr>
          <w:rFonts w:hint="eastAsia"/>
          <w:bCs/>
          <w:color w:val="auto"/>
          <w:spacing w:val="10"/>
          <w:kern w:val="2"/>
          <w:sz w:val="15"/>
          <w:szCs w:val="15"/>
        </w:rPr>
        <w:t>）填写销售机构个人投资者风险承受能力测试问卷；</w:t>
      </w:r>
    </w:p>
    <w:p w14:paraId="3F6BF58D" w14:textId="77777777" w:rsidR="0078631E" w:rsidRDefault="00000000">
      <w:pPr>
        <w:pStyle w:val="ac"/>
        <w:spacing w:before="0" w:after="0" w:line="240" w:lineRule="auto"/>
        <w:ind w:firstLine="338"/>
        <w:jc w:val="both"/>
        <w:rPr>
          <w:bCs/>
          <w:color w:val="auto"/>
          <w:spacing w:val="10"/>
          <w:kern w:val="2"/>
          <w:sz w:val="15"/>
          <w:szCs w:val="15"/>
        </w:rPr>
      </w:pPr>
      <w:r>
        <w:rPr>
          <w:rFonts w:hint="eastAsia"/>
          <w:bCs/>
          <w:color w:val="auto"/>
          <w:spacing w:val="10"/>
          <w:kern w:val="2"/>
          <w:sz w:val="15"/>
          <w:szCs w:val="15"/>
        </w:rPr>
        <w:t>（</w:t>
      </w:r>
      <w:r>
        <w:rPr>
          <w:bCs/>
          <w:color w:val="auto"/>
          <w:spacing w:val="10"/>
          <w:kern w:val="2"/>
          <w:sz w:val="15"/>
          <w:szCs w:val="15"/>
        </w:rPr>
        <w:t>3</w:t>
      </w:r>
      <w:r>
        <w:rPr>
          <w:rFonts w:hint="eastAsia"/>
          <w:bCs/>
          <w:color w:val="auto"/>
          <w:spacing w:val="10"/>
          <w:kern w:val="2"/>
          <w:sz w:val="15"/>
          <w:szCs w:val="15"/>
        </w:rPr>
        <w:t>）生成相应的个人投资者风险承受能力评估结果；</w:t>
      </w:r>
    </w:p>
    <w:p w14:paraId="2BB7FE76" w14:textId="77777777" w:rsidR="0078631E" w:rsidRDefault="00000000">
      <w:pPr>
        <w:pStyle w:val="ac"/>
        <w:spacing w:before="0" w:after="0" w:line="240" w:lineRule="auto"/>
        <w:ind w:firstLine="338"/>
        <w:jc w:val="both"/>
        <w:rPr>
          <w:bCs/>
          <w:color w:val="auto"/>
          <w:spacing w:val="10"/>
          <w:kern w:val="2"/>
          <w:sz w:val="15"/>
          <w:szCs w:val="15"/>
        </w:rPr>
      </w:pPr>
      <w:r>
        <w:rPr>
          <w:rFonts w:hint="eastAsia"/>
          <w:bCs/>
          <w:color w:val="auto"/>
          <w:spacing w:val="10"/>
          <w:kern w:val="2"/>
          <w:sz w:val="15"/>
          <w:szCs w:val="15"/>
        </w:rPr>
        <w:t>（</w:t>
      </w:r>
      <w:r>
        <w:rPr>
          <w:bCs/>
          <w:color w:val="auto"/>
          <w:spacing w:val="10"/>
          <w:kern w:val="2"/>
          <w:sz w:val="15"/>
          <w:szCs w:val="15"/>
        </w:rPr>
        <w:t>4</w:t>
      </w:r>
      <w:r>
        <w:rPr>
          <w:rFonts w:hint="eastAsia"/>
          <w:bCs/>
          <w:color w:val="auto"/>
          <w:spacing w:val="10"/>
          <w:kern w:val="2"/>
          <w:sz w:val="15"/>
          <w:szCs w:val="15"/>
        </w:rPr>
        <w:t>）投资者对评估结果进行确认。</w:t>
      </w:r>
    </w:p>
    <w:p w14:paraId="4CA9BF58" w14:textId="77777777" w:rsidR="0078631E" w:rsidRDefault="00000000">
      <w:pPr>
        <w:pStyle w:val="ac"/>
        <w:spacing w:before="0" w:after="0" w:line="240" w:lineRule="auto"/>
        <w:ind w:firstLine="478"/>
        <w:jc w:val="both"/>
        <w:rPr>
          <w:bCs/>
          <w:color w:val="auto"/>
          <w:spacing w:val="10"/>
          <w:kern w:val="2"/>
          <w:sz w:val="15"/>
          <w:szCs w:val="15"/>
        </w:rPr>
      </w:pPr>
      <w:r>
        <w:rPr>
          <w:rFonts w:hint="eastAsia"/>
          <w:bCs/>
          <w:color w:val="auto"/>
          <w:spacing w:val="10"/>
          <w:kern w:val="2"/>
          <w:sz w:val="15"/>
          <w:szCs w:val="15"/>
        </w:rPr>
        <w:t>●特别提示：如个人投资者发生可能影响其自身风险承受能力的情况，再次购买理财产品时应当主动要求销售机构对其进行风险承受能力评估。</w:t>
      </w:r>
    </w:p>
    <w:p w14:paraId="271E81F0" w14:textId="77777777" w:rsidR="0078631E" w:rsidRDefault="00000000">
      <w:pPr>
        <w:pStyle w:val="ac"/>
        <w:spacing w:before="0" w:after="0" w:line="240" w:lineRule="auto"/>
        <w:ind w:firstLineChars="200" w:firstLine="340"/>
        <w:jc w:val="both"/>
        <w:rPr>
          <w:color w:val="auto"/>
          <w:spacing w:val="10"/>
          <w:kern w:val="2"/>
          <w:sz w:val="15"/>
          <w:szCs w:val="15"/>
        </w:rPr>
      </w:pPr>
      <w:r>
        <w:rPr>
          <w:rFonts w:hint="eastAsia"/>
          <w:color w:val="auto"/>
          <w:spacing w:val="10"/>
          <w:kern w:val="2"/>
          <w:sz w:val="15"/>
          <w:szCs w:val="15"/>
        </w:rPr>
        <w:t>评级具体含义说明。投资者风险承受能力评估结果的含义如下：</w:t>
      </w:r>
    </w:p>
    <w:p w14:paraId="586BAE66" w14:textId="77777777" w:rsidR="0078631E" w:rsidRDefault="00000000">
      <w:pPr>
        <w:pStyle w:val="ac"/>
        <w:spacing w:before="0" w:after="0" w:line="240" w:lineRule="auto"/>
        <w:ind w:firstLine="380"/>
        <w:jc w:val="both"/>
        <w:rPr>
          <w:b/>
          <w:color w:val="auto"/>
          <w:spacing w:val="10"/>
          <w:kern w:val="2"/>
          <w:sz w:val="15"/>
          <w:szCs w:val="15"/>
        </w:rPr>
      </w:pPr>
      <w:permStart w:id="1704020678" w:edGrp="everyone"/>
      <w:r>
        <w:rPr>
          <w:rFonts w:hint="eastAsia"/>
          <w:b/>
          <w:color w:val="auto"/>
          <w:spacing w:val="10"/>
          <w:kern w:val="2"/>
          <w:sz w:val="15"/>
          <w:szCs w:val="15"/>
        </w:rPr>
        <w:t xml:space="preserve">     </w:t>
      </w:r>
    </w:p>
    <w:permEnd w:id="1704020678"/>
    <w:p w14:paraId="360E7392" w14:textId="77777777" w:rsidR="0078631E" w:rsidRDefault="00000000">
      <w:pPr>
        <w:pStyle w:val="ac"/>
        <w:spacing w:before="0" w:after="0" w:line="240" w:lineRule="auto"/>
        <w:ind w:firstLine="478"/>
        <w:jc w:val="both"/>
        <w:rPr>
          <w:b/>
          <w:color w:val="auto"/>
          <w:spacing w:val="10"/>
          <w:kern w:val="2"/>
          <w:sz w:val="15"/>
          <w:szCs w:val="15"/>
        </w:rPr>
      </w:pPr>
      <w:r>
        <w:rPr>
          <w:rFonts w:hint="eastAsia"/>
          <w:b/>
          <w:color w:val="auto"/>
          <w:spacing w:val="10"/>
          <w:kern w:val="2"/>
          <w:sz w:val="15"/>
          <w:szCs w:val="15"/>
        </w:rPr>
        <w:t>（二）机构投资者风险承受能力评估流程说明</w:t>
      </w:r>
    </w:p>
    <w:p w14:paraId="63746CD2" w14:textId="77777777" w:rsidR="0078631E" w:rsidRDefault="00000000">
      <w:pPr>
        <w:pStyle w:val="ac"/>
        <w:spacing w:before="0" w:after="0" w:line="240" w:lineRule="auto"/>
        <w:ind w:firstLine="478"/>
        <w:jc w:val="both"/>
        <w:rPr>
          <w:bCs/>
          <w:color w:val="auto"/>
          <w:spacing w:val="10"/>
          <w:kern w:val="2"/>
          <w:sz w:val="15"/>
          <w:szCs w:val="15"/>
        </w:rPr>
      </w:pPr>
      <w:r>
        <w:rPr>
          <w:rFonts w:hint="eastAsia"/>
          <w:bCs/>
          <w:color w:val="auto"/>
          <w:spacing w:val="10"/>
          <w:kern w:val="2"/>
          <w:sz w:val="15"/>
          <w:szCs w:val="15"/>
        </w:rPr>
        <w:t>机构投资者请根据自身的财务状况、投资经验、投资目标、风险认知、风险判断及其他因素综合</w:t>
      </w:r>
      <w:proofErr w:type="gramStart"/>
      <w:r>
        <w:rPr>
          <w:rFonts w:hint="eastAsia"/>
          <w:bCs/>
          <w:color w:val="auto"/>
          <w:spacing w:val="10"/>
          <w:kern w:val="2"/>
          <w:sz w:val="15"/>
          <w:szCs w:val="15"/>
        </w:rPr>
        <w:t>考量</w:t>
      </w:r>
      <w:proofErr w:type="gramEnd"/>
      <w:r>
        <w:rPr>
          <w:rFonts w:hint="eastAsia"/>
          <w:bCs/>
          <w:color w:val="auto"/>
          <w:spacing w:val="10"/>
          <w:kern w:val="2"/>
          <w:sz w:val="15"/>
          <w:szCs w:val="15"/>
        </w:rPr>
        <w:t>理财产品的投资风险及自身的风险承受能力。</w:t>
      </w:r>
    </w:p>
    <w:p w14:paraId="047FAAC1" w14:textId="77777777" w:rsidR="0078631E" w:rsidRDefault="00000000">
      <w:pPr>
        <w:pStyle w:val="ac"/>
        <w:spacing w:before="0" w:after="0" w:line="240" w:lineRule="auto"/>
        <w:ind w:firstLine="478"/>
        <w:jc w:val="both"/>
        <w:rPr>
          <w:bCs/>
          <w:color w:val="auto"/>
          <w:spacing w:val="10"/>
          <w:kern w:val="2"/>
          <w:sz w:val="15"/>
          <w:szCs w:val="15"/>
        </w:rPr>
      </w:pPr>
      <w:r>
        <w:rPr>
          <w:rFonts w:hint="eastAsia"/>
          <w:b/>
          <w:color w:val="auto"/>
          <w:spacing w:val="10"/>
          <w:kern w:val="2"/>
          <w:sz w:val="15"/>
          <w:szCs w:val="15"/>
        </w:rPr>
        <w:t>第三条</w:t>
      </w:r>
      <w:r>
        <w:rPr>
          <w:b/>
          <w:color w:val="auto"/>
          <w:spacing w:val="10"/>
          <w:kern w:val="2"/>
          <w:sz w:val="15"/>
          <w:szCs w:val="15"/>
        </w:rPr>
        <w:t xml:space="preserve"> </w:t>
      </w:r>
      <w:r>
        <w:rPr>
          <w:rFonts w:hint="eastAsia"/>
          <w:b/>
          <w:color w:val="auto"/>
          <w:spacing w:val="10"/>
          <w:kern w:val="2"/>
          <w:sz w:val="15"/>
          <w:szCs w:val="15"/>
        </w:rPr>
        <w:t>理财产品风险等级说明</w:t>
      </w:r>
    </w:p>
    <w:p w14:paraId="30C66842" w14:textId="77777777" w:rsidR="0078631E" w:rsidRDefault="00000000">
      <w:pPr>
        <w:pStyle w:val="ac"/>
        <w:spacing w:before="0" w:after="0" w:line="240" w:lineRule="auto"/>
        <w:ind w:firstLineChars="199" w:firstLine="338"/>
        <w:jc w:val="both"/>
        <w:rPr>
          <w:color w:val="auto"/>
          <w:spacing w:val="10"/>
          <w:kern w:val="2"/>
          <w:sz w:val="15"/>
          <w:szCs w:val="15"/>
        </w:rPr>
      </w:pPr>
      <w:r>
        <w:rPr>
          <w:rFonts w:hint="eastAsia"/>
          <w:color w:val="auto"/>
          <w:spacing w:val="10"/>
          <w:kern w:val="2"/>
          <w:sz w:val="15"/>
          <w:szCs w:val="15"/>
        </w:rPr>
        <w:t>由于理财产品的运行方式和投资范围等不同，其承担的风险程度各有不同，南银理财将其风险等级分为五级，分别为：</w:t>
      </w:r>
      <w:r>
        <w:rPr>
          <w:rFonts w:hint="eastAsia"/>
          <w:color w:val="auto"/>
          <w:spacing w:val="10"/>
          <w:kern w:val="2"/>
          <w:sz w:val="15"/>
          <w:szCs w:val="15"/>
        </w:rPr>
        <w:t>PR1</w:t>
      </w:r>
      <w:r>
        <w:rPr>
          <w:rFonts w:hint="eastAsia"/>
          <w:color w:val="auto"/>
          <w:spacing w:val="10"/>
          <w:kern w:val="2"/>
          <w:sz w:val="15"/>
          <w:szCs w:val="15"/>
        </w:rPr>
        <w:t>级（低风险）、</w:t>
      </w:r>
      <w:r>
        <w:rPr>
          <w:rFonts w:hint="eastAsia"/>
          <w:color w:val="auto"/>
          <w:spacing w:val="10"/>
          <w:kern w:val="2"/>
          <w:sz w:val="15"/>
          <w:szCs w:val="15"/>
        </w:rPr>
        <w:t>PR2</w:t>
      </w:r>
      <w:r>
        <w:rPr>
          <w:rFonts w:hint="eastAsia"/>
          <w:color w:val="auto"/>
          <w:spacing w:val="10"/>
          <w:kern w:val="2"/>
          <w:sz w:val="15"/>
          <w:szCs w:val="15"/>
        </w:rPr>
        <w:t>级（中低风险）、</w:t>
      </w:r>
      <w:r>
        <w:rPr>
          <w:rFonts w:hint="eastAsia"/>
          <w:color w:val="auto"/>
          <w:spacing w:val="10"/>
          <w:kern w:val="2"/>
          <w:sz w:val="15"/>
          <w:szCs w:val="15"/>
        </w:rPr>
        <w:t>PR3</w:t>
      </w:r>
      <w:r>
        <w:rPr>
          <w:rFonts w:hint="eastAsia"/>
          <w:color w:val="auto"/>
          <w:spacing w:val="10"/>
          <w:kern w:val="2"/>
          <w:sz w:val="15"/>
          <w:szCs w:val="15"/>
        </w:rPr>
        <w:t>级（中等风险）、</w:t>
      </w:r>
      <w:r>
        <w:rPr>
          <w:color w:val="auto"/>
          <w:spacing w:val="10"/>
          <w:kern w:val="2"/>
          <w:sz w:val="15"/>
          <w:szCs w:val="15"/>
        </w:rPr>
        <w:t>PR4</w:t>
      </w:r>
      <w:r>
        <w:rPr>
          <w:rFonts w:hint="eastAsia"/>
          <w:color w:val="auto"/>
          <w:spacing w:val="10"/>
          <w:kern w:val="2"/>
          <w:sz w:val="15"/>
          <w:szCs w:val="15"/>
        </w:rPr>
        <w:t>级（中高风险）、</w:t>
      </w:r>
      <w:r>
        <w:rPr>
          <w:color w:val="auto"/>
          <w:spacing w:val="10"/>
          <w:kern w:val="2"/>
          <w:sz w:val="15"/>
          <w:szCs w:val="15"/>
        </w:rPr>
        <w:t>PR5</w:t>
      </w:r>
      <w:r>
        <w:rPr>
          <w:rFonts w:hint="eastAsia"/>
          <w:color w:val="auto"/>
          <w:spacing w:val="10"/>
          <w:kern w:val="2"/>
          <w:sz w:val="15"/>
          <w:szCs w:val="15"/>
        </w:rPr>
        <w:t>级（高风险）。</w:t>
      </w:r>
    </w:p>
    <w:p w14:paraId="469A8404" w14:textId="77777777" w:rsidR="0078631E" w:rsidRDefault="00000000">
      <w:pPr>
        <w:pStyle w:val="ac"/>
        <w:spacing w:before="0" w:after="0" w:line="240" w:lineRule="auto"/>
        <w:ind w:firstLineChars="199" w:firstLine="338"/>
        <w:jc w:val="both"/>
        <w:rPr>
          <w:color w:val="auto"/>
          <w:spacing w:val="10"/>
          <w:kern w:val="2"/>
          <w:sz w:val="15"/>
          <w:szCs w:val="15"/>
        </w:rPr>
      </w:pPr>
      <w:r>
        <w:rPr>
          <w:color w:val="auto"/>
          <w:spacing w:val="10"/>
          <w:kern w:val="2"/>
          <w:sz w:val="15"/>
          <w:szCs w:val="15"/>
        </w:rPr>
        <w:t>PR1</w:t>
      </w:r>
      <w:r>
        <w:rPr>
          <w:rFonts w:hint="eastAsia"/>
          <w:color w:val="auto"/>
          <w:spacing w:val="10"/>
          <w:kern w:val="2"/>
          <w:sz w:val="15"/>
          <w:szCs w:val="15"/>
        </w:rPr>
        <w:t>级（低风险）：管理人不承诺本金保障，产品收益随投资表现变动，产品存在极低的本金损失风险。</w:t>
      </w:r>
    </w:p>
    <w:p w14:paraId="30C777B4" w14:textId="77777777" w:rsidR="0078631E" w:rsidRDefault="00000000">
      <w:pPr>
        <w:pStyle w:val="ac"/>
        <w:spacing w:before="0" w:after="0" w:line="240" w:lineRule="auto"/>
        <w:ind w:firstLineChars="199" w:firstLine="338"/>
        <w:jc w:val="both"/>
        <w:rPr>
          <w:color w:val="auto"/>
          <w:spacing w:val="10"/>
          <w:kern w:val="2"/>
          <w:sz w:val="15"/>
          <w:szCs w:val="15"/>
        </w:rPr>
      </w:pPr>
      <w:r>
        <w:rPr>
          <w:color w:val="auto"/>
          <w:spacing w:val="10"/>
          <w:kern w:val="2"/>
          <w:sz w:val="15"/>
          <w:szCs w:val="15"/>
        </w:rPr>
        <w:t>PR2</w:t>
      </w:r>
      <w:r>
        <w:rPr>
          <w:rFonts w:hint="eastAsia"/>
          <w:color w:val="auto"/>
          <w:spacing w:val="10"/>
          <w:kern w:val="2"/>
          <w:sz w:val="15"/>
          <w:szCs w:val="15"/>
        </w:rPr>
        <w:t>级（中低风险）：管理人不承诺本金保障，产品收益随投资表现变动，产品存在较低的本金损失风险。</w:t>
      </w:r>
    </w:p>
    <w:p w14:paraId="6F47FD98" w14:textId="77777777" w:rsidR="0078631E" w:rsidRDefault="00000000">
      <w:pPr>
        <w:pStyle w:val="ac"/>
        <w:spacing w:before="0" w:after="0" w:line="240" w:lineRule="auto"/>
        <w:ind w:firstLineChars="199" w:firstLine="338"/>
        <w:jc w:val="both"/>
        <w:rPr>
          <w:color w:val="auto"/>
          <w:spacing w:val="10"/>
          <w:kern w:val="2"/>
          <w:sz w:val="15"/>
          <w:szCs w:val="15"/>
        </w:rPr>
      </w:pPr>
      <w:r>
        <w:rPr>
          <w:color w:val="auto"/>
          <w:spacing w:val="10"/>
          <w:kern w:val="2"/>
          <w:sz w:val="15"/>
          <w:szCs w:val="15"/>
        </w:rPr>
        <w:t>PR3</w:t>
      </w:r>
      <w:r>
        <w:rPr>
          <w:rFonts w:hint="eastAsia"/>
          <w:color w:val="auto"/>
          <w:spacing w:val="10"/>
          <w:kern w:val="2"/>
          <w:sz w:val="15"/>
          <w:szCs w:val="15"/>
        </w:rPr>
        <w:t>级（中等风险）：管理人不承诺本金保障，产品收益随投资表现变动，产品存在一定的本金损失风险。</w:t>
      </w:r>
    </w:p>
    <w:p w14:paraId="37D89BD1" w14:textId="77777777" w:rsidR="0078631E" w:rsidRDefault="00000000">
      <w:pPr>
        <w:pStyle w:val="ac"/>
        <w:spacing w:before="0" w:after="0" w:line="240" w:lineRule="auto"/>
        <w:ind w:firstLineChars="199" w:firstLine="338"/>
        <w:jc w:val="both"/>
        <w:rPr>
          <w:color w:val="auto"/>
          <w:spacing w:val="10"/>
          <w:kern w:val="2"/>
          <w:sz w:val="15"/>
          <w:szCs w:val="15"/>
        </w:rPr>
      </w:pPr>
      <w:r>
        <w:rPr>
          <w:color w:val="auto"/>
          <w:spacing w:val="10"/>
          <w:kern w:val="2"/>
          <w:sz w:val="15"/>
          <w:szCs w:val="15"/>
        </w:rPr>
        <w:lastRenderedPageBreak/>
        <w:t>PR4</w:t>
      </w:r>
      <w:r>
        <w:rPr>
          <w:rFonts w:hint="eastAsia"/>
          <w:color w:val="auto"/>
          <w:spacing w:val="10"/>
          <w:kern w:val="2"/>
          <w:sz w:val="15"/>
          <w:szCs w:val="15"/>
        </w:rPr>
        <w:t>级（中高风险）：管理人不承诺本金保障，产品收益随投资表现变动，产品存在较高的本金损失风险。</w:t>
      </w:r>
    </w:p>
    <w:p w14:paraId="0BDE7479" w14:textId="77777777" w:rsidR="0078631E" w:rsidRDefault="00000000">
      <w:pPr>
        <w:pStyle w:val="ac"/>
        <w:spacing w:before="0" w:after="0" w:line="240" w:lineRule="auto"/>
        <w:ind w:firstLineChars="198" w:firstLine="337"/>
        <w:jc w:val="both"/>
      </w:pPr>
      <w:r>
        <w:rPr>
          <w:color w:val="auto"/>
          <w:spacing w:val="10"/>
          <w:kern w:val="2"/>
          <w:sz w:val="15"/>
          <w:szCs w:val="15"/>
        </w:rPr>
        <w:t>PR5</w:t>
      </w:r>
      <w:r>
        <w:rPr>
          <w:rFonts w:hint="eastAsia"/>
          <w:color w:val="auto"/>
          <w:spacing w:val="10"/>
          <w:kern w:val="2"/>
          <w:sz w:val="15"/>
          <w:szCs w:val="15"/>
        </w:rPr>
        <w:t>级（高风险）：管理人不承诺本金保障，产品收益随投资表现变动，产品存在极高的本金损失风险，产品本金蒙受全部损失的可能性不容忽视。</w:t>
      </w:r>
    </w:p>
    <w:p w14:paraId="70270DBC" w14:textId="77777777" w:rsidR="0078631E" w:rsidRDefault="00000000">
      <w:pPr>
        <w:pStyle w:val="ac"/>
        <w:spacing w:before="0" w:after="0" w:line="240" w:lineRule="auto"/>
        <w:ind w:firstLineChars="199" w:firstLine="338"/>
        <w:jc w:val="both"/>
        <w:rPr>
          <w:color w:val="auto"/>
          <w:spacing w:val="10"/>
          <w:kern w:val="2"/>
          <w:sz w:val="15"/>
          <w:szCs w:val="15"/>
        </w:rPr>
      </w:pPr>
      <w:proofErr w:type="gramStart"/>
      <w:r>
        <w:rPr>
          <w:rFonts w:hint="eastAsia"/>
          <w:color w:val="auto"/>
          <w:spacing w:val="10"/>
          <w:kern w:val="2"/>
          <w:sz w:val="15"/>
          <w:szCs w:val="15"/>
        </w:rPr>
        <w:t>本风险</w:t>
      </w:r>
      <w:proofErr w:type="gramEnd"/>
      <w:r>
        <w:rPr>
          <w:rFonts w:hint="eastAsia"/>
          <w:color w:val="auto"/>
          <w:spacing w:val="10"/>
          <w:kern w:val="2"/>
          <w:sz w:val="15"/>
          <w:szCs w:val="15"/>
        </w:rPr>
        <w:t>等级为南银理财风险评级结果，该产品通过代理销售机构渠道销售的，理财产品评级应当以代理销售机构最终披露的评级结果为准。您需充分认识投资风险，谨慎投资。</w:t>
      </w:r>
    </w:p>
    <w:p w14:paraId="2546E5F3" w14:textId="77777777" w:rsidR="0078631E" w:rsidRDefault="00000000">
      <w:pPr>
        <w:pStyle w:val="ac"/>
        <w:spacing w:before="0" w:after="0" w:line="240" w:lineRule="auto"/>
        <w:ind w:firstLineChars="200" w:firstLine="341"/>
        <w:jc w:val="both"/>
      </w:pPr>
      <w:r>
        <w:rPr>
          <w:rFonts w:hint="eastAsia"/>
          <w:b/>
          <w:color w:val="auto"/>
          <w:spacing w:val="10"/>
          <w:kern w:val="2"/>
          <w:sz w:val="15"/>
          <w:szCs w:val="15"/>
        </w:rPr>
        <w:t>【代理销售机构在开展代理销售业务前应对理财产品进行尽职调查并根据理财产品的投资范围、投资资产、投资比例和风险状况等因素对理财产品进行风险等级评估，当南银理财对理财产品的风险等级评估结果与代理销售机构不一致时，代理销售机构应当采用较高风险等级评估结果，按较高的风险等级评估结果向投资者进行充分的风险提示并推介理财产品，确保个人投资者的风险承受能力等级不低于本理财产品风险等级。】</w:t>
      </w:r>
    </w:p>
    <w:p w14:paraId="2BF07079" w14:textId="77777777" w:rsidR="0078631E" w:rsidRDefault="00000000">
      <w:pPr>
        <w:pStyle w:val="ac"/>
        <w:spacing w:before="0" w:after="0" w:line="240" w:lineRule="auto"/>
        <w:ind w:firstLineChars="198" w:firstLine="338"/>
        <w:jc w:val="both"/>
        <w:rPr>
          <w:b/>
          <w:bCs/>
          <w:color w:val="auto"/>
          <w:spacing w:val="10"/>
          <w:kern w:val="2"/>
          <w:sz w:val="15"/>
          <w:szCs w:val="15"/>
        </w:rPr>
      </w:pPr>
      <w:r>
        <w:rPr>
          <w:rFonts w:hint="eastAsia"/>
          <w:b/>
          <w:bCs/>
          <w:color w:val="auto"/>
          <w:spacing w:val="10"/>
          <w:kern w:val="2"/>
          <w:sz w:val="15"/>
          <w:szCs w:val="15"/>
        </w:rPr>
        <w:t>第四条</w:t>
      </w:r>
      <w:r>
        <w:rPr>
          <w:b/>
          <w:bCs/>
          <w:color w:val="auto"/>
          <w:spacing w:val="10"/>
          <w:kern w:val="2"/>
          <w:sz w:val="15"/>
          <w:szCs w:val="15"/>
        </w:rPr>
        <w:t xml:space="preserve"> </w:t>
      </w:r>
      <w:r>
        <w:rPr>
          <w:rFonts w:hint="eastAsia"/>
          <w:b/>
          <w:bCs/>
          <w:color w:val="auto"/>
          <w:spacing w:val="10"/>
          <w:kern w:val="2"/>
          <w:sz w:val="15"/>
          <w:szCs w:val="15"/>
        </w:rPr>
        <w:t>个人投资者风险承受能力等级与适合购买的理财产品说明</w:t>
      </w:r>
    </w:p>
    <w:tbl>
      <w:tblPr>
        <w:tblW w:w="5796" w:type="dxa"/>
        <w:jc w:val="center"/>
        <w:tblLayout w:type="fixed"/>
        <w:tblLook w:val="04A0" w:firstRow="1" w:lastRow="0" w:firstColumn="1" w:lastColumn="0" w:noHBand="0" w:noVBand="1"/>
      </w:tblPr>
      <w:tblGrid>
        <w:gridCol w:w="1866"/>
        <w:gridCol w:w="741"/>
        <w:gridCol w:w="816"/>
        <w:gridCol w:w="816"/>
        <w:gridCol w:w="816"/>
        <w:gridCol w:w="741"/>
      </w:tblGrid>
      <w:tr w:rsidR="0078631E" w14:paraId="268ED550" w14:textId="77777777">
        <w:trPr>
          <w:trHeight w:val="178"/>
          <w:jc w:val="center"/>
        </w:trPr>
        <w:tc>
          <w:tcPr>
            <w:tcW w:w="1866" w:type="dxa"/>
            <w:vMerge w:val="restart"/>
            <w:tcBorders>
              <w:top w:val="single" w:sz="4" w:space="0" w:color="auto"/>
              <w:left w:val="single" w:sz="4" w:space="0" w:color="auto"/>
              <w:right w:val="single" w:sz="4" w:space="0" w:color="auto"/>
            </w:tcBorders>
            <w:shd w:val="clear" w:color="auto" w:fill="auto"/>
            <w:vAlign w:val="center"/>
          </w:tcPr>
          <w:p w14:paraId="42179997"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个人投资者风险承受能力</w:t>
            </w:r>
          </w:p>
          <w:p w14:paraId="1E6C0236"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等级</w:t>
            </w:r>
          </w:p>
        </w:tc>
        <w:tc>
          <w:tcPr>
            <w:tcW w:w="3930" w:type="dxa"/>
            <w:gridSpan w:val="5"/>
            <w:tcBorders>
              <w:top w:val="single" w:sz="4" w:space="0" w:color="auto"/>
              <w:left w:val="nil"/>
              <w:bottom w:val="single" w:sz="4" w:space="0" w:color="auto"/>
              <w:right w:val="single" w:sz="4" w:space="0" w:color="auto"/>
            </w:tcBorders>
            <w:shd w:val="clear" w:color="auto" w:fill="auto"/>
            <w:vAlign w:val="center"/>
          </w:tcPr>
          <w:p w14:paraId="309D889E"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南银</w:t>
            </w:r>
            <w:proofErr w:type="gramStart"/>
            <w:r>
              <w:rPr>
                <w:rFonts w:ascii="宋体" w:eastAsia="宋体" w:hAnsi="宋体" w:cs="宋体" w:hint="eastAsia"/>
                <w:kern w:val="0"/>
                <w:sz w:val="15"/>
                <w:szCs w:val="15"/>
              </w:rPr>
              <w:t>理财理财</w:t>
            </w:r>
            <w:proofErr w:type="gramEnd"/>
            <w:r>
              <w:rPr>
                <w:rFonts w:ascii="宋体" w:eastAsia="宋体" w:hAnsi="宋体" w:cs="宋体" w:hint="eastAsia"/>
                <w:kern w:val="0"/>
                <w:sz w:val="15"/>
                <w:szCs w:val="15"/>
              </w:rPr>
              <w:t>产品风险等级</w:t>
            </w:r>
          </w:p>
        </w:tc>
      </w:tr>
      <w:tr w:rsidR="0078631E" w14:paraId="0FCDE905" w14:textId="77777777">
        <w:trPr>
          <w:trHeight w:val="735"/>
          <w:jc w:val="center"/>
        </w:trPr>
        <w:tc>
          <w:tcPr>
            <w:tcW w:w="1866" w:type="dxa"/>
            <w:vMerge/>
            <w:tcBorders>
              <w:left w:val="single" w:sz="4" w:space="0" w:color="auto"/>
              <w:bottom w:val="single" w:sz="4" w:space="0" w:color="auto"/>
              <w:right w:val="single" w:sz="4" w:space="0" w:color="auto"/>
            </w:tcBorders>
            <w:shd w:val="clear" w:color="auto" w:fill="auto"/>
            <w:vAlign w:val="center"/>
          </w:tcPr>
          <w:p w14:paraId="509A3594" w14:textId="77777777" w:rsidR="0078631E" w:rsidRDefault="0078631E">
            <w:pPr>
              <w:widowControl/>
              <w:snapToGrid w:val="0"/>
              <w:jc w:val="center"/>
              <w:rPr>
                <w:rFonts w:ascii="宋体" w:eastAsia="宋体" w:hAnsi="宋体" w:cs="宋体" w:hint="eastAsia"/>
                <w:kern w:val="0"/>
                <w:sz w:val="15"/>
                <w:szCs w:val="15"/>
              </w:rPr>
            </w:pPr>
          </w:p>
        </w:tc>
        <w:tc>
          <w:tcPr>
            <w:tcW w:w="741" w:type="dxa"/>
            <w:tcBorders>
              <w:top w:val="single" w:sz="4" w:space="0" w:color="auto"/>
              <w:left w:val="nil"/>
              <w:bottom w:val="single" w:sz="4" w:space="0" w:color="auto"/>
              <w:right w:val="single" w:sz="4" w:space="0" w:color="auto"/>
            </w:tcBorders>
            <w:shd w:val="clear" w:color="auto" w:fill="auto"/>
            <w:vAlign w:val="center"/>
          </w:tcPr>
          <w:p w14:paraId="47064E99"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低风险</w:t>
            </w:r>
            <w:r>
              <w:rPr>
                <w:rFonts w:ascii="宋体" w:eastAsia="宋体" w:hAnsi="宋体" w:cs="宋体"/>
                <w:kern w:val="0"/>
                <w:sz w:val="15"/>
                <w:szCs w:val="15"/>
              </w:rPr>
              <w:br/>
            </w:r>
            <w:r>
              <w:rPr>
                <w:rFonts w:ascii="宋体" w:eastAsia="宋体" w:hAnsi="宋体" w:cs="宋体" w:hint="eastAsia"/>
                <w:kern w:val="0"/>
                <w:sz w:val="15"/>
                <w:szCs w:val="15"/>
              </w:rPr>
              <w:t>（</w:t>
            </w:r>
            <w:r>
              <w:rPr>
                <w:rFonts w:ascii="宋体" w:eastAsia="宋体" w:hAnsi="宋体" w:cs="宋体"/>
                <w:kern w:val="0"/>
                <w:sz w:val="15"/>
                <w:szCs w:val="15"/>
              </w:rPr>
              <w:t>PR1</w:t>
            </w:r>
            <w:r>
              <w:rPr>
                <w:rFonts w:ascii="宋体" w:eastAsia="宋体" w:hAnsi="宋体" w:cs="宋体" w:hint="eastAsia"/>
                <w:kern w:val="0"/>
                <w:sz w:val="15"/>
                <w:szCs w:val="15"/>
              </w:rPr>
              <w:t>）</w:t>
            </w:r>
          </w:p>
        </w:tc>
        <w:tc>
          <w:tcPr>
            <w:tcW w:w="816" w:type="dxa"/>
            <w:tcBorders>
              <w:top w:val="single" w:sz="4" w:space="0" w:color="auto"/>
              <w:left w:val="nil"/>
              <w:bottom w:val="single" w:sz="4" w:space="0" w:color="auto"/>
              <w:right w:val="single" w:sz="4" w:space="0" w:color="auto"/>
            </w:tcBorders>
            <w:shd w:val="clear" w:color="auto" w:fill="auto"/>
            <w:vAlign w:val="center"/>
          </w:tcPr>
          <w:p w14:paraId="580229A2"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中低风险</w:t>
            </w:r>
            <w:r>
              <w:rPr>
                <w:rFonts w:ascii="宋体" w:eastAsia="宋体" w:hAnsi="宋体" w:cs="宋体"/>
                <w:kern w:val="0"/>
                <w:sz w:val="15"/>
                <w:szCs w:val="15"/>
              </w:rPr>
              <w:br/>
            </w:r>
            <w:r>
              <w:rPr>
                <w:rFonts w:ascii="宋体" w:eastAsia="宋体" w:hAnsi="宋体" w:cs="宋体" w:hint="eastAsia"/>
                <w:kern w:val="0"/>
                <w:sz w:val="15"/>
                <w:szCs w:val="15"/>
              </w:rPr>
              <w:t>（</w:t>
            </w:r>
            <w:r>
              <w:rPr>
                <w:rFonts w:ascii="宋体" w:eastAsia="宋体" w:hAnsi="宋体" w:cs="宋体"/>
                <w:kern w:val="0"/>
                <w:sz w:val="15"/>
                <w:szCs w:val="15"/>
              </w:rPr>
              <w:t>PR2</w:t>
            </w:r>
            <w:r>
              <w:rPr>
                <w:rFonts w:ascii="宋体" w:eastAsia="宋体" w:hAnsi="宋体" w:cs="宋体" w:hint="eastAsia"/>
                <w:kern w:val="0"/>
                <w:sz w:val="15"/>
                <w:szCs w:val="15"/>
              </w:rPr>
              <w:t>）</w:t>
            </w:r>
          </w:p>
        </w:tc>
        <w:tc>
          <w:tcPr>
            <w:tcW w:w="816" w:type="dxa"/>
            <w:tcBorders>
              <w:top w:val="single" w:sz="4" w:space="0" w:color="auto"/>
              <w:left w:val="nil"/>
              <w:bottom w:val="single" w:sz="4" w:space="0" w:color="auto"/>
              <w:right w:val="single" w:sz="4" w:space="0" w:color="auto"/>
            </w:tcBorders>
            <w:shd w:val="clear" w:color="auto" w:fill="auto"/>
            <w:vAlign w:val="center"/>
          </w:tcPr>
          <w:p w14:paraId="660414D3"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中等风险</w:t>
            </w:r>
            <w:r>
              <w:rPr>
                <w:rFonts w:ascii="宋体" w:eastAsia="宋体" w:hAnsi="宋体" w:cs="宋体"/>
                <w:kern w:val="0"/>
                <w:sz w:val="15"/>
                <w:szCs w:val="15"/>
              </w:rPr>
              <w:br/>
            </w:r>
            <w:r>
              <w:rPr>
                <w:rFonts w:ascii="宋体" w:eastAsia="宋体" w:hAnsi="宋体" w:cs="宋体" w:hint="eastAsia"/>
                <w:kern w:val="0"/>
                <w:sz w:val="15"/>
                <w:szCs w:val="15"/>
              </w:rPr>
              <w:t>（</w:t>
            </w:r>
            <w:r>
              <w:rPr>
                <w:rFonts w:ascii="宋体" w:eastAsia="宋体" w:hAnsi="宋体" w:cs="宋体"/>
                <w:kern w:val="0"/>
                <w:sz w:val="15"/>
                <w:szCs w:val="15"/>
              </w:rPr>
              <w:t>PR3</w:t>
            </w:r>
            <w:r>
              <w:rPr>
                <w:rFonts w:ascii="宋体" w:eastAsia="宋体" w:hAnsi="宋体" w:cs="宋体" w:hint="eastAsia"/>
                <w:kern w:val="0"/>
                <w:sz w:val="15"/>
                <w:szCs w:val="15"/>
              </w:rPr>
              <w:t>）</w:t>
            </w:r>
          </w:p>
        </w:tc>
        <w:tc>
          <w:tcPr>
            <w:tcW w:w="816" w:type="dxa"/>
            <w:tcBorders>
              <w:top w:val="single" w:sz="4" w:space="0" w:color="auto"/>
              <w:left w:val="nil"/>
              <w:bottom w:val="single" w:sz="4" w:space="0" w:color="auto"/>
              <w:right w:val="single" w:sz="4" w:space="0" w:color="auto"/>
            </w:tcBorders>
            <w:shd w:val="clear" w:color="auto" w:fill="auto"/>
            <w:vAlign w:val="center"/>
          </w:tcPr>
          <w:p w14:paraId="459FCED9"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中高风险</w:t>
            </w:r>
            <w:r>
              <w:rPr>
                <w:rFonts w:ascii="宋体" w:eastAsia="宋体" w:hAnsi="宋体" w:cs="宋体"/>
                <w:kern w:val="0"/>
                <w:sz w:val="15"/>
                <w:szCs w:val="15"/>
              </w:rPr>
              <w:br/>
            </w:r>
            <w:r>
              <w:rPr>
                <w:rFonts w:ascii="宋体" w:eastAsia="宋体" w:hAnsi="宋体" w:cs="宋体" w:hint="eastAsia"/>
                <w:kern w:val="0"/>
                <w:sz w:val="15"/>
                <w:szCs w:val="15"/>
              </w:rPr>
              <w:t>（</w:t>
            </w:r>
            <w:r>
              <w:rPr>
                <w:rFonts w:ascii="宋体" w:eastAsia="宋体" w:hAnsi="宋体" w:cs="宋体"/>
                <w:kern w:val="0"/>
                <w:sz w:val="15"/>
                <w:szCs w:val="15"/>
              </w:rPr>
              <w:t>PR4</w:t>
            </w:r>
            <w:r>
              <w:rPr>
                <w:rFonts w:ascii="宋体" w:eastAsia="宋体" w:hAnsi="宋体" w:cs="宋体" w:hint="eastAsia"/>
                <w:kern w:val="0"/>
                <w:sz w:val="15"/>
                <w:szCs w:val="15"/>
              </w:rPr>
              <w:t>）</w:t>
            </w:r>
          </w:p>
        </w:tc>
        <w:tc>
          <w:tcPr>
            <w:tcW w:w="741" w:type="dxa"/>
            <w:tcBorders>
              <w:top w:val="single" w:sz="4" w:space="0" w:color="auto"/>
              <w:left w:val="nil"/>
              <w:bottom w:val="single" w:sz="4" w:space="0" w:color="auto"/>
              <w:right w:val="single" w:sz="4" w:space="0" w:color="auto"/>
            </w:tcBorders>
            <w:shd w:val="clear" w:color="auto" w:fill="auto"/>
            <w:vAlign w:val="center"/>
          </w:tcPr>
          <w:p w14:paraId="1ECF3FC3"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高风险</w:t>
            </w:r>
            <w:r>
              <w:rPr>
                <w:rFonts w:ascii="宋体" w:eastAsia="宋体" w:hAnsi="宋体" w:cs="宋体"/>
                <w:kern w:val="0"/>
                <w:sz w:val="15"/>
                <w:szCs w:val="15"/>
              </w:rPr>
              <w:br/>
            </w:r>
            <w:r>
              <w:rPr>
                <w:rFonts w:ascii="宋体" w:eastAsia="宋体" w:hAnsi="宋体" w:cs="宋体" w:hint="eastAsia"/>
                <w:kern w:val="0"/>
                <w:sz w:val="15"/>
                <w:szCs w:val="15"/>
              </w:rPr>
              <w:t>（</w:t>
            </w:r>
            <w:r>
              <w:rPr>
                <w:rFonts w:ascii="宋体" w:eastAsia="宋体" w:hAnsi="宋体" w:cs="宋体"/>
                <w:kern w:val="0"/>
                <w:sz w:val="15"/>
                <w:szCs w:val="15"/>
              </w:rPr>
              <w:t>PR5</w:t>
            </w:r>
            <w:r>
              <w:rPr>
                <w:rFonts w:ascii="宋体" w:eastAsia="宋体" w:hAnsi="宋体" w:cs="宋体" w:hint="eastAsia"/>
                <w:kern w:val="0"/>
                <w:sz w:val="15"/>
                <w:szCs w:val="15"/>
              </w:rPr>
              <w:t>）</w:t>
            </w:r>
          </w:p>
        </w:tc>
      </w:tr>
      <w:tr w:rsidR="0078631E" w14:paraId="5C4CDEAC" w14:textId="77777777">
        <w:trPr>
          <w:trHeight w:val="270"/>
          <w:jc w:val="center"/>
        </w:trPr>
        <w:tc>
          <w:tcPr>
            <w:tcW w:w="1866" w:type="dxa"/>
            <w:tcBorders>
              <w:top w:val="nil"/>
              <w:left w:val="single" w:sz="4" w:space="0" w:color="auto"/>
              <w:bottom w:val="single" w:sz="4" w:space="0" w:color="auto"/>
              <w:right w:val="single" w:sz="4" w:space="0" w:color="auto"/>
            </w:tcBorders>
            <w:shd w:val="clear" w:color="auto" w:fill="auto"/>
            <w:vAlign w:val="center"/>
          </w:tcPr>
          <w:p w14:paraId="69711BBD" w14:textId="77777777" w:rsidR="0078631E" w:rsidRDefault="00000000">
            <w:pPr>
              <w:widowControl/>
              <w:snapToGrid w:val="0"/>
              <w:jc w:val="center"/>
              <w:rPr>
                <w:rFonts w:ascii="宋体" w:eastAsia="宋体" w:hAnsi="宋体" w:cs="宋体" w:hint="eastAsia"/>
                <w:kern w:val="0"/>
                <w:sz w:val="15"/>
                <w:szCs w:val="15"/>
              </w:rPr>
            </w:pPr>
            <w:permStart w:id="956119381" w:edGrp="everyone" w:colFirst="0" w:colLast="0"/>
            <w:permStart w:id="1189741259" w:edGrp="everyone" w:colFirst="1" w:colLast="1"/>
            <w:permStart w:id="280056217" w:edGrp="everyone" w:colFirst="2" w:colLast="2"/>
            <w:permStart w:id="1887240457" w:edGrp="everyone" w:colFirst="3" w:colLast="3"/>
            <w:permStart w:id="1775647189" w:edGrp="everyone" w:colFirst="4" w:colLast="4"/>
            <w:permStart w:id="1687360805" w:edGrp="everyone" w:colFirst="5" w:colLast="5"/>
            <w:r>
              <w:rPr>
                <w:rFonts w:ascii="宋体" w:eastAsia="宋体" w:hAnsi="宋体" w:cs="宋体" w:hint="eastAsia"/>
                <w:kern w:val="0"/>
                <w:sz w:val="15"/>
                <w:szCs w:val="15"/>
              </w:rPr>
              <w:t xml:space="preserve">   </w:t>
            </w:r>
          </w:p>
        </w:tc>
        <w:tc>
          <w:tcPr>
            <w:tcW w:w="741" w:type="dxa"/>
            <w:tcBorders>
              <w:top w:val="nil"/>
              <w:left w:val="nil"/>
              <w:bottom w:val="single" w:sz="4" w:space="0" w:color="auto"/>
              <w:right w:val="single" w:sz="4" w:space="0" w:color="auto"/>
            </w:tcBorders>
            <w:shd w:val="clear" w:color="auto" w:fill="auto"/>
          </w:tcPr>
          <w:p w14:paraId="334200F8"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shd w:val="clear" w:color="auto" w:fill="auto"/>
          </w:tcPr>
          <w:p w14:paraId="062C05BC"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shd w:val="clear" w:color="auto" w:fill="auto"/>
          </w:tcPr>
          <w:p w14:paraId="61E4B664"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shd w:val="clear" w:color="auto" w:fill="auto"/>
          </w:tcPr>
          <w:p w14:paraId="1E3603E8"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741" w:type="dxa"/>
            <w:tcBorders>
              <w:top w:val="nil"/>
              <w:left w:val="nil"/>
              <w:bottom w:val="single" w:sz="4" w:space="0" w:color="auto"/>
              <w:right w:val="single" w:sz="4" w:space="0" w:color="auto"/>
            </w:tcBorders>
            <w:shd w:val="clear" w:color="auto" w:fill="auto"/>
            <w:vAlign w:val="center"/>
          </w:tcPr>
          <w:p w14:paraId="19408C23"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r>
      <w:tr w:rsidR="0078631E" w14:paraId="12D6D183" w14:textId="77777777">
        <w:trPr>
          <w:trHeight w:val="270"/>
          <w:jc w:val="center"/>
        </w:trPr>
        <w:tc>
          <w:tcPr>
            <w:tcW w:w="1866" w:type="dxa"/>
            <w:tcBorders>
              <w:top w:val="nil"/>
              <w:left w:val="single" w:sz="4" w:space="0" w:color="auto"/>
              <w:bottom w:val="single" w:sz="4" w:space="0" w:color="auto"/>
              <w:right w:val="single" w:sz="4" w:space="0" w:color="auto"/>
            </w:tcBorders>
            <w:shd w:val="clear" w:color="auto" w:fill="auto"/>
            <w:vAlign w:val="center"/>
          </w:tcPr>
          <w:p w14:paraId="0C076306" w14:textId="77777777" w:rsidR="0078631E" w:rsidRDefault="00000000">
            <w:pPr>
              <w:widowControl/>
              <w:snapToGrid w:val="0"/>
              <w:jc w:val="center"/>
              <w:rPr>
                <w:rFonts w:ascii="宋体" w:eastAsia="宋体" w:hAnsi="宋体" w:cs="宋体" w:hint="eastAsia"/>
                <w:kern w:val="0"/>
                <w:sz w:val="15"/>
                <w:szCs w:val="15"/>
              </w:rPr>
            </w:pPr>
            <w:permStart w:id="461908227" w:edGrp="everyone" w:colFirst="0" w:colLast="0"/>
            <w:permStart w:id="1548837626" w:edGrp="everyone" w:colFirst="1" w:colLast="1"/>
            <w:permStart w:id="735993316" w:edGrp="everyone" w:colFirst="2" w:colLast="2"/>
            <w:permStart w:id="634525437" w:edGrp="everyone" w:colFirst="3" w:colLast="3"/>
            <w:permStart w:id="1354503387" w:edGrp="everyone" w:colFirst="4" w:colLast="4"/>
            <w:permStart w:id="442072836" w:edGrp="everyone" w:colFirst="5" w:colLast="5"/>
            <w:permEnd w:id="956119381"/>
            <w:permEnd w:id="1189741259"/>
            <w:permEnd w:id="280056217"/>
            <w:permEnd w:id="1887240457"/>
            <w:permEnd w:id="1775647189"/>
            <w:permEnd w:id="1687360805"/>
            <w:r>
              <w:rPr>
                <w:rFonts w:ascii="宋体" w:eastAsia="宋体" w:hAnsi="宋体" w:cs="宋体" w:hint="eastAsia"/>
                <w:kern w:val="0"/>
                <w:sz w:val="15"/>
                <w:szCs w:val="15"/>
              </w:rPr>
              <w:t xml:space="preserve">   </w:t>
            </w:r>
          </w:p>
        </w:tc>
        <w:tc>
          <w:tcPr>
            <w:tcW w:w="741" w:type="dxa"/>
            <w:tcBorders>
              <w:top w:val="nil"/>
              <w:left w:val="nil"/>
              <w:bottom w:val="single" w:sz="4" w:space="0" w:color="auto"/>
              <w:right w:val="single" w:sz="4" w:space="0" w:color="auto"/>
            </w:tcBorders>
            <w:shd w:val="clear" w:color="auto" w:fill="auto"/>
          </w:tcPr>
          <w:p w14:paraId="126E9E4C"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shd w:val="clear" w:color="auto" w:fill="auto"/>
          </w:tcPr>
          <w:p w14:paraId="38BB772B"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shd w:val="clear" w:color="auto" w:fill="auto"/>
          </w:tcPr>
          <w:p w14:paraId="0AD770E2"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shd w:val="clear" w:color="auto" w:fill="auto"/>
          </w:tcPr>
          <w:p w14:paraId="061253CA"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741" w:type="dxa"/>
            <w:tcBorders>
              <w:top w:val="nil"/>
              <w:left w:val="nil"/>
              <w:bottom w:val="single" w:sz="4" w:space="0" w:color="auto"/>
              <w:right w:val="single" w:sz="4" w:space="0" w:color="auto"/>
            </w:tcBorders>
            <w:shd w:val="clear" w:color="auto" w:fill="auto"/>
            <w:vAlign w:val="center"/>
          </w:tcPr>
          <w:p w14:paraId="08251D04"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r>
      <w:tr w:rsidR="0078631E" w14:paraId="79FA3155" w14:textId="77777777">
        <w:trPr>
          <w:trHeight w:val="270"/>
          <w:jc w:val="center"/>
        </w:trPr>
        <w:tc>
          <w:tcPr>
            <w:tcW w:w="1866" w:type="dxa"/>
            <w:tcBorders>
              <w:top w:val="nil"/>
              <w:left w:val="single" w:sz="4" w:space="0" w:color="auto"/>
              <w:bottom w:val="single" w:sz="4" w:space="0" w:color="auto"/>
              <w:right w:val="single" w:sz="4" w:space="0" w:color="auto"/>
            </w:tcBorders>
            <w:shd w:val="clear" w:color="auto" w:fill="auto"/>
            <w:vAlign w:val="center"/>
          </w:tcPr>
          <w:p w14:paraId="563044C3" w14:textId="77777777" w:rsidR="0078631E" w:rsidRDefault="00000000">
            <w:pPr>
              <w:widowControl/>
              <w:snapToGrid w:val="0"/>
              <w:jc w:val="center"/>
              <w:rPr>
                <w:rFonts w:ascii="宋体" w:eastAsia="宋体" w:hAnsi="宋体" w:cs="宋体" w:hint="eastAsia"/>
                <w:kern w:val="0"/>
                <w:sz w:val="15"/>
                <w:szCs w:val="15"/>
              </w:rPr>
            </w:pPr>
            <w:permStart w:id="1449487589" w:edGrp="everyone" w:colFirst="0" w:colLast="0"/>
            <w:permStart w:id="576926927" w:edGrp="everyone" w:colFirst="1" w:colLast="1"/>
            <w:permStart w:id="1722115464" w:edGrp="everyone" w:colFirst="2" w:colLast="2"/>
            <w:permStart w:id="1079054928" w:edGrp="everyone" w:colFirst="3" w:colLast="3"/>
            <w:permStart w:id="971969394" w:edGrp="everyone" w:colFirst="4" w:colLast="4"/>
            <w:permStart w:id="444480139" w:edGrp="everyone" w:colFirst="5" w:colLast="5"/>
            <w:permEnd w:id="461908227"/>
            <w:permEnd w:id="1548837626"/>
            <w:permEnd w:id="735993316"/>
            <w:permEnd w:id="634525437"/>
            <w:permEnd w:id="1354503387"/>
            <w:permEnd w:id="442072836"/>
            <w:r>
              <w:rPr>
                <w:rFonts w:ascii="宋体" w:eastAsia="宋体" w:hAnsi="宋体" w:cs="宋体" w:hint="eastAsia"/>
                <w:kern w:val="0"/>
                <w:sz w:val="15"/>
                <w:szCs w:val="15"/>
              </w:rPr>
              <w:t xml:space="preserve">   </w:t>
            </w:r>
          </w:p>
        </w:tc>
        <w:tc>
          <w:tcPr>
            <w:tcW w:w="741" w:type="dxa"/>
            <w:tcBorders>
              <w:top w:val="nil"/>
              <w:left w:val="nil"/>
              <w:bottom w:val="single" w:sz="4" w:space="0" w:color="auto"/>
              <w:right w:val="single" w:sz="4" w:space="0" w:color="auto"/>
            </w:tcBorders>
            <w:shd w:val="clear" w:color="auto" w:fill="auto"/>
          </w:tcPr>
          <w:p w14:paraId="14CAD332"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shd w:val="clear" w:color="auto" w:fill="auto"/>
          </w:tcPr>
          <w:p w14:paraId="4414DD49"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shd w:val="clear" w:color="auto" w:fill="auto"/>
          </w:tcPr>
          <w:p w14:paraId="6F7A153B"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shd w:val="clear" w:color="auto" w:fill="auto"/>
          </w:tcPr>
          <w:p w14:paraId="398D5EDC"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741" w:type="dxa"/>
            <w:tcBorders>
              <w:top w:val="nil"/>
              <w:left w:val="nil"/>
              <w:bottom w:val="single" w:sz="4" w:space="0" w:color="auto"/>
              <w:right w:val="single" w:sz="4" w:space="0" w:color="auto"/>
            </w:tcBorders>
            <w:shd w:val="clear" w:color="auto" w:fill="auto"/>
          </w:tcPr>
          <w:p w14:paraId="7F7D0372"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r>
      <w:tr w:rsidR="0078631E" w14:paraId="63A5E9BC" w14:textId="77777777">
        <w:trPr>
          <w:trHeight w:val="270"/>
          <w:jc w:val="center"/>
        </w:trPr>
        <w:tc>
          <w:tcPr>
            <w:tcW w:w="1866" w:type="dxa"/>
            <w:tcBorders>
              <w:top w:val="single" w:sz="4" w:space="0" w:color="auto"/>
              <w:left w:val="single" w:sz="4" w:space="0" w:color="auto"/>
              <w:bottom w:val="single" w:sz="4" w:space="0" w:color="auto"/>
              <w:right w:val="single" w:sz="4" w:space="0" w:color="auto"/>
            </w:tcBorders>
            <w:shd w:val="clear" w:color="auto" w:fill="auto"/>
            <w:vAlign w:val="center"/>
          </w:tcPr>
          <w:p w14:paraId="0E439313" w14:textId="77777777" w:rsidR="0078631E" w:rsidRDefault="00000000">
            <w:pPr>
              <w:widowControl/>
              <w:snapToGrid w:val="0"/>
              <w:jc w:val="center"/>
              <w:rPr>
                <w:rFonts w:ascii="宋体" w:eastAsia="宋体" w:hAnsi="宋体" w:cs="宋体" w:hint="eastAsia"/>
                <w:kern w:val="0"/>
                <w:sz w:val="15"/>
                <w:szCs w:val="15"/>
              </w:rPr>
            </w:pPr>
            <w:permStart w:id="745406734" w:edGrp="everyone" w:colFirst="0" w:colLast="0"/>
            <w:permStart w:id="1545085675" w:edGrp="everyone" w:colFirst="1" w:colLast="1"/>
            <w:permStart w:id="488460313" w:edGrp="everyone" w:colFirst="2" w:colLast="2"/>
            <w:permStart w:id="35465078" w:edGrp="everyone" w:colFirst="3" w:colLast="3"/>
            <w:permStart w:id="1762146039" w:edGrp="everyone" w:colFirst="4" w:colLast="4"/>
            <w:permStart w:id="2010257815" w:edGrp="everyone" w:colFirst="5" w:colLast="5"/>
            <w:permEnd w:id="1449487589"/>
            <w:permEnd w:id="576926927"/>
            <w:permEnd w:id="1722115464"/>
            <w:permEnd w:id="1079054928"/>
            <w:permEnd w:id="971969394"/>
            <w:permEnd w:id="444480139"/>
            <w:r>
              <w:rPr>
                <w:rFonts w:ascii="宋体" w:eastAsia="宋体" w:hAnsi="宋体" w:cs="宋体" w:hint="eastAsia"/>
                <w:kern w:val="0"/>
                <w:sz w:val="15"/>
                <w:szCs w:val="15"/>
              </w:rPr>
              <w:t xml:space="preserve">   </w:t>
            </w:r>
          </w:p>
        </w:tc>
        <w:tc>
          <w:tcPr>
            <w:tcW w:w="741" w:type="dxa"/>
            <w:tcBorders>
              <w:top w:val="single" w:sz="4" w:space="0" w:color="auto"/>
              <w:left w:val="single" w:sz="4" w:space="0" w:color="auto"/>
              <w:bottom w:val="single" w:sz="4" w:space="0" w:color="auto"/>
              <w:right w:val="single" w:sz="4" w:space="0" w:color="auto"/>
            </w:tcBorders>
            <w:shd w:val="clear" w:color="auto" w:fill="auto"/>
          </w:tcPr>
          <w:p w14:paraId="516E09DB"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057CFB1E"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26BA583C"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55D7C153"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741" w:type="dxa"/>
            <w:tcBorders>
              <w:top w:val="single" w:sz="4" w:space="0" w:color="auto"/>
              <w:left w:val="single" w:sz="4" w:space="0" w:color="auto"/>
              <w:bottom w:val="single" w:sz="4" w:space="0" w:color="auto"/>
              <w:right w:val="single" w:sz="4" w:space="0" w:color="auto"/>
            </w:tcBorders>
            <w:shd w:val="clear" w:color="auto" w:fill="auto"/>
          </w:tcPr>
          <w:p w14:paraId="51206A96"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r>
      <w:tr w:rsidR="0078631E" w14:paraId="6C0AF076" w14:textId="77777777">
        <w:trPr>
          <w:trHeight w:val="270"/>
          <w:jc w:val="center"/>
        </w:trPr>
        <w:tc>
          <w:tcPr>
            <w:tcW w:w="1866" w:type="dxa"/>
            <w:tcBorders>
              <w:top w:val="single" w:sz="4" w:space="0" w:color="auto"/>
              <w:left w:val="single" w:sz="4" w:space="0" w:color="auto"/>
              <w:bottom w:val="single" w:sz="4" w:space="0" w:color="auto"/>
              <w:right w:val="single" w:sz="4" w:space="0" w:color="auto"/>
            </w:tcBorders>
            <w:shd w:val="clear" w:color="auto" w:fill="auto"/>
            <w:vAlign w:val="center"/>
          </w:tcPr>
          <w:p w14:paraId="6F04CB0E" w14:textId="77777777" w:rsidR="0078631E" w:rsidRDefault="00000000">
            <w:pPr>
              <w:widowControl/>
              <w:snapToGrid w:val="0"/>
              <w:jc w:val="center"/>
              <w:rPr>
                <w:rFonts w:ascii="宋体" w:eastAsia="宋体" w:hAnsi="宋体" w:cs="宋体" w:hint="eastAsia"/>
                <w:kern w:val="0"/>
                <w:sz w:val="15"/>
                <w:szCs w:val="15"/>
              </w:rPr>
            </w:pPr>
            <w:permStart w:id="1186270560" w:edGrp="everyone" w:colFirst="0" w:colLast="0"/>
            <w:permStart w:id="73225371" w:edGrp="everyone" w:colFirst="1" w:colLast="1"/>
            <w:permStart w:id="827262766" w:edGrp="everyone" w:colFirst="2" w:colLast="2"/>
            <w:permStart w:id="265774633" w:edGrp="everyone" w:colFirst="3" w:colLast="3"/>
            <w:permStart w:id="574972224" w:edGrp="everyone" w:colFirst="4" w:colLast="4"/>
            <w:permStart w:id="530479566" w:edGrp="everyone" w:colFirst="5" w:colLast="5"/>
            <w:permEnd w:id="745406734"/>
            <w:permEnd w:id="1545085675"/>
            <w:permEnd w:id="488460313"/>
            <w:permEnd w:id="35465078"/>
            <w:permEnd w:id="1762146039"/>
            <w:permEnd w:id="2010257815"/>
            <w:r>
              <w:rPr>
                <w:rFonts w:ascii="宋体" w:eastAsia="宋体" w:hAnsi="宋体" w:cs="宋体" w:hint="eastAsia"/>
                <w:kern w:val="0"/>
                <w:sz w:val="15"/>
                <w:szCs w:val="15"/>
              </w:rPr>
              <w:t xml:space="preserve">   </w:t>
            </w:r>
          </w:p>
        </w:tc>
        <w:tc>
          <w:tcPr>
            <w:tcW w:w="741" w:type="dxa"/>
            <w:tcBorders>
              <w:top w:val="single" w:sz="4" w:space="0" w:color="auto"/>
              <w:left w:val="single" w:sz="4" w:space="0" w:color="auto"/>
              <w:bottom w:val="single" w:sz="4" w:space="0" w:color="auto"/>
              <w:right w:val="single" w:sz="4" w:space="0" w:color="auto"/>
            </w:tcBorders>
            <w:shd w:val="clear" w:color="auto" w:fill="auto"/>
          </w:tcPr>
          <w:p w14:paraId="25EEB84C"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5220F7C7"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55CE61A9"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69857E76"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c>
          <w:tcPr>
            <w:tcW w:w="741" w:type="dxa"/>
            <w:tcBorders>
              <w:top w:val="single" w:sz="4" w:space="0" w:color="auto"/>
              <w:left w:val="single" w:sz="4" w:space="0" w:color="auto"/>
              <w:bottom w:val="single" w:sz="4" w:space="0" w:color="auto"/>
              <w:right w:val="single" w:sz="4" w:space="0" w:color="auto"/>
            </w:tcBorders>
            <w:shd w:val="clear" w:color="auto" w:fill="auto"/>
          </w:tcPr>
          <w:p w14:paraId="41516E8D" w14:textId="77777777" w:rsidR="0078631E" w:rsidRDefault="00000000">
            <w:pPr>
              <w:widowControl/>
              <w:snapToGrid w:val="0"/>
              <w:jc w:val="center"/>
              <w:rPr>
                <w:rFonts w:ascii="宋体" w:eastAsia="宋体" w:hAnsi="宋体" w:cs="宋体" w:hint="eastAsia"/>
                <w:kern w:val="0"/>
                <w:sz w:val="15"/>
                <w:szCs w:val="15"/>
              </w:rPr>
            </w:pPr>
            <w:r>
              <w:rPr>
                <w:rFonts w:ascii="宋体" w:eastAsia="宋体" w:hAnsi="宋体" w:cs="宋体" w:hint="eastAsia"/>
                <w:kern w:val="0"/>
                <w:sz w:val="15"/>
                <w:szCs w:val="15"/>
              </w:rPr>
              <w:t xml:space="preserve">  </w:t>
            </w:r>
          </w:p>
        </w:tc>
      </w:tr>
    </w:tbl>
    <w:permEnd w:id="1186270560"/>
    <w:permEnd w:id="73225371"/>
    <w:permEnd w:id="827262766"/>
    <w:permEnd w:id="265774633"/>
    <w:permEnd w:id="574972224"/>
    <w:permEnd w:id="530479566"/>
    <w:p w14:paraId="7AB7C584" w14:textId="77777777" w:rsidR="0078631E" w:rsidRDefault="00000000">
      <w:pPr>
        <w:pStyle w:val="ac"/>
        <w:spacing w:before="0" w:after="0" w:line="240" w:lineRule="auto"/>
        <w:ind w:firstLineChars="200" w:firstLine="340"/>
        <w:jc w:val="center"/>
        <w:rPr>
          <w:b/>
          <w:color w:val="auto"/>
          <w:spacing w:val="10"/>
          <w:kern w:val="2"/>
          <w:sz w:val="15"/>
          <w:szCs w:val="15"/>
        </w:rPr>
      </w:pPr>
      <w:r>
        <w:rPr>
          <w:rFonts w:hint="eastAsia"/>
          <w:color w:val="auto"/>
          <w:spacing w:val="10"/>
          <w:kern w:val="2"/>
          <w:sz w:val="15"/>
          <w:szCs w:val="15"/>
        </w:rPr>
        <w:t>备注：√代表可以购买；×代表不能购买。</w:t>
      </w:r>
    </w:p>
    <w:p w14:paraId="77215375" w14:textId="77777777" w:rsidR="0078631E" w:rsidRDefault="00000000">
      <w:pPr>
        <w:pStyle w:val="ac"/>
        <w:spacing w:before="0" w:after="0" w:line="240" w:lineRule="auto"/>
        <w:ind w:firstLineChars="200" w:firstLine="341"/>
        <w:rPr>
          <w:b/>
          <w:color w:val="auto"/>
          <w:spacing w:val="10"/>
          <w:kern w:val="2"/>
          <w:sz w:val="15"/>
          <w:szCs w:val="15"/>
        </w:rPr>
      </w:pPr>
      <w:r>
        <w:rPr>
          <w:rFonts w:hint="eastAsia"/>
          <w:b/>
          <w:color w:val="auto"/>
          <w:spacing w:val="10"/>
          <w:kern w:val="2"/>
          <w:sz w:val="15"/>
          <w:szCs w:val="15"/>
        </w:rPr>
        <w:t>第五条</w:t>
      </w:r>
      <w:r>
        <w:rPr>
          <w:rFonts w:hint="eastAsia"/>
          <w:b/>
          <w:color w:val="auto"/>
          <w:spacing w:val="10"/>
          <w:kern w:val="2"/>
          <w:sz w:val="15"/>
          <w:szCs w:val="15"/>
        </w:rPr>
        <w:t xml:space="preserve"> </w:t>
      </w:r>
      <w:r>
        <w:rPr>
          <w:rFonts w:hint="eastAsia"/>
          <w:b/>
          <w:color w:val="auto"/>
          <w:spacing w:val="10"/>
          <w:kern w:val="2"/>
          <w:sz w:val="15"/>
          <w:szCs w:val="15"/>
        </w:rPr>
        <w:t>理财产品信息披露的方式、渠道和频率说明</w:t>
      </w:r>
    </w:p>
    <w:p w14:paraId="548BAF1B" w14:textId="77777777" w:rsidR="0078631E" w:rsidRDefault="00000000">
      <w:pPr>
        <w:pStyle w:val="ac"/>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南银理财按照对应期次《理财产品说明书》约定的方式、渠道和频率进行信息披露。投资者应密切关注与本理财产品有关的信息披露，以免造成不必要的损失。</w:t>
      </w:r>
    </w:p>
    <w:p w14:paraId="0DC9858A" w14:textId="77777777" w:rsidR="0078631E" w:rsidRDefault="00000000">
      <w:pPr>
        <w:pStyle w:val="ac"/>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投资者预留在南银理财或销售机构的有效联系方式变更的，应及时通知南银理财或销售机构。</w:t>
      </w:r>
      <w:r>
        <w:rPr>
          <w:rFonts w:hint="eastAsia"/>
          <w:b/>
          <w:color w:val="auto"/>
          <w:spacing w:val="10"/>
          <w:kern w:val="2"/>
          <w:sz w:val="15"/>
          <w:szCs w:val="15"/>
        </w:rPr>
        <w:t>如投资者未及时告知南银理财或销售机构联系方式变更，造成南银理财或销售机构在需要时无法联系投资者，并由此影响投资者的投资决策，因此而产生的责任和风险由投资者自行承担。</w:t>
      </w:r>
    </w:p>
    <w:p w14:paraId="0714B3BC" w14:textId="77777777" w:rsidR="0078631E" w:rsidRDefault="00000000">
      <w:pPr>
        <w:pStyle w:val="ac"/>
        <w:spacing w:before="0" w:after="0" w:line="240" w:lineRule="auto"/>
        <w:ind w:firstLineChars="200" w:firstLine="341"/>
        <w:rPr>
          <w:bCs/>
          <w:color w:val="auto"/>
          <w:spacing w:val="10"/>
          <w:kern w:val="2"/>
          <w:sz w:val="15"/>
          <w:szCs w:val="15"/>
        </w:rPr>
      </w:pPr>
      <w:r>
        <w:rPr>
          <w:rFonts w:hint="eastAsia"/>
          <w:b/>
          <w:color w:val="auto"/>
          <w:spacing w:val="10"/>
          <w:kern w:val="2"/>
          <w:sz w:val="15"/>
          <w:szCs w:val="15"/>
        </w:rPr>
        <w:t>第六条</w:t>
      </w:r>
      <w:r>
        <w:rPr>
          <w:rFonts w:hint="eastAsia"/>
          <w:b/>
          <w:color w:val="auto"/>
          <w:spacing w:val="10"/>
          <w:kern w:val="2"/>
          <w:sz w:val="15"/>
          <w:szCs w:val="15"/>
        </w:rPr>
        <w:t xml:space="preserve"> </w:t>
      </w:r>
      <w:r>
        <w:rPr>
          <w:rFonts w:hint="eastAsia"/>
          <w:b/>
          <w:color w:val="auto"/>
          <w:spacing w:val="10"/>
          <w:kern w:val="2"/>
          <w:sz w:val="15"/>
          <w:szCs w:val="15"/>
        </w:rPr>
        <w:t>投资者信息保护</w:t>
      </w:r>
    </w:p>
    <w:p w14:paraId="403FFA67" w14:textId="77777777" w:rsidR="0078631E" w:rsidRDefault="00000000">
      <w:pPr>
        <w:pStyle w:val="ac"/>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南银理财及销售机构承诺依法履行投资者信息保密义务，防范投资者信息被不当采集、使用、传输和泄露，保护投资者的信息安全，法律法规另有规定，或有权机关另有要求的情形除外。</w:t>
      </w:r>
    </w:p>
    <w:p w14:paraId="717629B7" w14:textId="77777777" w:rsidR="0078631E" w:rsidRDefault="00000000">
      <w:pPr>
        <w:pStyle w:val="ac"/>
        <w:spacing w:before="0" w:after="0" w:line="240" w:lineRule="auto"/>
        <w:ind w:firstLineChars="200" w:firstLine="341"/>
        <w:rPr>
          <w:b/>
          <w:color w:val="auto"/>
          <w:spacing w:val="10"/>
          <w:kern w:val="2"/>
          <w:sz w:val="15"/>
          <w:szCs w:val="15"/>
        </w:rPr>
      </w:pPr>
      <w:r>
        <w:rPr>
          <w:rFonts w:hint="eastAsia"/>
          <w:b/>
          <w:color w:val="auto"/>
          <w:spacing w:val="10"/>
          <w:kern w:val="2"/>
          <w:sz w:val="15"/>
          <w:szCs w:val="15"/>
        </w:rPr>
        <w:t>第七条</w:t>
      </w:r>
      <w:r>
        <w:rPr>
          <w:rFonts w:hint="eastAsia"/>
          <w:b/>
          <w:color w:val="auto"/>
          <w:spacing w:val="10"/>
          <w:kern w:val="2"/>
          <w:sz w:val="15"/>
          <w:szCs w:val="15"/>
        </w:rPr>
        <w:t xml:space="preserve"> </w:t>
      </w:r>
      <w:r>
        <w:rPr>
          <w:rFonts w:hint="eastAsia"/>
          <w:b/>
          <w:color w:val="auto"/>
          <w:spacing w:val="10"/>
          <w:kern w:val="2"/>
          <w:sz w:val="15"/>
          <w:szCs w:val="15"/>
        </w:rPr>
        <w:t>投资者投诉的方式和程序</w:t>
      </w:r>
    </w:p>
    <w:p w14:paraId="5D2B4BB0" w14:textId="77777777" w:rsidR="0078631E" w:rsidRDefault="00000000">
      <w:pPr>
        <w:pStyle w:val="ac"/>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投资者若需针对产品的设计、成立、运作、到期清算或提前终止等事项进行投诉，</w:t>
      </w:r>
      <w:r>
        <w:rPr>
          <w:rFonts w:hint="eastAsia"/>
          <w:b/>
          <w:color w:val="auto"/>
          <w:spacing w:val="10"/>
          <w:kern w:val="2"/>
          <w:sz w:val="15"/>
          <w:szCs w:val="15"/>
        </w:rPr>
        <w:t>可与管理人或销售机构联系，管理人或销售机构将及时接听、记录投资者的意见或建议并与投资者协商共同解决</w:t>
      </w:r>
      <w:r>
        <w:rPr>
          <w:rFonts w:hint="eastAsia"/>
          <w:bCs/>
          <w:color w:val="auto"/>
          <w:spacing w:val="10"/>
          <w:kern w:val="2"/>
          <w:sz w:val="15"/>
          <w:szCs w:val="15"/>
        </w:rPr>
        <w:t>。</w:t>
      </w:r>
    </w:p>
    <w:p w14:paraId="610382AA" w14:textId="77777777" w:rsidR="0078631E" w:rsidRDefault="00000000">
      <w:pPr>
        <w:pStyle w:val="ac"/>
        <w:spacing w:before="0" w:after="0" w:line="240" w:lineRule="auto"/>
        <w:ind w:firstLineChars="200" w:firstLine="341"/>
        <w:rPr>
          <w:b/>
          <w:color w:val="auto"/>
          <w:spacing w:val="10"/>
          <w:kern w:val="2"/>
          <w:sz w:val="15"/>
          <w:szCs w:val="15"/>
        </w:rPr>
      </w:pPr>
      <w:r>
        <w:rPr>
          <w:rFonts w:hint="eastAsia"/>
          <w:b/>
          <w:color w:val="auto"/>
          <w:spacing w:val="10"/>
          <w:kern w:val="2"/>
          <w:sz w:val="15"/>
          <w:szCs w:val="15"/>
        </w:rPr>
        <w:t>第八条</w:t>
      </w:r>
      <w:r>
        <w:rPr>
          <w:rFonts w:hint="eastAsia"/>
          <w:b/>
          <w:color w:val="auto"/>
          <w:spacing w:val="10"/>
          <w:kern w:val="2"/>
          <w:sz w:val="15"/>
          <w:szCs w:val="15"/>
        </w:rPr>
        <w:t xml:space="preserve"> </w:t>
      </w:r>
      <w:r>
        <w:rPr>
          <w:rFonts w:hint="eastAsia"/>
          <w:b/>
          <w:color w:val="auto"/>
          <w:spacing w:val="10"/>
          <w:kern w:val="2"/>
          <w:sz w:val="15"/>
          <w:szCs w:val="15"/>
        </w:rPr>
        <w:t>联系方式</w:t>
      </w:r>
    </w:p>
    <w:p w14:paraId="5EB8AAE4" w14:textId="77777777" w:rsidR="0078631E" w:rsidRDefault="00000000">
      <w:pPr>
        <w:pStyle w:val="ac"/>
        <w:spacing w:before="0" w:after="0" w:line="240" w:lineRule="auto"/>
        <w:ind w:firstLineChars="200" w:firstLine="341"/>
        <w:rPr>
          <w:b/>
          <w:color w:val="auto"/>
          <w:spacing w:val="10"/>
          <w:kern w:val="2"/>
          <w:sz w:val="15"/>
          <w:szCs w:val="15"/>
        </w:rPr>
      </w:pPr>
      <w:r>
        <w:rPr>
          <w:rFonts w:hint="eastAsia"/>
          <w:b/>
          <w:color w:val="auto"/>
          <w:spacing w:val="10"/>
          <w:kern w:val="2"/>
          <w:sz w:val="15"/>
          <w:szCs w:val="15"/>
        </w:rPr>
        <w:t>在购买本理财产品前，请投资者确保完全明白本理财产品的性质、其中涉及的风险以及投资者的自身情况。投资者若对理财产品销售文件的内容有任何疑问，请向南银理财或销售机构各营业场所或营业网点咨询。联系方式分别如下：</w:t>
      </w:r>
    </w:p>
    <w:p w14:paraId="6D80E5AF" w14:textId="77777777" w:rsidR="0078631E" w:rsidRDefault="00000000">
      <w:pPr>
        <w:pStyle w:val="ac"/>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（一）南银理财联系方式</w:t>
      </w:r>
    </w:p>
    <w:p w14:paraId="04F86A42" w14:textId="77777777" w:rsidR="0078631E" w:rsidRDefault="00000000">
      <w:pPr>
        <w:pStyle w:val="ac"/>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地址：南京市建邺区奥体大街</w:t>
      </w:r>
      <w:r>
        <w:rPr>
          <w:rFonts w:hint="eastAsia"/>
          <w:bCs/>
          <w:color w:val="auto"/>
          <w:spacing w:val="10"/>
          <w:kern w:val="2"/>
          <w:sz w:val="15"/>
          <w:szCs w:val="15"/>
        </w:rPr>
        <w:t>68</w:t>
      </w:r>
      <w:r>
        <w:rPr>
          <w:rFonts w:hint="eastAsia"/>
          <w:bCs/>
          <w:color w:val="auto"/>
          <w:spacing w:val="10"/>
          <w:kern w:val="2"/>
          <w:sz w:val="15"/>
          <w:szCs w:val="15"/>
        </w:rPr>
        <w:t>号国际研发总部园</w:t>
      </w:r>
      <w:r>
        <w:rPr>
          <w:rFonts w:hint="eastAsia"/>
          <w:bCs/>
          <w:color w:val="auto"/>
          <w:spacing w:val="10"/>
          <w:kern w:val="2"/>
          <w:sz w:val="15"/>
          <w:szCs w:val="15"/>
        </w:rPr>
        <w:t>2</w:t>
      </w:r>
      <w:r>
        <w:rPr>
          <w:rFonts w:hint="eastAsia"/>
          <w:bCs/>
          <w:color w:val="auto"/>
          <w:spacing w:val="10"/>
          <w:kern w:val="2"/>
          <w:sz w:val="15"/>
          <w:szCs w:val="15"/>
        </w:rPr>
        <w:t>栋</w:t>
      </w:r>
      <w:r>
        <w:rPr>
          <w:rFonts w:hint="eastAsia"/>
          <w:bCs/>
          <w:color w:val="auto"/>
          <w:spacing w:val="10"/>
          <w:kern w:val="2"/>
          <w:sz w:val="15"/>
          <w:szCs w:val="15"/>
        </w:rPr>
        <w:t>13</w:t>
      </w:r>
      <w:r>
        <w:rPr>
          <w:rFonts w:hint="eastAsia"/>
          <w:bCs/>
          <w:color w:val="auto"/>
          <w:spacing w:val="10"/>
          <w:kern w:val="2"/>
          <w:sz w:val="15"/>
          <w:szCs w:val="15"/>
        </w:rPr>
        <w:t>、</w:t>
      </w:r>
      <w:r>
        <w:rPr>
          <w:rFonts w:hint="eastAsia"/>
          <w:bCs/>
          <w:color w:val="auto"/>
          <w:spacing w:val="10"/>
          <w:kern w:val="2"/>
          <w:sz w:val="15"/>
          <w:szCs w:val="15"/>
        </w:rPr>
        <w:t>14</w:t>
      </w:r>
      <w:r>
        <w:rPr>
          <w:rFonts w:hint="eastAsia"/>
          <w:bCs/>
          <w:color w:val="auto"/>
          <w:spacing w:val="10"/>
          <w:kern w:val="2"/>
          <w:sz w:val="15"/>
          <w:szCs w:val="15"/>
        </w:rPr>
        <w:t>楼</w:t>
      </w:r>
    </w:p>
    <w:p w14:paraId="491106DF" w14:textId="77777777" w:rsidR="0078631E" w:rsidRDefault="00000000">
      <w:pPr>
        <w:pStyle w:val="ac"/>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电话：</w:t>
      </w:r>
      <w:r>
        <w:rPr>
          <w:rFonts w:hint="eastAsia"/>
          <w:bCs/>
          <w:color w:val="auto"/>
          <w:spacing w:val="10"/>
          <w:kern w:val="2"/>
          <w:sz w:val="15"/>
          <w:szCs w:val="15"/>
        </w:rPr>
        <w:t>025-83642065</w:t>
      </w:r>
    </w:p>
    <w:p w14:paraId="2D4168E3" w14:textId="77777777" w:rsidR="0078631E" w:rsidRDefault="00000000">
      <w:pPr>
        <w:pStyle w:val="ac"/>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（二）销售机构联系方式</w:t>
      </w:r>
    </w:p>
    <w:p w14:paraId="41619811" w14:textId="77777777" w:rsidR="0078631E" w:rsidRDefault="00000000">
      <w:pPr>
        <w:pStyle w:val="ac"/>
        <w:spacing w:before="0" w:after="0" w:line="240" w:lineRule="auto"/>
        <w:ind w:firstLineChars="200" w:firstLine="341"/>
        <w:rPr>
          <w:b/>
          <w:color w:val="auto"/>
          <w:spacing w:val="10"/>
          <w:kern w:val="2"/>
          <w:sz w:val="15"/>
          <w:szCs w:val="15"/>
        </w:rPr>
      </w:pPr>
      <w:permStart w:id="166336286" w:edGrp="everyone"/>
      <w:r>
        <w:rPr>
          <w:rFonts w:hint="eastAsia"/>
          <w:b/>
          <w:color w:val="auto"/>
          <w:spacing w:val="10"/>
          <w:kern w:val="2"/>
          <w:sz w:val="15"/>
          <w:szCs w:val="15"/>
        </w:rPr>
        <w:t xml:space="preserve">    </w:t>
      </w:r>
    </w:p>
    <w:permEnd w:id="166336286"/>
    <w:p w14:paraId="5813A894" w14:textId="77777777" w:rsidR="0078631E" w:rsidRDefault="0078631E">
      <w:pPr>
        <w:pStyle w:val="ac"/>
        <w:spacing w:before="0" w:after="0" w:line="240" w:lineRule="auto"/>
        <w:ind w:firstLine="0"/>
        <w:jc w:val="both"/>
        <w:rPr>
          <w:b/>
          <w:color w:val="auto"/>
          <w:spacing w:val="10"/>
          <w:kern w:val="2"/>
          <w:sz w:val="15"/>
          <w:szCs w:val="15"/>
          <w:u w:val="single"/>
        </w:rPr>
      </w:pPr>
    </w:p>
    <w:p w14:paraId="05371EE5" w14:textId="77777777" w:rsidR="0078631E" w:rsidRDefault="00000000">
      <w:pPr>
        <w:pStyle w:val="ac"/>
        <w:spacing w:before="0" w:after="0" w:line="240" w:lineRule="auto"/>
        <w:ind w:firstLine="0"/>
        <w:jc w:val="center"/>
        <w:rPr>
          <w:b/>
          <w:color w:val="auto"/>
          <w:spacing w:val="10"/>
          <w:kern w:val="2"/>
          <w:sz w:val="15"/>
          <w:szCs w:val="15"/>
          <w:u w:val="single"/>
        </w:rPr>
      </w:pPr>
      <w:r>
        <w:rPr>
          <w:rFonts w:hint="eastAsia"/>
          <w:b/>
          <w:color w:val="auto"/>
          <w:spacing w:val="10"/>
          <w:kern w:val="2"/>
          <w:sz w:val="15"/>
          <w:szCs w:val="15"/>
          <w:u w:val="single"/>
        </w:rPr>
        <w:t>仔细阅读提示</w:t>
      </w:r>
    </w:p>
    <w:p w14:paraId="04EA8125" w14:textId="28DC885F" w:rsidR="0028771F" w:rsidRDefault="00000000" w:rsidP="0028771F">
      <w:pPr>
        <w:ind w:firstLineChars="200" w:firstLine="341"/>
        <w:rPr>
          <w:b/>
          <w:spacing w:val="10"/>
          <w:sz w:val="15"/>
          <w:szCs w:val="15"/>
          <w:u w:val="single"/>
        </w:rPr>
      </w:pPr>
      <w:r>
        <w:rPr>
          <w:rFonts w:hint="eastAsia"/>
          <w:b/>
          <w:spacing w:val="10"/>
          <w:sz w:val="15"/>
          <w:szCs w:val="15"/>
          <w:u w:val="single"/>
        </w:rPr>
        <w:t>请投资者务必仔细阅读本理财产品销售文件，包括但不限于</w:t>
      </w:r>
      <w:bookmarkStart w:id="1" w:name="_Hlk49171075"/>
      <w:r>
        <w:rPr>
          <w:rFonts w:hint="eastAsia"/>
          <w:b/>
          <w:spacing w:val="10"/>
          <w:sz w:val="15"/>
          <w:szCs w:val="15"/>
          <w:u w:val="single"/>
        </w:rPr>
        <w:t>本理财产品对应的</w:t>
      </w:r>
      <w:bookmarkEnd w:id="1"/>
      <w:r>
        <w:rPr>
          <w:rFonts w:hint="eastAsia"/>
          <w:b/>
          <w:spacing w:val="10"/>
          <w:sz w:val="15"/>
          <w:szCs w:val="15"/>
          <w:u w:val="single"/>
        </w:rPr>
        <w:t>《理财产品销售协议书》《理财产品说明书》《理财产品风险揭示书》《投资者权益须知》《理财产品投资协议书》等，了解理财产品具体情况，关注投资风险，自主决定是否投资。</w:t>
      </w:r>
      <w:bookmarkEnd w:id="0"/>
    </w:p>
    <w:sectPr w:rsidR="0028771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DFE06" w14:textId="77777777" w:rsidR="00850D9B" w:rsidRDefault="00850D9B">
      <w:r>
        <w:separator/>
      </w:r>
    </w:p>
  </w:endnote>
  <w:endnote w:type="continuationSeparator" w:id="0">
    <w:p w14:paraId="60D46EAD" w14:textId="77777777" w:rsidR="00850D9B" w:rsidRDefault="00850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icrosoftYaHei_PDF_Subset">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175440"/>
    </w:sdtPr>
    <w:sdtContent>
      <w:sdt>
        <w:sdtPr>
          <w:id w:val="171357217"/>
        </w:sdtPr>
        <w:sdtContent>
          <w:p w14:paraId="01F4B27B" w14:textId="77777777" w:rsidR="0078631E" w:rsidRDefault="00000000">
            <w:pPr>
              <w:pStyle w:val="a9"/>
              <w:jc w:val="center"/>
            </w:pPr>
            <w:r>
              <w:rPr>
                <w:b/>
                <w:sz w:val="24"/>
                <w:szCs w:val="24"/>
              </w:rPr>
              <w:fldChar w:fldCharType="begin"/>
            </w:r>
            <w:r>
              <w:rPr>
                <w:b/>
              </w:rPr>
              <w:instrText>PAGE</w:instrText>
            </w:r>
            <w:r>
              <w:rPr>
                <w:b/>
                <w:sz w:val="24"/>
                <w:szCs w:val="24"/>
              </w:rPr>
              <w:fldChar w:fldCharType="separate"/>
            </w:r>
            <w:r>
              <w:rPr>
                <w:b/>
              </w:rPr>
              <w:t>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3</w:t>
            </w:r>
            <w:r>
              <w:rPr>
                <w:b/>
                <w:sz w:val="24"/>
                <w:szCs w:val="24"/>
              </w:rPr>
              <w:fldChar w:fldCharType="end"/>
            </w:r>
          </w:p>
        </w:sdtContent>
      </w:sdt>
    </w:sdtContent>
  </w:sdt>
  <w:p w14:paraId="236FC45E" w14:textId="77777777" w:rsidR="0078631E" w:rsidRDefault="0078631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9AB508" w14:textId="77777777" w:rsidR="00850D9B" w:rsidRDefault="00850D9B">
      <w:r>
        <w:separator/>
      </w:r>
    </w:p>
  </w:footnote>
  <w:footnote w:type="continuationSeparator" w:id="0">
    <w:p w14:paraId="376500C4" w14:textId="77777777" w:rsidR="00850D9B" w:rsidRDefault="00850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A814D3"/>
    <w:multiLevelType w:val="multilevel"/>
    <w:tmpl w:val="2EA814D3"/>
    <w:lvl w:ilvl="0">
      <w:start w:val="1"/>
      <w:numFmt w:val="lowerRoman"/>
      <w:lvlText w:val="%1."/>
      <w:lvlJc w:val="left"/>
      <w:pPr>
        <w:ind w:left="760" w:hanging="420"/>
      </w:pPr>
      <w:rPr>
        <w:rFonts w:hint="eastAsia"/>
      </w:rPr>
    </w:lvl>
    <w:lvl w:ilvl="1">
      <w:start w:val="1"/>
      <w:numFmt w:val="lowerLetter"/>
      <w:lvlText w:val="%2)"/>
      <w:lvlJc w:val="left"/>
      <w:pPr>
        <w:ind w:left="1180" w:hanging="420"/>
      </w:pPr>
    </w:lvl>
    <w:lvl w:ilvl="2">
      <w:start w:val="1"/>
      <w:numFmt w:val="lowerRoman"/>
      <w:lvlText w:val="%3."/>
      <w:lvlJc w:val="right"/>
      <w:pPr>
        <w:ind w:left="1600" w:hanging="420"/>
      </w:pPr>
    </w:lvl>
    <w:lvl w:ilvl="3">
      <w:start w:val="1"/>
      <w:numFmt w:val="decimal"/>
      <w:lvlText w:val="%4."/>
      <w:lvlJc w:val="left"/>
      <w:pPr>
        <w:ind w:left="2020" w:hanging="420"/>
      </w:pPr>
    </w:lvl>
    <w:lvl w:ilvl="4">
      <w:start w:val="1"/>
      <w:numFmt w:val="lowerLetter"/>
      <w:lvlText w:val="%5)"/>
      <w:lvlJc w:val="left"/>
      <w:pPr>
        <w:ind w:left="2440" w:hanging="420"/>
      </w:pPr>
    </w:lvl>
    <w:lvl w:ilvl="5">
      <w:start w:val="1"/>
      <w:numFmt w:val="lowerRoman"/>
      <w:lvlText w:val="%6."/>
      <w:lvlJc w:val="right"/>
      <w:pPr>
        <w:ind w:left="2860" w:hanging="420"/>
      </w:pPr>
    </w:lvl>
    <w:lvl w:ilvl="6">
      <w:start w:val="1"/>
      <w:numFmt w:val="decimal"/>
      <w:lvlText w:val="%7."/>
      <w:lvlJc w:val="left"/>
      <w:pPr>
        <w:ind w:left="3280" w:hanging="420"/>
      </w:pPr>
    </w:lvl>
    <w:lvl w:ilvl="7">
      <w:start w:val="1"/>
      <w:numFmt w:val="lowerLetter"/>
      <w:lvlText w:val="%8)"/>
      <w:lvlJc w:val="left"/>
      <w:pPr>
        <w:ind w:left="3700" w:hanging="420"/>
      </w:pPr>
    </w:lvl>
    <w:lvl w:ilvl="8">
      <w:start w:val="1"/>
      <w:numFmt w:val="lowerRoman"/>
      <w:lvlText w:val="%9."/>
      <w:lvlJc w:val="right"/>
      <w:pPr>
        <w:ind w:left="4120" w:hanging="420"/>
      </w:pPr>
    </w:lvl>
  </w:abstractNum>
  <w:abstractNum w:abstractNumId="1" w15:restartNumberingAfterBreak="0">
    <w:nsid w:val="38167239"/>
    <w:multiLevelType w:val="multilevel"/>
    <w:tmpl w:val="38167239"/>
    <w:lvl w:ilvl="0">
      <w:start w:val="1"/>
      <w:numFmt w:val="lowerRoman"/>
      <w:lvlText w:val="%1."/>
      <w:lvlJc w:val="left"/>
      <w:pPr>
        <w:ind w:left="760" w:hanging="420"/>
      </w:pPr>
      <w:rPr>
        <w:rFonts w:ascii="Times New Roman" w:hAnsi="Times New Roman" w:cs="Times New Roman" w:hint="default"/>
      </w:rPr>
    </w:lvl>
    <w:lvl w:ilvl="1">
      <w:start w:val="1"/>
      <w:numFmt w:val="lowerLetter"/>
      <w:lvlText w:val="%2)"/>
      <w:lvlJc w:val="left"/>
      <w:pPr>
        <w:ind w:left="1180" w:hanging="420"/>
      </w:pPr>
    </w:lvl>
    <w:lvl w:ilvl="2">
      <w:start w:val="1"/>
      <w:numFmt w:val="lowerRoman"/>
      <w:lvlText w:val="%3."/>
      <w:lvlJc w:val="right"/>
      <w:pPr>
        <w:ind w:left="1600" w:hanging="420"/>
      </w:pPr>
    </w:lvl>
    <w:lvl w:ilvl="3">
      <w:start w:val="1"/>
      <w:numFmt w:val="decimal"/>
      <w:lvlText w:val="%4."/>
      <w:lvlJc w:val="left"/>
      <w:pPr>
        <w:ind w:left="2020" w:hanging="420"/>
      </w:pPr>
    </w:lvl>
    <w:lvl w:ilvl="4">
      <w:start w:val="1"/>
      <w:numFmt w:val="lowerLetter"/>
      <w:lvlText w:val="%5)"/>
      <w:lvlJc w:val="left"/>
      <w:pPr>
        <w:ind w:left="2440" w:hanging="420"/>
      </w:pPr>
    </w:lvl>
    <w:lvl w:ilvl="5">
      <w:start w:val="1"/>
      <w:numFmt w:val="lowerRoman"/>
      <w:lvlText w:val="%6."/>
      <w:lvlJc w:val="right"/>
      <w:pPr>
        <w:ind w:left="2860" w:hanging="420"/>
      </w:pPr>
    </w:lvl>
    <w:lvl w:ilvl="6">
      <w:start w:val="1"/>
      <w:numFmt w:val="decimal"/>
      <w:lvlText w:val="%7."/>
      <w:lvlJc w:val="left"/>
      <w:pPr>
        <w:ind w:left="3280" w:hanging="420"/>
      </w:pPr>
    </w:lvl>
    <w:lvl w:ilvl="7">
      <w:start w:val="1"/>
      <w:numFmt w:val="lowerLetter"/>
      <w:lvlText w:val="%8)"/>
      <w:lvlJc w:val="left"/>
      <w:pPr>
        <w:ind w:left="3700" w:hanging="420"/>
      </w:pPr>
    </w:lvl>
    <w:lvl w:ilvl="8">
      <w:start w:val="1"/>
      <w:numFmt w:val="lowerRoman"/>
      <w:lvlText w:val="%9."/>
      <w:lvlJc w:val="right"/>
      <w:pPr>
        <w:ind w:left="4120" w:hanging="420"/>
      </w:pPr>
    </w:lvl>
  </w:abstractNum>
  <w:abstractNum w:abstractNumId="2" w15:restartNumberingAfterBreak="0">
    <w:nsid w:val="3CFA0BAF"/>
    <w:multiLevelType w:val="multilevel"/>
    <w:tmpl w:val="3CFA0BAF"/>
    <w:lvl w:ilvl="0">
      <w:start w:val="1"/>
      <w:numFmt w:val="lowerRoman"/>
      <w:lvlText w:val="%1."/>
      <w:lvlJc w:val="left"/>
      <w:pPr>
        <w:ind w:left="760" w:hanging="420"/>
      </w:pPr>
      <w:rPr>
        <w:rFonts w:hint="eastAsia"/>
      </w:rPr>
    </w:lvl>
    <w:lvl w:ilvl="1">
      <w:start w:val="1"/>
      <w:numFmt w:val="lowerLetter"/>
      <w:lvlText w:val="%2)"/>
      <w:lvlJc w:val="left"/>
      <w:pPr>
        <w:ind w:left="1180" w:hanging="420"/>
      </w:pPr>
    </w:lvl>
    <w:lvl w:ilvl="2">
      <w:start w:val="1"/>
      <w:numFmt w:val="lowerRoman"/>
      <w:lvlText w:val="%3."/>
      <w:lvlJc w:val="right"/>
      <w:pPr>
        <w:ind w:left="1600" w:hanging="420"/>
      </w:pPr>
    </w:lvl>
    <w:lvl w:ilvl="3">
      <w:start w:val="1"/>
      <w:numFmt w:val="decimal"/>
      <w:lvlText w:val="%4."/>
      <w:lvlJc w:val="left"/>
      <w:pPr>
        <w:ind w:left="2020" w:hanging="420"/>
      </w:pPr>
    </w:lvl>
    <w:lvl w:ilvl="4">
      <w:start w:val="1"/>
      <w:numFmt w:val="lowerLetter"/>
      <w:lvlText w:val="%5)"/>
      <w:lvlJc w:val="left"/>
      <w:pPr>
        <w:ind w:left="2440" w:hanging="420"/>
      </w:pPr>
    </w:lvl>
    <w:lvl w:ilvl="5">
      <w:start w:val="1"/>
      <w:numFmt w:val="lowerRoman"/>
      <w:lvlText w:val="%6."/>
      <w:lvlJc w:val="right"/>
      <w:pPr>
        <w:ind w:left="2860" w:hanging="420"/>
      </w:pPr>
    </w:lvl>
    <w:lvl w:ilvl="6">
      <w:start w:val="1"/>
      <w:numFmt w:val="decimal"/>
      <w:lvlText w:val="%7."/>
      <w:lvlJc w:val="left"/>
      <w:pPr>
        <w:ind w:left="3280" w:hanging="420"/>
      </w:pPr>
    </w:lvl>
    <w:lvl w:ilvl="7">
      <w:start w:val="1"/>
      <w:numFmt w:val="lowerLetter"/>
      <w:lvlText w:val="%8)"/>
      <w:lvlJc w:val="left"/>
      <w:pPr>
        <w:ind w:left="3700" w:hanging="420"/>
      </w:pPr>
    </w:lvl>
    <w:lvl w:ilvl="8">
      <w:start w:val="1"/>
      <w:numFmt w:val="lowerRoman"/>
      <w:lvlText w:val="%9."/>
      <w:lvlJc w:val="right"/>
      <w:pPr>
        <w:ind w:left="4120" w:hanging="420"/>
      </w:pPr>
    </w:lvl>
  </w:abstractNum>
  <w:abstractNum w:abstractNumId="3" w15:restartNumberingAfterBreak="0">
    <w:nsid w:val="510A3506"/>
    <w:multiLevelType w:val="singleLevel"/>
    <w:tmpl w:val="510A3506"/>
    <w:lvl w:ilvl="0">
      <w:start w:val="1"/>
      <w:numFmt w:val="decimal"/>
      <w:suff w:val="nothing"/>
      <w:lvlText w:val="（%1）"/>
      <w:lvlJc w:val="left"/>
    </w:lvl>
  </w:abstractNum>
  <w:abstractNum w:abstractNumId="4" w15:restartNumberingAfterBreak="0">
    <w:nsid w:val="54B02AA4"/>
    <w:multiLevelType w:val="multilevel"/>
    <w:tmpl w:val="54B02AA4"/>
    <w:lvl w:ilvl="0">
      <w:start w:val="1"/>
      <w:numFmt w:val="lowerRoman"/>
      <w:lvlText w:val="%1."/>
      <w:lvlJc w:val="left"/>
      <w:pPr>
        <w:ind w:left="760" w:hanging="420"/>
      </w:pPr>
      <w:rPr>
        <w:rFonts w:hint="eastAsia"/>
      </w:rPr>
    </w:lvl>
    <w:lvl w:ilvl="1">
      <w:start w:val="1"/>
      <w:numFmt w:val="lowerLetter"/>
      <w:lvlText w:val="%2)"/>
      <w:lvlJc w:val="left"/>
      <w:pPr>
        <w:ind w:left="1180" w:hanging="420"/>
      </w:pPr>
    </w:lvl>
    <w:lvl w:ilvl="2">
      <w:start w:val="1"/>
      <w:numFmt w:val="lowerRoman"/>
      <w:lvlText w:val="%3."/>
      <w:lvlJc w:val="right"/>
      <w:pPr>
        <w:ind w:left="1600" w:hanging="420"/>
      </w:pPr>
    </w:lvl>
    <w:lvl w:ilvl="3">
      <w:start w:val="1"/>
      <w:numFmt w:val="decimal"/>
      <w:lvlText w:val="%4."/>
      <w:lvlJc w:val="left"/>
      <w:pPr>
        <w:ind w:left="2020" w:hanging="420"/>
      </w:pPr>
    </w:lvl>
    <w:lvl w:ilvl="4">
      <w:start w:val="1"/>
      <w:numFmt w:val="lowerLetter"/>
      <w:lvlText w:val="%5)"/>
      <w:lvlJc w:val="left"/>
      <w:pPr>
        <w:ind w:left="2440" w:hanging="420"/>
      </w:pPr>
    </w:lvl>
    <w:lvl w:ilvl="5">
      <w:start w:val="1"/>
      <w:numFmt w:val="lowerRoman"/>
      <w:lvlText w:val="%6."/>
      <w:lvlJc w:val="right"/>
      <w:pPr>
        <w:ind w:left="2860" w:hanging="420"/>
      </w:pPr>
    </w:lvl>
    <w:lvl w:ilvl="6">
      <w:start w:val="1"/>
      <w:numFmt w:val="decimal"/>
      <w:lvlText w:val="%7."/>
      <w:lvlJc w:val="left"/>
      <w:pPr>
        <w:ind w:left="3280" w:hanging="420"/>
      </w:pPr>
    </w:lvl>
    <w:lvl w:ilvl="7">
      <w:start w:val="1"/>
      <w:numFmt w:val="lowerLetter"/>
      <w:lvlText w:val="%8)"/>
      <w:lvlJc w:val="left"/>
      <w:pPr>
        <w:ind w:left="3700" w:hanging="420"/>
      </w:pPr>
    </w:lvl>
    <w:lvl w:ilvl="8">
      <w:start w:val="1"/>
      <w:numFmt w:val="lowerRoman"/>
      <w:lvlText w:val="%9."/>
      <w:lvlJc w:val="right"/>
      <w:pPr>
        <w:ind w:left="4120" w:hanging="420"/>
      </w:pPr>
    </w:lvl>
  </w:abstractNum>
  <w:abstractNum w:abstractNumId="5" w15:restartNumberingAfterBreak="0">
    <w:nsid w:val="5DF84C9C"/>
    <w:multiLevelType w:val="singleLevel"/>
    <w:tmpl w:val="5DF84C9C"/>
    <w:lvl w:ilvl="0">
      <w:start w:val="1"/>
      <w:numFmt w:val="decimal"/>
      <w:suff w:val="nothing"/>
      <w:lvlText w:val="%1."/>
      <w:lvlJc w:val="left"/>
    </w:lvl>
  </w:abstractNum>
  <w:abstractNum w:abstractNumId="6" w15:restartNumberingAfterBreak="0">
    <w:nsid w:val="5DF84CBD"/>
    <w:multiLevelType w:val="singleLevel"/>
    <w:tmpl w:val="5DF84CBD"/>
    <w:lvl w:ilvl="0">
      <w:start w:val="1"/>
      <w:numFmt w:val="decimal"/>
      <w:suff w:val="nothing"/>
      <w:lvlText w:val="（%1）"/>
      <w:lvlJc w:val="left"/>
    </w:lvl>
  </w:abstractNum>
  <w:abstractNum w:abstractNumId="7" w15:restartNumberingAfterBreak="0">
    <w:nsid w:val="5DF84D07"/>
    <w:multiLevelType w:val="singleLevel"/>
    <w:tmpl w:val="5DF84D07"/>
    <w:lvl w:ilvl="0">
      <w:start w:val="1"/>
      <w:numFmt w:val="decimal"/>
      <w:suff w:val="nothing"/>
      <w:lvlText w:val="（%1）"/>
      <w:lvlJc w:val="left"/>
    </w:lvl>
  </w:abstractNum>
  <w:abstractNum w:abstractNumId="8" w15:restartNumberingAfterBreak="0">
    <w:nsid w:val="6D2A3EBA"/>
    <w:multiLevelType w:val="singleLevel"/>
    <w:tmpl w:val="6D2A3EBA"/>
    <w:lvl w:ilvl="0">
      <w:start w:val="1"/>
      <w:numFmt w:val="decimal"/>
      <w:suff w:val="nothing"/>
      <w:lvlText w:val="（%1）"/>
      <w:lvlJc w:val="left"/>
    </w:lvl>
  </w:abstractNum>
  <w:abstractNum w:abstractNumId="9" w15:restartNumberingAfterBreak="0">
    <w:nsid w:val="7A29506B"/>
    <w:multiLevelType w:val="singleLevel"/>
    <w:tmpl w:val="7A29506B"/>
    <w:lvl w:ilvl="0">
      <w:start w:val="1"/>
      <w:numFmt w:val="decimal"/>
      <w:suff w:val="nothing"/>
      <w:lvlText w:val="（%1）"/>
      <w:lvlJc w:val="left"/>
    </w:lvl>
  </w:abstractNum>
  <w:num w:numId="1" w16cid:durableId="463041764">
    <w:abstractNumId w:val="5"/>
  </w:num>
  <w:num w:numId="2" w16cid:durableId="710569267">
    <w:abstractNumId w:val="6"/>
  </w:num>
  <w:num w:numId="3" w16cid:durableId="181943766">
    <w:abstractNumId w:val="7"/>
  </w:num>
  <w:num w:numId="4" w16cid:durableId="1816947173">
    <w:abstractNumId w:val="3"/>
  </w:num>
  <w:num w:numId="5" w16cid:durableId="1031688558">
    <w:abstractNumId w:val="4"/>
  </w:num>
  <w:num w:numId="6" w16cid:durableId="920607307">
    <w:abstractNumId w:val="2"/>
  </w:num>
  <w:num w:numId="7" w16cid:durableId="953943015">
    <w:abstractNumId w:val="9"/>
  </w:num>
  <w:num w:numId="8" w16cid:durableId="1905992321">
    <w:abstractNumId w:val="1"/>
  </w:num>
  <w:num w:numId="9" w16cid:durableId="2000189684">
    <w:abstractNumId w:val="0"/>
  </w:num>
  <w:num w:numId="10" w16cid:durableId="19107741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ocumentProtection w:edit="readOnly" w:formatting="1" w:enforcement="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7E61C68"/>
    <w:rsid w:val="0000059B"/>
    <w:rsid w:val="000C6A37"/>
    <w:rsid w:val="00116935"/>
    <w:rsid w:val="00120C83"/>
    <w:rsid w:val="00121955"/>
    <w:rsid w:val="001343C0"/>
    <w:rsid w:val="0013704C"/>
    <w:rsid w:val="001779CA"/>
    <w:rsid w:val="00184C89"/>
    <w:rsid w:val="00195438"/>
    <w:rsid w:val="001C625F"/>
    <w:rsid w:val="001C77BD"/>
    <w:rsid w:val="001F7DA3"/>
    <w:rsid w:val="00207E0B"/>
    <w:rsid w:val="0021370A"/>
    <w:rsid w:val="00217F64"/>
    <w:rsid w:val="00225EA3"/>
    <w:rsid w:val="0022652F"/>
    <w:rsid w:val="00274751"/>
    <w:rsid w:val="0027481F"/>
    <w:rsid w:val="0028771F"/>
    <w:rsid w:val="002E4DD7"/>
    <w:rsid w:val="003328F2"/>
    <w:rsid w:val="003340C3"/>
    <w:rsid w:val="003340D2"/>
    <w:rsid w:val="00374116"/>
    <w:rsid w:val="003C64F1"/>
    <w:rsid w:val="003F15E9"/>
    <w:rsid w:val="00481DFF"/>
    <w:rsid w:val="004F7B43"/>
    <w:rsid w:val="00534EE3"/>
    <w:rsid w:val="005A5BCB"/>
    <w:rsid w:val="005C36B3"/>
    <w:rsid w:val="005F24FC"/>
    <w:rsid w:val="005F648A"/>
    <w:rsid w:val="00625411"/>
    <w:rsid w:val="00662370"/>
    <w:rsid w:val="0072759D"/>
    <w:rsid w:val="00752772"/>
    <w:rsid w:val="0078631E"/>
    <w:rsid w:val="007B3598"/>
    <w:rsid w:val="00847377"/>
    <w:rsid w:val="00850D9B"/>
    <w:rsid w:val="008851ED"/>
    <w:rsid w:val="008D0E03"/>
    <w:rsid w:val="008F1BA0"/>
    <w:rsid w:val="00972522"/>
    <w:rsid w:val="00A20A5C"/>
    <w:rsid w:val="00A22931"/>
    <w:rsid w:val="00AB0854"/>
    <w:rsid w:val="00AC7950"/>
    <w:rsid w:val="00B05494"/>
    <w:rsid w:val="00B6687B"/>
    <w:rsid w:val="00BE3B28"/>
    <w:rsid w:val="00C32099"/>
    <w:rsid w:val="00C80316"/>
    <w:rsid w:val="00CC352D"/>
    <w:rsid w:val="00CC5FE0"/>
    <w:rsid w:val="00CD42BD"/>
    <w:rsid w:val="00CD7EED"/>
    <w:rsid w:val="00CE3656"/>
    <w:rsid w:val="00D14145"/>
    <w:rsid w:val="00D317F9"/>
    <w:rsid w:val="00D945C9"/>
    <w:rsid w:val="00DB0459"/>
    <w:rsid w:val="00DD2D33"/>
    <w:rsid w:val="00E13EA6"/>
    <w:rsid w:val="00E86095"/>
    <w:rsid w:val="00ED5FE7"/>
    <w:rsid w:val="00FA21ED"/>
    <w:rsid w:val="01405FDF"/>
    <w:rsid w:val="027B40AE"/>
    <w:rsid w:val="02B65B07"/>
    <w:rsid w:val="046D4267"/>
    <w:rsid w:val="06AE133D"/>
    <w:rsid w:val="06F34197"/>
    <w:rsid w:val="08061C66"/>
    <w:rsid w:val="08140D45"/>
    <w:rsid w:val="0864466C"/>
    <w:rsid w:val="0EC00587"/>
    <w:rsid w:val="0EC55924"/>
    <w:rsid w:val="0F96546B"/>
    <w:rsid w:val="0FF76EBA"/>
    <w:rsid w:val="10D06975"/>
    <w:rsid w:val="11E8128F"/>
    <w:rsid w:val="123025DC"/>
    <w:rsid w:val="12687D66"/>
    <w:rsid w:val="14514474"/>
    <w:rsid w:val="148647C6"/>
    <w:rsid w:val="15784844"/>
    <w:rsid w:val="16BF3BC3"/>
    <w:rsid w:val="19C55722"/>
    <w:rsid w:val="1C131035"/>
    <w:rsid w:val="1DC80BDC"/>
    <w:rsid w:val="1FDB0A20"/>
    <w:rsid w:val="25BB6929"/>
    <w:rsid w:val="26B26D0A"/>
    <w:rsid w:val="2AA31B52"/>
    <w:rsid w:val="2AFD34E5"/>
    <w:rsid w:val="2C2172C0"/>
    <w:rsid w:val="2DF3660E"/>
    <w:rsid w:val="2EF11C4B"/>
    <w:rsid w:val="2F956B22"/>
    <w:rsid w:val="2FE16F1A"/>
    <w:rsid w:val="314B2783"/>
    <w:rsid w:val="31C410E7"/>
    <w:rsid w:val="31DD6BC9"/>
    <w:rsid w:val="31E83EF4"/>
    <w:rsid w:val="31F90445"/>
    <w:rsid w:val="33E364AB"/>
    <w:rsid w:val="346E3FC5"/>
    <w:rsid w:val="35A83853"/>
    <w:rsid w:val="378303B8"/>
    <w:rsid w:val="385E4A1A"/>
    <w:rsid w:val="3885629F"/>
    <w:rsid w:val="3A1E2ACD"/>
    <w:rsid w:val="3A8F0FAF"/>
    <w:rsid w:val="3B2328BC"/>
    <w:rsid w:val="3C1874FD"/>
    <w:rsid w:val="3CFF3038"/>
    <w:rsid w:val="3D100E2E"/>
    <w:rsid w:val="3D931A30"/>
    <w:rsid w:val="3DB51A4E"/>
    <w:rsid w:val="406909EC"/>
    <w:rsid w:val="419F7B7F"/>
    <w:rsid w:val="41C92A3C"/>
    <w:rsid w:val="4272382F"/>
    <w:rsid w:val="450E074A"/>
    <w:rsid w:val="45E0649A"/>
    <w:rsid w:val="46010CB1"/>
    <w:rsid w:val="4717037F"/>
    <w:rsid w:val="479157DA"/>
    <w:rsid w:val="480146A3"/>
    <w:rsid w:val="49524613"/>
    <w:rsid w:val="49F21972"/>
    <w:rsid w:val="4AA878D5"/>
    <w:rsid w:val="4C7B1C92"/>
    <w:rsid w:val="4EE24EF6"/>
    <w:rsid w:val="4F63615A"/>
    <w:rsid w:val="503241B0"/>
    <w:rsid w:val="52825A71"/>
    <w:rsid w:val="550660E0"/>
    <w:rsid w:val="55437C71"/>
    <w:rsid w:val="55504A68"/>
    <w:rsid w:val="560A0F79"/>
    <w:rsid w:val="567F3084"/>
    <w:rsid w:val="571C6397"/>
    <w:rsid w:val="578C5BC5"/>
    <w:rsid w:val="58607202"/>
    <w:rsid w:val="59262F00"/>
    <w:rsid w:val="595E66D9"/>
    <w:rsid w:val="5AE05C56"/>
    <w:rsid w:val="5BE14B1F"/>
    <w:rsid w:val="5BE417A2"/>
    <w:rsid w:val="5D432FCE"/>
    <w:rsid w:val="5DCD44FE"/>
    <w:rsid w:val="5DDA7E30"/>
    <w:rsid w:val="60280023"/>
    <w:rsid w:val="605D2E21"/>
    <w:rsid w:val="63B82690"/>
    <w:rsid w:val="66154F21"/>
    <w:rsid w:val="67C57BEF"/>
    <w:rsid w:val="67E61C68"/>
    <w:rsid w:val="695F42B8"/>
    <w:rsid w:val="69B11C2F"/>
    <w:rsid w:val="6BA87B95"/>
    <w:rsid w:val="6E4A53D5"/>
    <w:rsid w:val="6EB711DA"/>
    <w:rsid w:val="6EEB78FF"/>
    <w:rsid w:val="73342A28"/>
    <w:rsid w:val="75B32ECE"/>
    <w:rsid w:val="780A44D7"/>
    <w:rsid w:val="78292FB8"/>
    <w:rsid w:val="7873281D"/>
    <w:rsid w:val="79E46884"/>
    <w:rsid w:val="7B5A04B7"/>
    <w:rsid w:val="7B9316F9"/>
    <w:rsid w:val="7C3C2E3A"/>
    <w:rsid w:val="7CA21011"/>
    <w:rsid w:val="7CB96375"/>
    <w:rsid w:val="7D6B2001"/>
    <w:rsid w:val="7E7320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77F93B"/>
  <w15:docId w15:val="{94E11EA5-57B9-4BBE-99D4-193F8E364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unhideWhenUsed="1" w:qFormat="1"/>
    <w:lsdException w:name="footer" w:uiPriority="99" w:qFormat="1"/>
    <w:lsdException w:name="caption" w:semiHidden="1" w:unhideWhenUsed="1" w:qFormat="1"/>
    <w:lsdException w:name="annotation reference" w:qFormat="1"/>
    <w:lsdException w:name="Title" w:qFormat="1"/>
    <w:lsdException w:name="Default Paragraph Font"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rPr>
      <w:b/>
      <w:bCs/>
    </w:rPr>
  </w:style>
  <w:style w:type="paragraph" w:styleId="a4">
    <w:name w:val="annotation text"/>
    <w:basedOn w:val="a"/>
    <w:link w:val="a6"/>
    <w:uiPriority w:val="99"/>
    <w:unhideWhenUsed/>
    <w:qFormat/>
    <w:pPr>
      <w:jc w:val="left"/>
    </w:pPr>
  </w:style>
  <w:style w:type="paragraph" w:styleId="a7">
    <w:name w:val="Balloon Text"/>
    <w:basedOn w:val="a"/>
    <w:link w:val="a8"/>
    <w:qFormat/>
    <w:rPr>
      <w:sz w:val="18"/>
      <w:szCs w:val="18"/>
    </w:rPr>
  </w:style>
  <w:style w:type="paragraph" w:styleId="a9">
    <w:name w:val="footer"/>
    <w:basedOn w:val="a"/>
    <w:link w:val="aa"/>
    <w:uiPriority w:val="99"/>
    <w:qFormat/>
    <w:pPr>
      <w:tabs>
        <w:tab w:val="center" w:pos="4153"/>
        <w:tab w:val="right" w:pos="8306"/>
      </w:tabs>
      <w:snapToGrid w:val="0"/>
      <w:jc w:val="left"/>
    </w:pPr>
    <w:rPr>
      <w:sz w:val="18"/>
      <w:szCs w:val="18"/>
    </w:rPr>
  </w:style>
  <w:style w:type="paragraph" w:styleId="ab">
    <w:name w:val="header"/>
    <w:basedOn w:val="a"/>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widowControl/>
      <w:spacing w:before="102" w:after="102" w:line="1099" w:lineRule="atLeast"/>
      <w:ind w:firstLine="419"/>
      <w:jc w:val="left"/>
      <w:textAlignment w:val="baseline"/>
    </w:pPr>
    <w:rPr>
      <w:rFonts w:ascii="Times New Roman" w:eastAsia="宋体" w:hAnsi="Times New Roman" w:cs="Times New Roman"/>
      <w:color w:val="000000"/>
      <w:kern w:val="0"/>
      <w:sz w:val="24"/>
      <w:szCs w:val="20"/>
      <w:u w:color="000000"/>
    </w:rPr>
  </w:style>
  <w:style w:type="character" w:styleId="ad">
    <w:name w:val="Hyperlink"/>
    <w:basedOn w:val="a0"/>
    <w:uiPriority w:val="99"/>
    <w:unhideWhenUsed/>
    <w:qFormat/>
    <w:rPr>
      <w:color w:val="0563C1" w:themeColor="hyperlink"/>
      <w:u w:val="single"/>
    </w:rPr>
  </w:style>
  <w:style w:type="character" w:styleId="ae">
    <w:name w:val="annotation reference"/>
    <w:basedOn w:val="a0"/>
    <w:qFormat/>
    <w:rPr>
      <w:sz w:val="21"/>
      <w:szCs w:val="21"/>
    </w:rPr>
  </w:style>
  <w:style w:type="character" w:customStyle="1" w:styleId="a8">
    <w:name w:val="批注框文本 字符"/>
    <w:basedOn w:val="a0"/>
    <w:link w:val="a7"/>
    <w:qFormat/>
    <w:rPr>
      <w:kern w:val="2"/>
      <w:sz w:val="18"/>
      <w:szCs w:val="18"/>
    </w:rPr>
  </w:style>
  <w:style w:type="character" w:customStyle="1" w:styleId="a6">
    <w:name w:val="批注文字 字符"/>
    <w:basedOn w:val="a0"/>
    <w:link w:val="a4"/>
    <w:uiPriority w:val="99"/>
    <w:qFormat/>
    <w:rPr>
      <w:kern w:val="2"/>
      <w:sz w:val="21"/>
      <w:szCs w:val="22"/>
    </w:rPr>
  </w:style>
  <w:style w:type="character" w:customStyle="1" w:styleId="a5">
    <w:name w:val="批注主题 字符"/>
    <w:basedOn w:val="a6"/>
    <w:link w:val="a3"/>
    <w:qFormat/>
    <w:rPr>
      <w:b/>
      <w:bCs/>
      <w:kern w:val="2"/>
      <w:sz w:val="21"/>
      <w:szCs w:val="22"/>
    </w:rPr>
  </w:style>
  <w:style w:type="character" w:customStyle="1" w:styleId="aa">
    <w:name w:val="页脚 字符"/>
    <w:basedOn w:val="a0"/>
    <w:link w:val="a9"/>
    <w:uiPriority w:val="99"/>
    <w:qFormat/>
    <w:rPr>
      <w:kern w:val="2"/>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character" w:customStyle="1" w:styleId="fontstyle01">
    <w:name w:val="fontstyle01"/>
    <w:qFormat/>
    <w:rsid w:val="0028771F"/>
    <w:rPr>
      <w:rFonts w:ascii="MicrosoftYaHei_PDF_Subset" w:hAnsi="MicrosoftYaHei_PDF_Subset" w:hint="default"/>
      <w:color w:val="000000"/>
      <w:sz w:val="20"/>
      <w:szCs w:val="20"/>
    </w:rPr>
  </w:style>
  <w:style w:type="paragraph" w:customStyle="1" w:styleId="10">
    <w:name w:val="列出段落1"/>
    <w:basedOn w:val="a"/>
    <w:uiPriority w:val="99"/>
    <w:qFormat/>
    <w:rsid w:val="0028771F"/>
    <w:pPr>
      <w:ind w:firstLineChars="200" w:firstLine="420"/>
    </w:pPr>
    <w:rPr>
      <w:rFonts w:ascii="Calibri" w:eastAsia="宋体" w:hAnsi="Calibri" w:cs="Times New Roman"/>
    </w:rPr>
  </w:style>
  <w:style w:type="paragraph" w:customStyle="1" w:styleId="11">
    <w:name w:val="列表段落1"/>
    <w:basedOn w:val="a"/>
    <w:uiPriority w:val="99"/>
    <w:unhideWhenUsed/>
    <w:qFormat/>
    <w:rsid w:val="0028771F"/>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398</Words>
  <Characters>2275</Characters>
  <Application>Microsoft Office Word</Application>
  <DocSecurity>0</DocSecurity>
  <Lines>18</Lines>
  <Paragraphs>5</Paragraphs>
  <ScaleCrop>false</ScaleCrop>
  <Company>Microsoft</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钱哲贤</dc:creator>
  <cp:lastModifiedBy>庞融</cp:lastModifiedBy>
  <cp:revision>28</cp:revision>
  <dcterms:created xsi:type="dcterms:W3CDTF">2020-09-07T06:39:00Z</dcterms:created>
  <dcterms:modified xsi:type="dcterms:W3CDTF">2024-10-26T02:11:00Z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22CEA7614CAB4C7F9265572F56E7D63E</vt:lpwstr>
  </property>
</Properties>
</file>