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w:t>
      </w:r>
      <w:r>
        <w:rPr>
          <w:rFonts w:hint="eastAsia" w:ascii="宋体" w:hAnsi="宋体" w:eastAsia="宋体" w:cs="宋体"/>
          <w:b/>
          <w:bCs/>
          <w:sz w:val="36"/>
          <w:lang w:eastAsia="zh-CN"/>
        </w:rPr>
        <w:t>代销</w:t>
      </w:r>
      <w:r>
        <w:rPr>
          <w:rFonts w:hint="eastAsia" w:ascii="宋体" w:hAnsi="宋体" w:eastAsia="宋体" w:cs="宋体"/>
          <w:b/>
          <w:bCs/>
          <w:sz w:val="36"/>
        </w:rPr>
        <w:t>南银理财鼎瑞悦稳（最低持有28天）3号公募人民币理财产品的通知</w:t>
      </w:r>
    </w:p>
    <w:p>
      <w:pPr>
        <w:adjustRightInd/>
        <w:snapToGrid/>
        <w:spacing w:after="0" w:line="555" w:lineRule="atLeast"/>
        <w:rPr>
          <w:rFonts w:ascii="仿宋_GB2312" w:hAnsi="微软雅黑" w:eastAsia="仿宋_GB2312" w:cs="宋体"/>
          <w:color w:val="000000"/>
          <w:sz w:val="32"/>
          <w:szCs w:val="32"/>
        </w:rPr>
      </w:pP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微软雅黑" w:hAnsi="微软雅黑" w:cs="宋体"/>
          <w:color w:val="000000"/>
          <w:sz w:val="30"/>
          <w:szCs w:val="30"/>
        </w:rPr>
      </w:pPr>
      <w:r>
        <w:rPr>
          <w:rFonts w:hint="eastAsia" w:ascii="仿宋_GB2312" w:hAnsi="微软雅黑" w:eastAsia="仿宋_GB2312" w:cs="宋体"/>
          <w:color w:val="000000"/>
          <w:sz w:val="32"/>
          <w:szCs w:val="32"/>
        </w:rPr>
        <w:t>各分(支)行：</w:t>
      </w:r>
    </w:p>
    <w:p>
      <w:pPr>
        <w:keepNext w:val="0"/>
        <w:keepLines w:val="0"/>
        <w:pageBreakBefore w:val="0"/>
        <w:widowControl/>
        <w:kinsoku/>
        <w:wordWrap/>
        <w:overflowPunct/>
        <w:topLinePunct w:val="0"/>
        <w:autoSpaceDE/>
        <w:autoSpaceDN/>
        <w:bidi w:val="0"/>
        <w:adjustRightInd/>
        <w:snapToGrid/>
        <w:spacing w:after="0" w:line="560" w:lineRule="exact"/>
        <w:ind w:firstLine="63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我行将于2024年</w:t>
      </w:r>
      <w:r>
        <w:rPr>
          <w:rFonts w:hint="eastAsia" w:ascii="仿宋_GB2312" w:hAnsi="微软雅黑" w:eastAsia="仿宋_GB2312" w:cs="宋体"/>
          <w:color w:val="000000"/>
          <w:sz w:val="32"/>
          <w:szCs w:val="32"/>
          <w:lang w:val="en-US" w:eastAsia="zh-CN"/>
        </w:rPr>
        <w:t>12</w:t>
      </w:r>
      <w:r>
        <w:rPr>
          <w:rFonts w:hint="eastAsia" w:ascii="仿宋_GB2312" w:hAnsi="微软雅黑" w:eastAsia="仿宋_GB2312" w:cs="宋体"/>
          <w:color w:val="000000"/>
          <w:sz w:val="32"/>
          <w:szCs w:val="32"/>
        </w:rPr>
        <w:t>月</w:t>
      </w:r>
      <w:r>
        <w:rPr>
          <w:rFonts w:hint="eastAsia" w:ascii="仿宋_GB2312" w:hAnsi="微软雅黑" w:eastAsia="仿宋_GB2312" w:cs="宋体"/>
          <w:color w:val="000000"/>
          <w:sz w:val="32"/>
          <w:szCs w:val="32"/>
          <w:lang w:val="en-US" w:eastAsia="zh-CN"/>
        </w:rPr>
        <w:t>2</w:t>
      </w:r>
      <w:r>
        <w:rPr>
          <w:rFonts w:hint="eastAsia" w:ascii="仿宋_GB2312" w:hAnsi="微软雅黑" w:eastAsia="仿宋_GB2312" w:cs="宋体"/>
          <w:color w:val="000000"/>
          <w:sz w:val="32"/>
          <w:szCs w:val="32"/>
        </w:rPr>
        <w:t>日起代销</w:t>
      </w:r>
      <w:r>
        <w:rPr>
          <w:rFonts w:hint="eastAsia" w:ascii="仿宋_GB2312" w:hAnsi="微软雅黑" w:eastAsia="仿宋_GB2312" w:cs="宋体"/>
          <w:b/>
          <w:color w:val="FF0000"/>
          <w:sz w:val="32"/>
          <w:szCs w:val="32"/>
        </w:rPr>
        <w:t>南银理财有限责任公司</w:t>
      </w:r>
      <w:r>
        <w:rPr>
          <w:rFonts w:hint="eastAsia" w:ascii="仿宋_GB2312" w:hAnsi="微软雅黑" w:eastAsia="仿宋_GB2312" w:cs="宋体"/>
          <w:color w:val="000000"/>
          <w:sz w:val="32"/>
          <w:szCs w:val="32"/>
        </w:rPr>
        <w:t>发行的鼎瑞悦稳（最低持有28天）3号公募人民币理财产品，目前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销售。投资者申购份额最低持有期为</w:t>
      </w:r>
      <w:r>
        <w:rPr>
          <w:rFonts w:hint="eastAsia" w:ascii="仿宋_GB2312" w:hAnsi="微软雅黑" w:eastAsia="仿宋_GB2312" w:cs="宋体"/>
          <w:color w:val="000000"/>
          <w:sz w:val="32"/>
          <w:szCs w:val="32"/>
          <w:lang w:val="en-US" w:eastAsia="zh-CN"/>
        </w:rPr>
        <w:t>28</w:t>
      </w:r>
      <w:r>
        <w:rPr>
          <w:rFonts w:hint="eastAsia" w:ascii="仿宋_GB2312" w:hAnsi="微软雅黑" w:eastAsia="仿宋_GB2312" w:cs="宋体"/>
          <w:color w:val="000000"/>
          <w:sz w:val="32"/>
          <w:szCs w:val="32"/>
        </w:rPr>
        <w:t>天，</w:t>
      </w:r>
      <w:r>
        <w:rPr>
          <w:rFonts w:hint="eastAsia" w:ascii="仿宋_GB2312" w:hAnsi="微软雅黑" w:eastAsia="仿宋_GB2312" w:cs="宋体"/>
          <w:color w:val="000000"/>
          <w:sz w:val="32"/>
          <w:szCs w:val="32"/>
          <w:lang w:val="en-US" w:eastAsia="zh-CN"/>
        </w:rPr>
        <w:t>28</w:t>
      </w:r>
      <w:r>
        <w:rPr>
          <w:rFonts w:hint="eastAsia" w:ascii="仿宋_GB2312" w:hAnsi="微软雅黑" w:eastAsia="仿宋_GB2312" w:cs="宋体"/>
          <w:color w:val="000000"/>
          <w:sz w:val="32"/>
          <w:szCs w:val="32"/>
        </w:rPr>
        <w:t>天以内不可提出赎回申请;持有满</w:t>
      </w:r>
      <w:r>
        <w:rPr>
          <w:rFonts w:hint="eastAsia" w:ascii="仿宋_GB2312" w:hAnsi="微软雅黑" w:eastAsia="仿宋_GB2312" w:cs="宋体"/>
          <w:color w:val="000000"/>
          <w:sz w:val="32"/>
          <w:szCs w:val="32"/>
          <w:lang w:val="en-US" w:eastAsia="zh-CN"/>
        </w:rPr>
        <w:t>28</w:t>
      </w:r>
      <w:r>
        <w:rPr>
          <w:rFonts w:hint="eastAsia" w:ascii="仿宋_GB2312" w:hAnsi="微软雅黑" w:eastAsia="仿宋_GB2312" w:cs="宋体"/>
          <w:color w:val="000000"/>
          <w:sz w:val="32"/>
          <w:szCs w:val="32"/>
        </w:rPr>
        <w:t>天及以上的份额可在之后的每个产品开放日提出赎回申请</w:t>
      </w:r>
      <w:r>
        <w:rPr>
          <w:rFonts w:hint="eastAsia" w:ascii="仿宋_GB2312" w:hAnsi="微软雅黑" w:eastAsia="仿宋_GB2312" w:cs="宋体"/>
          <w:color w:val="000000"/>
          <w:sz w:val="32"/>
          <w:szCs w:val="32"/>
          <w:lang w:eastAsia="zh-CN"/>
        </w:rPr>
        <w:t>。</w:t>
      </w:r>
      <w:r>
        <w:rPr>
          <w:rFonts w:hint="eastAsia" w:ascii="仿宋_GB2312" w:hAnsi="微软雅黑" w:eastAsia="仿宋_GB2312" w:cs="宋体"/>
          <w:color w:val="000000"/>
          <w:sz w:val="32"/>
          <w:szCs w:val="32"/>
        </w:rPr>
        <w:t>非巨额赎回时，产品开放日17:00前的赎回于当日受理，其他时间的赎回于下一产品开放日受理。赎回资金最快将于赎回受理日的下一工作日到账。该产品</w:t>
      </w:r>
      <w:r>
        <w:rPr>
          <w:rFonts w:hint="eastAsia" w:ascii="仿宋_GB2312" w:hAnsi="微软雅黑" w:eastAsia="仿宋_GB2312" w:cs="宋体"/>
          <w:b/>
          <w:color w:val="FF0000"/>
          <w:sz w:val="32"/>
          <w:szCs w:val="32"/>
        </w:rPr>
        <w:t>销售服务费率0.30%/年</w:t>
      </w:r>
      <w:r>
        <w:rPr>
          <w:rFonts w:hint="eastAsia" w:ascii="仿宋_GB2312" w:hAnsi="微软雅黑" w:eastAsia="仿宋_GB2312" w:cs="宋体"/>
          <w:color w:val="000000"/>
          <w:sz w:val="32"/>
          <w:szCs w:val="32"/>
        </w:rPr>
        <w:t>。</w:t>
      </w:r>
      <w:r>
        <w:rPr>
          <w:rFonts w:hint="eastAsia" w:ascii="仿宋_GB2312" w:hAnsi="微软雅黑" w:eastAsia="仿宋_GB2312" w:cs="宋体"/>
          <w:color w:val="000000"/>
          <w:sz w:val="32"/>
          <w:szCs w:val="32"/>
          <w:lang w:eastAsia="zh-CN"/>
        </w:rPr>
        <w:t>该产品限额销售期间，每日限额</w:t>
      </w:r>
      <w:r>
        <w:rPr>
          <w:rFonts w:hint="eastAsia" w:ascii="仿宋_GB2312" w:hAnsi="微软雅黑" w:eastAsia="仿宋_GB2312" w:cs="宋体"/>
          <w:color w:val="000000"/>
          <w:sz w:val="32"/>
          <w:szCs w:val="32"/>
          <w:lang w:val="en-US" w:eastAsia="zh-CN"/>
        </w:rPr>
        <w:t>500万元，</w:t>
      </w:r>
      <w:bookmarkStart w:id="0" w:name="_GoBack"/>
      <w:bookmarkEnd w:id="0"/>
      <w:r>
        <w:rPr>
          <w:rFonts w:hint="eastAsia" w:ascii="仿宋_GB2312" w:hAnsi="微软雅黑" w:eastAsia="仿宋_GB2312" w:cs="宋体"/>
          <w:b/>
          <w:bCs/>
          <w:color w:val="FF0000"/>
          <w:sz w:val="32"/>
          <w:szCs w:val="32"/>
          <w:lang w:val="en-US" w:eastAsia="zh-CN"/>
        </w:rPr>
        <w:t>1万元</w:t>
      </w:r>
      <w:r>
        <w:rPr>
          <w:rFonts w:hint="eastAsia" w:ascii="仿宋_GB2312" w:hAnsi="微软雅黑" w:eastAsia="仿宋_GB2312" w:cs="宋体"/>
          <w:color w:val="000000"/>
          <w:sz w:val="32"/>
          <w:szCs w:val="32"/>
          <w:lang w:val="en-US" w:eastAsia="zh-CN"/>
        </w:rPr>
        <w:t>起购</w:t>
      </w:r>
      <w:r>
        <w:rPr>
          <w:rFonts w:hint="eastAsia" w:ascii="仿宋_GB2312" w:hAnsi="微软雅黑" w:eastAsia="仿宋_GB2312" w:cs="宋体"/>
          <w:color w:val="000000"/>
          <w:sz w:val="32"/>
          <w:szCs w:val="32"/>
          <w:lang w:eastAsia="zh-CN"/>
        </w:rPr>
        <w:t>。</w:t>
      </w:r>
      <w:r>
        <w:rPr>
          <w:rFonts w:hint="eastAsia" w:ascii="仿宋_GB2312" w:hAnsi="微软雅黑" w:eastAsia="仿宋_GB2312" w:cs="宋体"/>
          <w:color w:val="000000"/>
          <w:sz w:val="32"/>
          <w:szCs w:val="32"/>
        </w:rPr>
        <w:t>部分要素如下：</w:t>
      </w:r>
      <w:r>
        <w:rPr>
          <w:rFonts w:ascii="仿宋_GB2312" w:hAnsi="微软雅黑" w:eastAsia="仿宋_GB2312" w:cs="宋体"/>
          <w:color w:val="000000"/>
          <w:sz w:val="32"/>
          <w:szCs w:val="32"/>
        </w:rPr>
        <w:t xml:space="preserve"> </w:t>
      </w:r>
    </w:p>
    <w:tbl>
      <w:tblPr>
        <w:tblStyle w:val="8"/>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南银理财鼎瑞悦稳（最低持有28天）3号公募人民币理财产品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开放式、固定收益类、公募、净值型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ZZ700322400457</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Z7003224000201(投资者可依据该编码在中国理财网www.chinawealth.com.cn查询理财产品相关信息）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B份额：A32044</w:t>
            </w:r>
          </w:p>
          <w:p>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理财期限</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sz w:val="18"/>
                <w:szCs w:val="18"/>
              </w:rPr>
              <w:t>10年</w:t>
            </w:r>
            <w:r>
              <w:rPr>
                <w:rFonts w:hint="eastAsia" w:ascii="方正黑体_GBK" w:hAnsi="方正黑体_GBK" w:eastAsia="方正黑体_GBK" w:cs="宋体"/>
                <w:kern w:val="0"/>
                <w:sz w:val="18"/>
                <w:szCs w:val="18"/>
                <w:lang w:val="en-US" w:eastAsia="zh-CN"/>
              </w:rPr>
              <w:t>（管理人有权提前终止或延期终止）</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本理财产品规模上限为1000亿元。理财产品管理人有权对上述规模上限根据实际业务需求进行调整。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t>根据理财产品管理人对理财产品的内部风险评估，本理财产品风险等级为中低风险（本风险等级为管理人内部风险评估结果，仅供参考）。</w:t>
            </w:r>
          </w:p>
          <w:p>
            <w:pPr>
              <w:spacing w:line="200" w:lineRule="exact"/>
            </w:pPr>
            <w:r>
              <w:t>代销机构应当设置科学合理的理财产品风险评级的方式和方法，对理财产品进行评级；该产品通过代销机构渠道销售的，理财产品评级应当以代销机构最终披露的评级结果为准。</w:t>
            </w:r>
          </w:p>
          <w:p>
            <w:pPr>
              <w:pStyle w:val="2"/>
              <w:ind w:left="0" w:leftChars="0" w:firstLine="0" w:firstLineChars="0"/>
            </w:pPr>
            <w:r>
              <w:rPr>
                <w:rFonts w:hint="eastAsia" w:ascii="仿宋_GB2312" w:hAnsi="仿宋_GB2312" w:eastAsia="仿宋_GB2312" w:cs="仿宋_GB2312"/>
                <w:b/>
                <w:color w:val="FF0000"/>
              </w:rPr>
              <w:t>紫金农商银行对本产品的风险评级为中低风险。</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color w:val="000000"/>
                <w:sz w:val="18"/>
                <w:szCs w:val="18"/>
              </w:rPr>
              <w:t>符合相关法律法规、监管规定要求的，经销售机构的风险承受能力评估体系评定为适合的个人和机构投资者。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B份额：</w:t>
            </w:r>
          </w:p>
          <w:p>
            <w:pPr>
              <w:spacing w:line="200" w:lineRule="exact"/>
            </w:pPr>
            <w:r>
              <w:rPr>
                <w:rFonts w:ascii="方正黑体_GBK" w:hAnsi="方正黑体_GBK" w:eastAsia="方正黑体_GBK" w:cs="宋体"/>
                <w:sz w:val="18"/>
                <w:szCs w:val="18"/>
              </w:rPr>
              <w:t>个人投资者投资起点金额1元人民币，以1元的整数倍递增；</w:t>
            </w:r>
          </w:p>
          <w:p>
            <w:pPr>
              <w:spacing w:line="200" w:lineRule="exact"/>
            </w:pPr>
            <w:r>
              <w:rPr>
                <w:rFonts w:ascii="方正黑体_GBK" w:hAnsi="方正黑体_GBK" w:eastAsia="方正黑体_GBK" w:cs="宋体"/>
                <w:sz w:val="18"/>
                <w:szCs w:val="18"/>
              </w:rPr>
              <w:t>机构投资者投资起点金额1元人民币，以1元的整数倍递增；</w:t>
            </w:r>
          </w:p>
          <w:p>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B份额：</w:t>
            </w:r>
          </w:p>
          <w:p>
            <w:pPr>
              <w:spacing w:line="200" w:lineRule="exact"/>
            </w:pPr>
            <w:r>
              <w:rPr>
                <w:rFonts w:ascii="方正黑体_GBK" w:hAnsi="方正黑体_GBK" w:eastAsia="方正黑体_GBK" w:cs="宋体"/>
                <w:sz w:val="18"/>
                <w:szCs w:val="18"/>
              </w:rPr>
              <w:t>个人投资者：单个投资者持有金额上限1亿；</w:t>
            </w:r>
          </w:p>
          <w:p>
            <w:pPr>
              <w:spacing w:line="200" w:lineRule="exact"/>
            </w:pPr>
            <w:r>
              <w:rPr>
                <w:rFonts w:ascii="方正黑体_GBK" w:hAnsi="方正黑体_GBK" w:eastAsia="方正黑体_GBK" w:cs="宋体"/>
                <w:sz w:val="18"/>
                <w:szCs w:val="18"/>
              </w:rPr>
              <w:t>机构投资者：单个投资者持有金额上限1亿；</w:t>
            </w:r>
          </w:p>
          <w:p>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caps w:val="0"/>
                <w:smallCaps w:val="0"/>
                <w:snapToGrid/>
                <w:vanish w:val="0"/>
                <w:color w:val="auto"/>
                <w:kern w:val="0"/>
                <w:sz w:val="18"/>
                <w:szCs w:val="18"/>
                <w:vertAlign w:val="baseline"/>
              </w:rPr>
            </w:pPr>
            <w:r>
              <w:rPr>
                <w:rFonts w:ascii="方正黑体_GBK" w:hAnsi="方正黑体_GBK" w:eastAsia="方正黑体_GBK" w:cs="Times New Roman"/>
                <w:caps w:val="0"/>
                <w:smallCaps w:val="0"/>
                <w:snapToGrid/>
                <w:vanish w:val="0"/>
                <w:color w:val="auto"/>
                <w:kern w:val="0"/>
                <w:sz w:val="18"/>
                <w:szCs w:val="18"/>
                <w:vertAlign w:val="baseline"/>
              </w:rPr>
              <w:t>单日单户赎回份额上限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单日单户赎回份额上限，是指单个投资者在最近一个产品开放日17：00（不含）至下一产品开放日17：00（含）之间发起的净赎回总份额上限。</w:t>
            </w:r>
          </w:p>
          <w:p>
            <w:pPr>
              <w:spacing w:line="200" w:lineRule="exact"/>
            </w:pPr>
            <w:r>
              <w:rPr>
                <w:rFonts w:ascii="方正黑体_GBK" w:hAnsi="方正黑体_GBK" w:eastAsia="方正黑体_GBK" w:cs="宋体"/>
                <w:sz w:val="18"/>
                <w:szCs w:val="18"/>
              </w:rPr>
              <w:t>B份额：</w:t>
            </w:r>
          </w:p>
          <w:p>
            <w:pPr>
              <w:spacing w:line="200" w:lineRule="exact"/>
            </w:pPr>
            <w:r>
              <w:rPr>
                <w:rFonts w:ascii="方正黑体_GBK" w:hAnsi="方正黑体_GBK" w:eastAsia="方正黑体_GBK" w:cs="宋体"/>
                <w:sz w:val="18"/>
                <w:szCs w:val="18"/>
              </w:rPr>
              <w:t>个人投资者：单日单户赎回份额上限为1亿份；</w:t>
            </w:r>
          </w:p>
          <w:p>
            <w:pPr>
              <w:spacing w:line="200" w:lineRule="exact"/>
            </w:pPr>
            <w:r>
              <w:rPr>
                <w:rFonts w:ascii="方正黑体_GBK" w:hAnsi="方正黑体_GBK" w:eastAsia="方正黑体_GBK" w:cs="宋体"/>
                <w:sz w:val="18"/>
                <w:szCs w:val="18"/>
              </w:rPr>
              <w:t>机构投资者：单日单户赎回份额上限为1亿份；</w:t>
            </w:r>
          </w:p>
          <w:p>
            <w:pPr>
              <w:spacing w:line="200" w:lineRule="exact"/>
            </w:pPr>
            <w:r>
              <w:rPr>
                <w:rFonts w:ascii="方正黑体_GBK" w:hAnsi="方正黑体_GBK" w:eastAsia="方正黑体_GBK" w:cs="宋体"/>
                <w:sz w:val="18"/>
                <w:szCs w:val="18"/>
              </w:rPr>
              <w:t>注：1.该单日单户赎回份额上限管理人有权进行调整或取消，并在调整或取消前至少3个工作日公告。</w:t>
            </w:r>
          </w:p>
          <w:p>
            <w:pPr>
              <w:spacing w:line="200" w:lineRule="exact"/>
            </w:pPr>
            <w:r>
              <w:rPr>
                <w:rFonts w:ascii="方正黑体_GBK" w:hAnsi="方正黑体_GBK" w:eastAsia="方正黑体_GBK" w:cs="宋体"/>
                <w:b/>
                <w:sz w:val="18"/>
                <w:szCs w:val="18"/>
              </w:rPr>
              <w:t>2.当投资者发起的最近一笔赎回申请超过投资者单日单户赎回份额上限时，销售机构或管理人有权拒绝投资者该笔赎回申请，投资者需重新进行资金安排。</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2024年09月26日—实际到期日（若本理财产品未被提前终止或延期终止，则实际到期日即为名义到期日，存续期限10年；若本理财产品被提前终止或延期终止，则实际到期日为提前终止日或延期终止日。</w:t>
            </w:r>
            <w:r>
              <w:rPr>
                <w:rFonts w:ascii="方正黑体_GBK" w:hAnsi="方正黑体_GBK" w:eastAsia="方正黑体_GBK" w:cs="宋体"/>
                <w:b/>
                <w:sz w:val="18"/>
                <w:szCs w:val="18"/>
              </w:rPr>
              <w:t>理财产品管理人有权根据市场变化情况调整产品存续期，届时管理人将调整相关日期并进行信息披露。）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2034年12月29日</w:t>
            </w:r>
            <w:r>
              <w:rPr>
                <w:rFonts w:hint="eastAsia" w:ascii="方正黑体_GBK" w:hAnsi="方正黑体_GBK" w:eastAsia="方正黑体_GBK" w:cs="Times New Roman"/>
                <w:b/>
                <w:bCs/>
                <w:caps w:val="0"/>
                <w:smallCaps w:val="0"/>
                <w:snapToGrid/>
                <w:vanish w:val="0"/>
                <w:color w:val="auto"/>
                <w:kern w:val="0"/>
                <w:sz w:val="18"/>
                <w:szCs w:val="18"/>
                <w:vertAlign w:val="baseline"/>
              </w:rPr>
              <w:t>（如遇国家法定节假日，管理人可结合国家法定节假日安排进行调整，并进行</w:t>
            </w:r>
            <w:r>
              <w:rPr>
                <w:rFonts w:hint="eastAsia" w:ascii="方正黑体_GBK" w:hAnsi="方正黑体_GBK" w:eastAsia="方正黑体_GBK"/>
                <w:b/>
                <w:bCs/>
                <w:caps w:val="0"/>
                <w:smallCaps w:val="0"/>
                <w:snapToGrid/>
                <w:vanish w:val="0"/>
                <w:color w:val="auto"/>
                <w:kern w:val="0"/>
                <w:sz w:val="18"/>
                <w:szCs w:val="18"/>
                <w:vertAlign w:val="baseline"/>
              </w:rPr>
              <w:t>信息披露</w:t>
            </w:r>
            <w:r>
              <w:rPr>
                <w:rFonts w:hint="eastAsia" w:ascii="方正黑体_GBK" w:hAnsi="方正黑体_GBK" w:eastAsia="方正黑体_GBK" w:cs="Times New Roman"/>
                <w:b/>
                <w:bCs/>
                <w:caps w:val="0"/>
                <w:smallCaps w:val="0"/>
                <w:snapToGrid/>
                <w:vanish w:val="0"/>
                <w:color w:val="auto"/>
                <w:kern w:val="0"/>
                <w:sz w:val="18"/>
                <w:szCs w:val="18"/>
                <w:vertAlign w:val="baseline"/>
              </w:rPr>
              <w:t>）</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申购规则</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b/>
                <w:sz w:val="18"/>
                <w:szCs w:val="18"/>
              </w:rPr>
              <w:t>产品开放日17:00（含）前的申购于当日受理，其他时间的申购于下一产品开放日受理。</w:t>
            </w:r>
            <w:r>
              <w:rPr>
                <w:rFonts w:ascii="方正黑体_GBK" w:hAnsi="方正黑体_GBK" w:eastAsia="方正黑体_GBK" w:cs="宋体"/>
                <w:sz w:val="18"/>
                <w:szCs w:val="18"/>
              </w:rPr>
              <w:t>上述申购规则如下（系统批处理时间内无法操作）：</w:t>
            </w:r>
          </w:p>
          <w:tbl>
            <w:tblPr>
              <w:tblStyle w:val="8"/>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1795"/>
              <w:gridCol w:w="1795"/>
              <w:gridCol w:w="179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95" w:type="dxa"/>
                </w:tcPr>
                <w:p>
                  <w:pPr>
                    <w:spacing w:line="200" w:lineRule="exact"/>
                  </w:pPr>
                  <w:r>
                    <w:rPr>
                      <w:rFonts w:ascii="方正黑体_GBK" w:hAnsi="方正黑体_GBK" w:eastAsia="方正黑体_GBK" w:cs="宋体"/>
                      <w:sz w:val="18"/>
                      <w:szCs w:val="18"/>
                    </w:rPr>
                    <w:t>申购时间</w:t>
                  </w:r>
                </w:p>
              </w:tc>
              <w:tc>
                <w:tcPr>
                  <w:tcW w:w="1795" w:type="dxa"/>
                </w:tcPr>
                <w:p>
                  <w:pPr>
                    <w:spacing w:line="200" w:lineRule="exact"/>
                  </w:pPr>
                  <w:r>
                    <w:rPr>
                      <w:rFonts w:ascii="方正黑体_GBK" w:hAnsi="方正黑体_GBK" w:eastAsia="方正黑体_GBK" w:cs="宋体"/>
                      <w:sz w:val="18"/>
                      <w:szCs w:val="18"/>
                    </w:rPr>
                    <w:t>申购受理日</w:t>
                  </w:r>
                </w:p>
              </w:tc>
              <w:tc>
                <w:tcPr>
                  <w:tcW w:w="1795" w:type="dxa"/>
                </w:tcPr>
                <w:p>
                  <w:pPr>
                    <w:spacing w:line="200" w:lineRule="exact"/>
                  </w:pPr>
                  <w:r>
                    <w:rPr>
                      <w:rFonts w:ascii="方正黑体_GBK" w:hAnsi="方正黑体_GBK" w:eastAsia="方正黑体_GBK" w:cs="宋体"/>
                      <w:sz w:val="18"/>
                      <w:szCs w:val="18"/>
                    </w:rPr>
                    <w:t>份额运作起始日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95" w:type="dxa"/>
                </w:tcPr>
                <w:p>
                  <w:pPr>
                    <w:spacing w:line="200" w:lineRule="exact"/>
                  </w:pPr>
                  <w:r>
                    <w:rPr>
                      <w:rFonts w:ascii="方正黑体_GBK" w:hAnsi="方正黑体_GBK" w:eastAsia="方正黑体_GBK" w:cs="宋体"/>
                      <w:sz w:val="18"/>
                      <w:szCs w:val="18"/>
                    </w:rPr>
                    <w:t>产品开放日：0:00-17:00（含）</w:t>
                  </w:r>
                </w:p>
              </w:tc>
              <w:tc>
                <w:tcPr>
                  <w:tcW w:w="1795" w:type="dxa"/>
                </w:tcPr>
                <w:p>
                  <w:pPr>
                    <w:spacing w:line="200" w:lineRule="exact"/>
                  </w:pPr>
                  <w:r>
                    <w:rPr>
                      <w:rFonts w:ascii="方正黑体_GBK" w:hAnsi="方正黑体_GBK" w:eastAsia="方正黑体_GBK" w:cs="宋体"/>
                      <w:sz w:val="18"/>
                      <w:szCs w:val="18"/>
                    </w:rPr>
                    <w:t>当日</w:t>
                  </w:r>
                </w:p>
              </w:tc>
              <w:tc>
                <w:tcPr>
                  <w:tcW w:w="1795" w:type="dxa"/>
                </w:tcPr>
                <w:p>
                  <w:pPr>
                    <w:spacing w:line="200" w:lineRule="exact"/>
                  </w:pPr>
                  <w:r>
                    <w:rPr>
                      <w:rFonts w:ascii="方正黑体_GBK" w:hAnsi="方正黑体_GBK" w:eastAsia="方正黑体_GBK" w:cs="宋体"/>
                      <w:sz w:val="18"/>
                      <w:szCs w:val="18"/>
                    </w:rPr>
                    <w:t>申购受理日下一产品开放日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95" w:type="dxa"/>
                </w:tcPr>
                <w:p>
                  <w:pPr>
                    <w:spacing w:line="200" w:lineRule="exact"/>
                  </w:pPr>
                  <w:r>
                    <w:rPr>
                      <w:rFonts w:ascii="方正黑体_GBK" w:hAnsi="方正黑体_GBK" w:eastAsia="方正黑体_GBK" w:cs="宋体"/>
                      <w:sz w:val="18"/>
                      <w:szCs w:val="18"/>
                    </w:rPr>
                    <w:t>产品开放日：17:00（不含）-24:00或非产品开放日</w:t>
                  </w:r>
                </w:p>
              </w:tc>
              <w:tc>
                <w:tcPr>
                  <w:tcW w:w="1795" w:type="dxa"/>
                </w:tcPr>
                <w:p>
                  <w:pPr>
                    <w:spacing w:line="200" w:lineRule="exact"/>
                  </w:pPr>
                  <w:r>
                    <w:rPr>
                      <w:rFonts w:ascii="方正黑体_GBK" w:hAnsi="方正黑体_GBK" w:eastAsia="方正黑体_GBK" w:cs="宋体"/>
                      <w:sz w:val="18"/>
                      <w:szCs w:val="18"/>
                    </w:rPr>
                    <w:t>下一产品开放日</w:t>
                  </w:r>
                </w:p>
              </w:tc>
              <w:tc>
                <w:tcPr>
                  <w:tcW w:w="1795" w:type="dxa"/>
                </w:tcPr>
                <w:p>
                  <w:pPr>
                    <w:spacing w:line="200" w:lineRule="exact"/>
                  </w:pPr>
                  <w:r>
                    <w:rPr>
                      <w:rFonts w:ascii="方正黑体_GBK" w:hAnsi="方正黑体_GBK" w:eastAsia="方正黑体_GBK" w:cs="宋体"/>
                      <w:sz w:val="18"/>
                      <w:szCs w:val="18"/>
                    </w:rPr>
                    <w:t>申购受理日下一产品开放日</w:t>
                  </w:r>
                </w:p>
              </w:tc>
            </w:tr>
          </w:tbl>
          <w:p>
            <w:pPr>
              <w:spacing w:line="200" w:lineRule="exact"/>
            </w:pPr>
          </w:p>
          <w:p>
            <w:pPr>
              <w:spacing w:line="200" w:lineRule="exact"/>
              <w:jc w:val="left"/>
            </w:pPr>
            <w:r>
              <w:rPr>
                <w:rFonts w:ascii="方正黑体_GBK" w:hAnsi="方正黑体_GBK" w:eastAsia="方正黑体_GBK" w:cs="宋体"/>
                <w:b/>
                <w:sz w:val="18"/>
                <w:szCs w:val="18"/>
              </w:rPr>
              <w:t>代销机构可根据其销售需要重新设定申购时间，投资者通过代销机构购买本理财产品的，以该代销机构最终披露的申购时间和规则为准，但需当日受理的申购申请截止时间不得超过当日17:00。</w:t>
            </w:r>
          </w:p>
          <w:p>
            <w:pPr>
              <w:spacing w:line="200" w:lineRule="exact"/>
              <w:jc w:val="left"/>
            </w:pPr>
          </w:p>
          <w:p>
            <w:pPr>
              <w:spacing w:line="200" w:lineRule="exact"/>
              <w:jc w:val="left"/>
            </w:pPr>
            <w:r>
              <w:rPr>
                <w:rFonts w:ascii="方正黑体_GBK" w:hAnsi="方正黑体_GBK" w:eastAsia="方正黑体_GBK" w:cs="宋体"/>
                <w:b/>
                <w:sz w:val="18"/>
                <w:szCs w:val="18"/>
              </w:rPr>
              <w:t>注</w:t>
            </w:r>
            <w:r>
              <w:rPr>
                <w:rFonts w:ascii="方正黑体_GBK" w:hAnsi="方正黑体_GBK" w:eastAsia="方正黑体_GBK" w:cs="宋体"/>
                <w:sz w:val="18"/>
                <w:szCs w:val="18"/>
              </w:rPr>
              <w:t>：</w:t>
            </w:r>
          </w:p>
          <w:p>
            <w:pPr>
              <w:spacing w:line="200" w:lineRule="exact"/>
              <w:jc w:val="left"/>
            </w:pPr>
            <w:r>
              <w:rPr>
                <w:rFonts w:ascii="方正黑体_GBK" w:hAnsi="方正黑体_GBK" w:eastAsia="方正黑体_GBK" w:cs="宋体"/>
                <w:b/>
                <w:sz w:val="18"/>
                <w:szCs w:val="18"/>
              </w:rPr>
              <w:t>1.申购受理日17:00（含）前可以撤销申购申请。</w:t>
            </w:r>
          </w:p>
          <w:p>
            <w:pPr>
              <w:spacing w:line="200" w:lineRule="exact"/>
            </w:pPr>
            <w:r>
              <w:rPr>
                <w:rFonts w:ascii="方正黑体_GBK" w:hAnsi="方正黑体_GBK" w:eastAsia="方正黑体_GBK" w:cs="宋体"/>
                <w:b/>
                <w:sz w:val="18"/>
                <w:szCs w:val="18"/>
              </w:rPr>
              <w:t>2.产品开放日为产品存续期内每周一至周五（指工作日），但不包括国家法定节假日、休息日和南银理财公告暂停开放的日期。系统批处理时间无法进行任何操作，届时系统将相应提示，系统批处理时间预计在0：00至3：00之间，如遇特殊情况延迟，敬请投资者注意。</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申购开放日和确认日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产品存续期内每周一至周五（指工作日），但不包括国家法定节假日、休息日和管理人、代销机构公告暂停开放的日期。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8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申购</w:t>
            </w:r>
            <w:r>
              <w:rPr>
                <w:rFonts w:hint="eastAsia" w:ascii="方正黑体_GBK" w:hAnsi="方正黑体_GBK" w:eastAsia="方正黑体_GBK"/>
                <w:caps w:val="0"/>
                <w:smallCaps w:val="0"/>
                <w:snapToGrid/>
                <w:vanish w:val="0"/>
                <w:color w:val="auto"/>
                <w:kern w:val="0"/>
                <w:sz w:val="18"/>
                <w:szCs w:val="18"/>
                <w:vertAlign w:val="baseline"/>
              </w:rPr>
              <w:t>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b/>
                <w:sz w:val="18"/>
                <w:szCs w:val="18"/>
              </w:rPr>
              <w:t>申购份额=申购金额/申购确认日产品单位净值（申购确认日为申购受理日当日）</w:t>
            </w:r>
          </w:p>
          <w:p>
            <w:pPr>
              <w:spacing w:line="200" w:lineRule="exact"/>
              <w:jc w:val="left"/>
            </w:pPr>
            <w:r>
              <w:rPr>
                <w:rFonts w:ascii="方正黑体_GBK" w:hAnsi="方正黑体_GBK" w:eastAsia="方正黑体_GBK" w:cs="宋体"/>
                <w:sz w:val="18"/>
                <w:szCs w:val="18"/>
              </w:rPr>
              <w:t>（申购份额按去尾法保留两位小数）。</w:t>
            </w:r>
          </w:p>
        </w:tc>
      </w:tr>
    </w:tbl>
    <w:p>
      <w:pPr>
        <w:keepNext w:val="0"/>
        <w:keepLines w:val="0"/>
        <w:pageBreakBefore w:val="0"/>
        <w:widowControl/>
        <w:kinsoku/>
        <w:wordWrap/>
        <w:overflowPunct/>
        <w:topLinePunct w:val="0"/>
        <w:autoSpaceDE/>
        <w:autoSpaceDN/>
        <w:bidi w:val="0"/>
        <w:adjustRightInd/>
        <w:snapToGrid/>
        <w:spacing w:after="0" w:line="560" w:lineRule="exact"/>
        <w:ind w:firstLine="630"/>
        <w:jc w:val="center"/>
        <w:textAlignment w:val="auto"/>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ascii="仿宋_GB2312" w:hAnsi="微软雅黑" w:eastAsia="仿宋_GB2312" w:cs="宋体"/>
          <w:color w:val="FF0000"/>
          <w:sz w:val="32"/>
          <w:szCs w:val="32"/>
        </w:rPr>
        <w:t>紫金农商银行对本产品的风险评级为中低风险</w:t>
      </w:r>
      <w:r>
        <w:rPr>
          <w:rFonts w:ascii="仿宋_GB2312" w:hAnsi="微软雅黑" w:eastAsia="仿宋_GB2312" w:cs="宋体"/>
          <w:color w:val="FF0000"/>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4.如有其他未尽事宜以私人银行部解释为准。</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微软雅黑" w:hAnsi="微软雅黑" w:cs="宋体"/>
          <w:color w:val="000000"/>
          <w:sz w:val="30"/>
          <w:szCs w:val="30"/>
        </w:rPr>
      </w:pP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附件：</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1.南银理财鼎瑞悦稳（最低持有28天）3号公募人民币理财产品风险揭示书</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w:t>
      </w:r>
      <w:r>
        <w:rPr>
          <w:rFonts w:hint="eastAsia"/>
        </w:rPr>
        <w:t xml:space="preserve"> </w:t>
      </w:r>
      <w:r>
        <w:rPr>
          <w:rFonts w:hint="eastAsia" w:ascii="仿宋_GB2312" w:hAnsi="微软雅黑" w:eastAsia="仿宋_GB2312" w:cs="宋体"/>
          <w:color w:val="000000"/>
          <w:sz w:val="32"/>
          <w:szCs w:val="32"/>
        </w:rPr>
        <w:t>南银理财鼎瑞悦稳（最低持有28天）3号公募人民币理财产品说明书</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rPr>
        <w:t xml:space="preserve"> </w:t>
      </w:r>
      <w:r>
        <w:rPr>
          <w:rFonts w:hint="eastAsia" w:ascii="仿宋_GB2312" w:hAnsi="微软雅黑" w:eastAsia="仿宋_GB2312" w:cs="宋体"/>
          <w:color w:val="000000"/>
          <w:sz w:val="32"/>
          <w:szCs w:val="32"/>
        </w:rPr>
        <w:t>南银理财理财产品销售协议书&amp;理财产品投资协议书</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4.</w:t>
      </w:r>
      <w:r>
        <w:rPr>
          <w:rFonts w:hint="eastAsia"/>
        </w:rPr>
        <w:t xml:space="preserve"> </w:t>
      </w:r>
      <w:r>
        <w:rPr>
          <w:rFonts w:hint="eastAsia" w:ascii="仿宋_GB2312" w:hAnsi="微软雅黑" w:eastAsia="仿宋_GB2312" w:cs="宋体"/>
          <w:color w:val="000000"/>
          <w:sz w:val="32"/>
          <w:szCs w:val="32"/>
        </w:rPr>
        <w:t>南银理财投资者权益须知</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5.</w:t>
      </w:r>
      <w:r>
        <w:rPr>
          <w:rFonts w:hint="eastAsia"/>
        </w:rPr>
        <w:t xml:space="preserve"> </w:t>
      </w:r>
      <w:r>
        <w:rPr>
          <w:rFonts w:hint="eastAsia" w:ascii="仿宋_GB2312" w:hAnsi="微软雅黑" w:eastAsia="仿宋_GB2312" w:cs="宋体"/>
          <w:color w:val="000000"/>
          <w:sz w:val="32"/>
          <w:szCs w:val="32"/>
        </w:rPr>
        <w:t>个人客户风险承受能力评估表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6.</w:t>
      </w:r>
      <w:r>
        <w:rPr>
          <w:rFonts w:hint="eastAsia"/>
        </w:rPr>
        <w:t xml:space="preserve"> </w:t>
      </w:r>
      <w:r>
        <w:rPr>
          <w:rFonts w:hint="eastAsia" w:ascii="仿宋_GB2312" w:hAnsi="微软雅黑" w:eastAsia="仿宋_GB2312" w:cs="宋体"/>
          <w:color w:val="000000"/>
          <w:sz w:val="32"/>
          <w:szCs w:val="32"/>
        </w:rPr>
        <w:t>机构客户理财风险承受能力评估表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p>
    <w:p>
      <w:pPr>
        <w:keepNext w:val="0"/>
        <w:keepLines w:val="0"/>
        <w:pageBreakBefore w:val="0"/>
        <w:widowControl/>
        <w:kinsoku/>
        <w:wordWrap/>
        <w:overflowPunct/>
        <w:topLinePunct w:val="0"/>
        <w:autoSpaceDE/>
        <w:autoSpaceDN/>
        <w:bidi w:val="0"/>
        <w:adjustRightInd/>
        <w:snapToGrid/>
        <w:spacing w:after="0" w:line="560" w:lineRule="exact"/>
        <w:ind w:firstLine="5760"/>
        <w:jc w:val="right"/>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keepNext w:val="0"/>
        <w:keepLines w:val="0"/>
        <w:pageBreakBefore w:val="0"/>
        <w:widowControl/>
        <w:kinsoku/>
        <w:wordWrap/>
        <w:overflowPunct/>
        <w:topLinePunct w:val="0"/>
        <w:autoSpaceDE/>
        <w:autoSpaceDN/>
        <w:bidi w:val="0"/>
        <w:adjustRightInd/>
        <w:snapToGrid/>
        <w:spacing w:after="0" w:line="560" w:lineRule="exact"/>
        <w:jc w:val="right"/>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2024年1</w:t>
      </w:r>
      <w:r>
        <w:rPr>
          <w:rFonts w:hint="eastAsia" w:ascii="仿宋_GB2312" w:hAnsi="微软雅黑" w:eastAsia="仿宋_GB2312" w:cs="宋体"/>
          <w:color w:val="000000"/>
          <w:sz w:val="32"/>
          <w:szCs w:val="32"/>
          <w:lang w:val="en-US" w:eastAsia="zh-CN"/>
        </w:rPr>
        <w:t>1</w:t>
      </w:r>
      <w:r>
        <w:rPr>
          <w:rFonts w:hint="eastAsia" w:ascii="仿宋_GB2312" w:hAnsi="微软雅黑" w:eastAsia="仿宋_GB2312" w:cs="宋体"/>
          <w:color w:val="000000"/>
          <w:sz w:val="32"/>
          <w:szCs w:val="32"/>
        </w:rPr>
        <w:t>月2</w:t>
      </w:r>
      <w:r>
        <w:rPr>
          <w:rFonts w:hint="eastAsia" w:ascii="仿宋_GB2312" w:hAnsi="微软雅黑" w:eastAsia="仿宋_GB2312" w:cs="宋体"/>
          <w:color w:val="000000"/>
          <w:sz w:val="32"/>
          <w:szCs w:val="32"/>
          <w:lang w:val="en-US" w:eastAsia="zh-CN"/>
        </w:rPr>
        <w:t>9</w:t>
      </w:r>
      <w:r>
        <w:rPr>
          <w:rFonts w:hint="eastAsia" w:ascii="仿宋_GB2312" w:hAnsi="微软雅黑" w:eastAsia="仿宋_GB2312" w:cs="宋体"/>
          <w:color w:val="000000"/>
          <w:sz w:val="32"/>
          <w:szCs w:val="32"/>
        </w:rPr>
        <w:t>日</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rsids>
    <w:rsidRoot w:val="00D31D50"/>
    <w:rsid w:val="00007A45"/>
    <w:rsid w:val="00007B0F"/>
    <w:rsid w:val="000108F3"/>
    <w:rsid w:val="00010C68"/>
    <w:rsid w:val="00012652"/>
    <w:rsid w:val="00015217"/>
    <w:rsid w:val="00015DAC"/>
    <w:rsid w:val="0002233E"/>
    <w:rsid w:val="00023665"/>
    <w:rsid w:val="000263A0"/>
    <w:rsid w:val="00031FB1"/>
    <w:rsid w:val="000430CA"/>
    <w:rsid w:val="00050465"/>
    <w:rsid w:val="000547BB"/>
    <w:rsid w:val="00055752"/>
    <w:rsid w:val="000571BC"/>
    <w:rsid w:val="000609B0"/>
    <w:rsid w:val="0006322B"/>
    <w:rsid w:val="00067DDC"/>
    <w:rsid w:val="000729EB"/>
    <w:rsid w:val="00072D1A"/>
    <w:rsid w:val="000812F4"/>
    <w:rsid w:val="000819E6"/>
    <w:rsid w:val="000936F7"/>
    <w:rsid w:val="000957AC"/>
    <w:rsid w:val="00097209"/>
    <w:rsid w:val="000A5028"/>
    <w:rsid w:val="000D2EF9"/>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477A5"/>
    <w:rsid w:val="00152FB9"/>
    <w:rsid w:val="00157799"/>
    <w:rsid w:val="001642B1"/>
    <w:rsid w:val="00171A3A"/>
    <w:rsid w:val="00174CF3"/>
    <w:rsid w:val="00174FC8"/>
    <w:rsid w:val="001763AA"/>
    <w:rsid w:val="001A556D"/>
    <w:rsid w:val="001A6DC6"/>
    <w:rsid w:val="001B2273"/>
    <w:rsid w:val="001B2C94"/>
    <w:rsid w:val="001B7E33"/>
    <w:rsid w:val="001F72B5"/>
    <w:rsid w:val="00201E20"/>
    <w:rsid w:val="00206F8F"/>
    <w:rsid w:val="00216E71"/>
    <w:rsid w:val="002235BC"/>
    <w:rsid w:val="002317E9"/>
    <w:rsid w:val="00232543"/>
    <w:rsid w:val="00233524"/>
    <w:rsid w:val="00233CED"/>
    <w:rsid w:val="00236FDA"/>
    <w:rsid w:val="002422B4"/>
    <w:rsid w:val="002513BD"/>
    <w:rsid w:val="00251BF3"/>
    <w:rsid w:val="00277323"/>
    <w:rsid w:val="002777A1"/>
    <w:rsid w:val="00283408"/>
    <w:rsid w:val="002866F6"/>
    <w:rsid w:val="0029028F"/>
    <w:rsid w:val="002A1795"/>
    <w:rsid w:val="002B1948"/>
    <w:rsid w:val="002C248B"/>
    <w:rsid w:val="002D396F"/>
    <w:rsid w:val="002D5533"/>
    <w:rsid w:val="002D757D"/>
    <w:rsid w:val="002E3ECB"/>
    <w:rsid w:val="002F1002"/>
    <w:rsid w:val="003059D5"/>
    <w:rsid w:val="00306FE6"/>
    <w:rsid w:val="00307430"/>
    <w:rsid w:val="00322857"/>
    <w:rsid w:val="00322F4C"/>
    <w:rsid w:val="00323B43"/>
    <w:rsid w:val="003247F8"/>
    <w:rsid w:val="00340741"/>
    <w:rsid w:val="00347193"/>
    <w:rsid w:val="00353BA9"/>
    <w:rsid w:val="00363981"/>
    <w:rsid w:val="003720A3"/>
    <w:rsid w:val="00376FEA"/>
    <w:rsid w:val="003813E5"/>
    <w:rsid w:val="003874C3"/>
    <w:rsid w:val="003A1933"/>
    <w:rsid w:val="003C0D6B"/>
    <w:rsid w:val="003C1D41"/>
    <w:rsid w:val="003D2F9A"/>
    <w:rsid w:val="003D37D8"/>
    <w:rsid w:val="003D4715"/>
    <w:rsid w:val="003D52D0"/>
    <w:rsid w:val="00422AD1"/>
    <w:rsid w:val="00426133"/>
    <w:rsid w:val="00426162"/>
    <w:rsid w:val="004358AB"/>
    <w:rsid w:val="00443E90"/>
    <w:rsid w:val="00450005"/>
    <w:rsid w:val="00450334"/>
    <w:rsid w:val="00453F28"/>
    <w:rsid w:val="0045680A"/>
    <w:rsid w:val="00462F3D"/>
    <w:rsid w:val="004633B0"/>
    <w:rsid w:val="00464293"/>
    <w:rsid w:val="004662D4"/>
    <w:rsid w:val="0047116D"/>
    <w:rsid w:val="00476C3B"/>
    <w:rsid w:val="00484A94"/>
    <w:rsid w:val="00485549"/>
    <w:rsid w:val="0049140E"/>
    <w:rsid w:val="004A093E"/>
    <w:rsid w:val="004A72FB"/>
    <w:rsid w:val="004B5451"/>
    <w:rsid w:val="004B5827"/>
    <w:rsid w:val="004C175A"/>
    <w:rsid w:val="004C7210"/>
    <w:rsid w:val="004D2CAE"/>
    <w:rsid w:val="004F2D7A"/>
    <w:rsid w:val="005100BA"/>
    <w:rsid w:val="005168C5"/>
    <w:rsid w:val="005218F6"/>
    <w:rsid w:val="00522DB4"/>
    <w:rsid w:val="00523BDD"/>
    <w:rsid w:val="00536DF2"/>
    <w:rsid w:val="00543782"/>
    <w:rsid w:val="00556398"/>
    <w:rsid w:val="00571C85"/>
    <w:rsid w:val="00596AF2"/>
    <w:rsid w:val="005A2F40"/>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887"/>
    <w:rsid w:val="00607EC0"/>
    <w:rsid w:val="00610019"/>
    <w:rsid w:val="006110FC"/>
    <w:rsid w:val="00611544"/>
    <w:rsid w:val="006148C9"/>
    <w:rsid w:val="0061606F"/>
    <w:rsid w:val="006214F4"/>
    <w:rsid w:val="0062215C"/>
    <w:rsid w:val="00633DBB"/>
    <w:rsid w:val="00656C6E"/>
    <w:rsid w:val="00664732"/>
    <w:rsid w:val="00665EFD"/>
    <w:rsid w:val="00667444"/>
    <w:rsid w:val="00671CB5"/>
    <w:rsid w:val="00672E93"/>
    <w:rsid w:val="00692B80"/>
    <w:rsid w:val="006A2B25"/>
    <w:rsid w:val="006A3869"/>
    <w:rsid w:val="006B534A"/>
    <w:rsid w:val="006C44CC"/>
    <w:rsid w:val="006D4378"/>
    <w:rsid w:val="006D643B"/>
    <w:rsid w:val="006F7634"/>
    <w:rsid w:val="006F7825"/>
    <w:rsid w:val="00701C74"/>
    <w:rsid w:val="0070239F"/>
    <w:rsid w:val="00707DF8"/>
    <w:rsid w:val="0071497F"/>
    <w:rsid w:val="007248B8"/>
    <w:rsid w:val="0073205A"/>
    <w:rsid w:val="007353CA"/>
    <w:rsid w:val="0073541E"/>
    <w:rsid w:val="00740E8C"/>
    <w:rsid w:val="00741563"/>
    <w:rsid w:val="007675CD"/>
    <w:rsid w:val="00774A8F"/>
    <w:rsid w:val="00776CED"/>
    <w:rsid w:val="00783419"/>
    <w:rsid w:val="00793A91"/>
    <w:rsid w:val="00795DC6"/>
    <w:rsid w:val="007B320A"/>
    <w:rsid w:val="007B42DF"/>
    <w:rsid w:val="007C4E2D"/>
    <w:rsid w:val="007D35F2"/>
    <w:rsid w:val="007D71A4"/>
    <w:rsid w:val="007F7EBA"/>
    <w:rsid w:val="00800D3C"/>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6A98"/>
    <w:rsid w:val="008B7726"/>
    <w:rsid w:val="008C5458"/>
    <w:rsid w:val="008D6E85"/>
    <w:rsid w:val="008F2B7A"/>
    <w:rsid w:val="008F53F4"/>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B3A0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06FE9"/>
    <w:rsid w:val="00B100EF"/>
    <w:rsid w:val="00B11389"/>
    <w:rsid w:val="00B12517"/>
    <w:rsid w:val="00B126A7"/>
    <w:rsid w:val="00B22801"/>
    <w:rsid w:val="00B24A4C"/>
    <w:rsid w:val="00B27E33"/>
    <w:rsid w:val="00B4326E"/>
    <w:rsid w:val="00B562D4"/>
    <w:rsid w:val="00B60D12"/>
    <w:rsid w:val="00B6677A"/>
    <w:rsid w:val="00B733D0"/>
    <w:rsid w:val="00B73A10"/>
    <w:rsid w:val="00B73AC3"/>
    <w:rsid w:val="00B74200"/>
    <w:rsid w:val="00B74951"/>
    <w:rsid w:val="00B82938"/>
    <w:rsid w:val="00B93CFE"/>
    <w:rsid w:val="00BB13C2"/>
    <w:rsid w:val="00BB5D59"/>
    <w:rsid w:val="00BC24E2"/>
    <w:rsid w:val="00C00041"/>
    <w:rsid w:val="00C031DA"/>
    <w:rsid w:val="00C14BA9"/>
    <w:rsid w:val="00C15704"/>
    <w:rsid w:val="00C23A87"/>
    <w:rsid w:val="00C35F59"/>
    <w:rsid w:val="00C468C3"/>
    <w:rsid w:val="00C66A8C"/>
    <w:rsid w:val="00C71423"/>
    <w:rsid w:val="00C764BE"/>
    <w:rsid w:val="00C857A9"/>
    <w:rsid w:val="00CA308C"/>
    <w:rsid w:val="00CB16FF"/>
    <w:rsid w:val="00CB29BA"/>
    <w:rsid w:val="00CC2EB3"/>
    <w:rsid w:val="00CC6CFB"/>
    <w:rsid w:val="00CD25E2"/>
    <w:rsid w:val="00CD328F"/>
    <w:rsid w:val="00CD74BD"/>
    <w:rsid w:val="00CE384A"/>
    <w:rsid w:val="00CF46C2"/>
    <w:rsid w:val="00CF63E7"/>
    <w:rsid w:val="00D01BC1"/>
    <w:rsid w:val="00D07834"/>
    <w:rsid w:val="00D10241"/>
    <w:rsid w:val="00D31D50"/>
    <w:rsid w:val="00D42DFD"/>
    <w:rsid w:val="00D476F9"/>
    <w:rsid w:val="00D4780E"/>
    <w:rsid w:val="00D5491D"/>
    <w:rsid w:val="00D56293"/>
    <w:rsid w:val="00D67754"/>
    <w:rsid w:val="00D763B7"/>
    <w:rsid w:val="00D85401"/>
    <w:rsid w:val="00D87A8A"/>
    <w:rsid w:val="00D97534"/>
    <w:rsid w:val="00DA293F"/>
    <w:rsid w:val="00DA473D"/>
    <w:rsid w:val="00DB267C"/>
    <w:rsid w:val="00DC02CD"/>
    <w:rsid w:val="00DC08E6"/>
    <w:rsid w:val="00DC6933"/>
    <w:rsid w:val="00DD01FE"/>
    <w:rsid w:val="00DE0EDD"/>
    <w:rsid w:val="00DE145A"/>
    <w:rsid w:val="00DF0BC2"/>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4D3"/>
    <w:rsid w:val="00EF5899"/>
    <w:rsid w:val="00F01F77"/>
    <w:rsid w:val="00F02F9C"/>
    <w:rsid w:val="00F04234"/>
    <w:rsid w:val="00F15448"/>
    <w:rsid w:val="00F21AAA"/>
    <w:rsid w:val="00F340F3"/>
    <w:rsid w:val="00F535DE"/>
    <w:rsid w:val="00F56107"/>
    <w:rsid w:val="00F634A7"/>
    <w:rsid w:val="00F805F0"/>
    <w:rsid w:val="00F864A1"/>
    <w:rsid w:val="00F90F52"/>
    <w:rsid w:val="00F957A8"/>
    <w:rsid w:val="00F97C18"/>
    <w:rsid w:val="00FA233C"/>
    <w:rsid w:val="00FC31C8"/>
    <w:rsid w:val="00FC73A4"/>
    <w:rsid w:val="00FD35EB"/>
    <w:rsid w:val="00FE0475"/>
    <w:rsid w:val="00FE272F"/>
    <w:rsid w:val="00FF20E5"/>
    <w:rsid w:val="00FF3EEA"/>
    <w:rsid w:val="074A2176"/>
    <w:rsid w:val="07527F15"/>
    <w:rsid w:val="0AB33FF3"/>
    <w:rsid w:val="0AF45E31"/>
    <w:rsid w:val="0B432900"/>
    <w:rsid w:val="0C0635E6"/>
    <w:rsid w:val="0C8E090E"/>
    <w:rsid w:val="18F4587F"/>
    <w:rsid w:val="2D804DBE"/>
    <w:rsid w:val="325B3793"/>
    <w:rsid w:val="3B550E9F"/>
    <w:rsid w:val="3E3871C6"/>
    <w:rsid w:val="4B702A6C"/>
    <w:rsid w:val="55630990"/>
    <w:rsid w:val="5A3469C0"/>
    <w:rsid w:val="5AE11CDC"/>
    <w:rsid w:val="5AEC1BD4"/>
    <w:rsid w:val="5ECE010D"/>
    <w:rsid w:val="61070171"/>
    <w:rsid w:val="63F34D6C"/>
    <w:rsid w:val="66D83D00"/>
    <w:rsid w:val="6BDB2263"/>
    <w:rsid w:val="6CB05102"/>
    <w:rsid w:val="6DA77053"/>
    <w:rsid w:val="743E6DE2"/>
    <w:rsid w:val="7786347A"/>
    <w:rsid w:val="77C13657"/>
    <w:rsid w:val="77C46917"/>
    <w:rsid w:val="79E85921"/>
    <w:rsid w:val="7C606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5"/>
    <w:semiHidden/>
    <w:unhideWhenUsed/>
    <w:qFormat/>
    <w:uiPriority w:val="99"/>
    <w:pPr>
      <w:spacing w:after="0"/>
    </w:pPr>
    <w:rPr>
      <w:sz w:val="18"/>
      <w:szCs w:val="18"/>
    </w:rPr>
  </w:style>
  <w:style w:type="paragraph" w:styleId="5">
    <w:name w:val="footer"/>
    <w:basedOn w:val="1"/>
    <w:link w:val="13"/>
    <w:unhideWhenUsed/>
    <w:qFormat/>
    <w:uiPriority w:val="99"/>
    <w:pPr>
      <w:tabs>
        <w:tab w:val="center" w:pos="4153"/>
        <w:tab w:val="right" w:pos="8306"/>
      </w:tabs>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rFonts w:ascii="Tahoma" w:hAnsi="Tahoma"/>
      <w:sz w:val="18"/>
      <w:szCs w:val="18"/>
    </w:rPr>
  </w:style>
  <w:style w:type="character" w:customStyle="1" w:styleId="13">
    <w:name w:val="页脚 Char"/>
    <w:basedOn w:val="9"/>
    <w:link w:val="5"/>
    <w:qFormat/>
    <w:uiPriority w:val="99"/>
    <w:rPr>
      <w:rFonts w:ascii="Tahoma" w:hAnsi="Tahoma"/>
      <w:sz w:val="18"/>
      <w:szCs w:val="18"/>
    </w:rPr>
  </w:style>
  <w:style w:type="character" w:customStyle="1" w:styleId="14">
    <w:name w:val="apple-converted-space"/>
    <w:basedOn w:val="9"/>
    <w:qFormat/>
    <w:uiPriority w:val="0"/>
  </w:style>
  <w:style w:type="character" w:customStyle="1" w:styleId="15">
    <w:name w:val="批注框文本 Char"/>
    <w:basedOn w:val="9"/>
    <w:link w:val="4"/>
    <w:semiHidden/>
    <w:qFormat/>
    <w:uiPriority w:val="99"/>
    <w:rPr>
      <w:rFonts w:ascii="Tahoma" w:hAnsi="Tahoma"/>
      <w:sz w:val="18"/>
      <w:szCs w:val="18"/>
    </w:rPr>
  </w:style>
  <w:style w:type="character" w:customStyle="1" w:styleId="16">
    <w:name w:val="日期 Char"/>
    <w:basedOn w:val="9"/>
    <w:link w:val="3"/>
    <w:semiHidden/>
    <w:qFormat/>
    <w:uiPriority w:val="99"/>
    <w:rPr>
      <w:rFonts w:ascii="Tahoma" w:hAnsi="Tahoma"/>
    </w:rPr>
  </w:style>
  <w:style w:type="table" w:customStyle="1" w:styleId="17">
    <w:name w:val="Table Normal"/>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8">
    <w:name w:val="Normal (Web)76988347"/>
    <w:next w:val="6"/>
    <w:qFormat/>
    <w:uiPriority w:val="0"/>
    <w:pPr>
      <w:spacing w:before="102" w:after="102" w:line="1099" w:lineRule="atLeast"/>
      <w:ind w:firstLine="419"/>
      <w:textAlignment w:val="baseline"/>
    </w:pPr>
    <w:rPr>
      <w:rFonts w:ascii="方正黑体_GBK" w:hAnsi="方正黑体_GBK" w:eastAsia="方正黑体_GBK" w:cs="Times New Roman"/>
      <w:sz w:val="24"/>
      <w:szCs w:val="24"/>
      <w:lang w:val="en-US" w:eastAsia="zh-CN" w:bidi="ar-SA"/>
    </w:rPr>
  </w:style>
  <w:style w:type="paragraph" w:customStyle="1" w:styleId="19">
    <w:name w:val="引文目录1"/>
    <w:basedOn w:val="1"/>
    <w:next w:val="1"/>
    <w:qFormat/>
    <w:uiPriority w:val="0"/>
    <w:pPr>
      <w:widowControl w:val="0"/>
      <w:adjustRightInd/>
      <w:snapToGrid/>
      <w:spacing w:after="0"/>
      <w:ind w:left="420" w:leftChars="200"/>
      <w:jc w:val="both"/>
    </w:pPr>
    <w:rPr>
      <w:rFonts w:ascii="Times New Roman" w:hAnsi="Times New Roman" w:eastAsia="宋体" w:cs="Times New Roman"/>
      <w:kern w:val="2"/>
      <w:sz w:val="21"/>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752</Words>
  <Characters>4290</Characters>
  <Lines>35</Lines>
  <Paragraphs>10</Paragraphs>
  <TotalTime>7</TotalTime>
  <ScaleCrop>false</ScaleCrop>
  <LinksUpToDate>false</LinksUpToDate>
  <CharactersWithSpaces>5032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lenovo</cp:lastModifiedBy>
  <cp:lastPrinted>2022-09-15T07:23:00Z</cp:lastPrinted>
  <dcterms:modified xsi:type="dcterms:W3CDTF">2024-11-29T01:20:36Z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