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4B6D3">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1D24E035">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3584B312">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1F285EA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30421F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7C6CE1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南银理财珠联璧合日日聚鑫现金管理类公募人民币理财产品</w:t>
            </w:r>
          </w:p>
        </w:tc>
      </w:tr>
      <w:tr w14:paraId="23ED770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C3CEC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38368B3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开放式、固定收益类、公募、净值型</w:t>
            </w:r>
          </w:p>
        </w:tc>
      </w:tr>
      <w:tr w14:paraId="2C2E4C7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288E718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25A1B34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039838D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5743F7F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2F1D20A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ZC108691944642</w:t>
            </w:r>
          </w:p>
        </w:tc>
      </w:tr>
      <w:tr w14:paraId="2190131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392A53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37F490F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Z7003220000008(投资者可依据该编码在中国理财网www.chinawealth.com.cn查询理财产品相关信息）</w:t>
            </w:r>
          </w:p>
        </w:tc>
      </w:tr>
      <w:tr w14:paraId="1E353F2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D95A0B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0D5C0580">
            <w:pPr>
              <w:spacing w:line="200" w:lineRule="exact"/>
            </w:pPr>
            <w:r>
              <w:rPr>
                <w:rFonts w:ascii="方正黑体_GBK" w:hAnsi="方正黑体_GBK" w:eastAsia="方正黑体_GBK" w:cs="宋体"/>
                <w:sz w:val="18"/>
                <w:szCs w:val="18"/>
              </w:rPr>
              <w:t>A份额：A20001</w:t>
            </w:r>
          </w:p>
          <w:p w14:paraId="44F06CCB">
            <w:pPr>
              <w:spacing w:line="200" w:lineRule="exact"/>
            </w:pPr>
            <w:r>
              <w:rPr>
                <w:rFonts w:ascii="方正黑体_GBK" w:hAnsi="方正黑体_GBK" w:eastAsia="方正黑体_GBK" w:cs="宋体"/>
                <w:sz w:val="18"/>
                <w:szCs w:val="18"/>
              </w:rPr>
              <w:t>B份额：A21001</w:t>
            </w:r>
          </w:p>
          <w:p w14:paraId="7FEBB9D4">
            <w:pPr>
              <w:spacing w:line="200" w:lineRule="exact"/>
            </w:pPr>
            <w:r>
              <w:rPr>
                <w:rFonts w:ascii="方正黑体_GBK" w:hAnsi="方正黑体_GBK" w:eastAsia="方正黑体_GBK" w:cs="宋体"/>
                <w:sz w:val="18"/>
                <w:szCs w:val="18"/>
              </w:rPr>
              <w:t>C份额：A23001</w:t>
            </w:r>
          </w:p>
          <w:p w14:paraId="7CB9A39D">
            <w:pPr>
              <w:spacing w:line="200" w:lineRule="exact"/>
            </w:pPr>
            <w:r>
              <w:rPr>
                <w:rFonts w:ascii="方正黑体_GBK" w:hAnsi="方正黑体_GBK" w:eastAsia="方正黑体_GBK" w:cs="宋体"/>
                <w:sz w:val="18"/>
                <w:szCs w:val="18"/>
              </w:rPr>
              <w:t>D份额：A24001</w:t>
            </w:r>
          </w:p>
          <w:p w14:paraId="708EDEB0">
            <w:pPr>
              <w:spacing w:line="200" w:lineRule="exact"/>
            </w:pPr>
            <w:r>
              <w:rPr>
                <w:rFonts w:ascii="方正黑体_GBK" w:hAnsi="方正黑体_GBK" w:eastAsia="方正黑体_GBK" w:cs="宋体"/>
                <w:sz w:val="18"/>
                <w:szCs w:val="18"/>
              </w:rPr>
              <w:t>E份额：A25001</w:t>
            </w:r>
          </w:p>
          <w:p w14:paraId="65712456">
            <w:pPr>
              <w:spacing w:line="200" w:lineRule="exact"/>
            </w:pPr>
            <w:r>
              <w:rPr>
                <w:rFonts w:ascii="方正黑体_GBK" w:hAnsi="方正黑体_GBK" w:eastAsia="方正黑体_GBK" w:cs="宋体"/>
                <w:sz w:val="18"/>
                <w:szCs w:val="18"/>
              </w:rPr>
              <w:t>F份额：A26001</w:t>
            </w:r>
          </w:p>
          <w:p w14:paraId="5C11B2EF">
            <w:pPr>
              <w:spacing w:line="200" w:lineRule="exact"/>
            </w:pPr>
            <w:r>
              <w:rPr>
                <w:rFonts w:ascii="方正黑体_GBK" w:hAnsi="方正黑体_GBK" w:eastAsia="方正黑体_GBK" w:cs="宋体"/>
                <w:sz w:val="18"/>
                <w:szCs w:val="18"/>
              </w:rPr>
              <w:t>G份额：A27001</w:t>
            </w:r>
          </w:p>
          <w:p w14:paraId="16117241">
            <w:pPr>
              <w:spacing w:line="200" w:lineRule="exact"/>
            </w:pPr>
            <w:r>
              <w:rPr>
                <w:rFonts w:ascii="方正黑体_GBK" w:hAnsi="方正黑体_GBK" w:eastAsia="方正黑体_GBK" w:cs="宋体"/>
                <w:b/>
                <w:sz w:val="18"/>
                <w:szCs w:val="18"/>
              </w:rPr>
              <w:t>注：本理财产品各份额针对不同的销售机构及客群进行销售，设置有不同的销售费和管理费，具体客群划分标准以销售机构为准。</w:t>
            </w:r>
          </w:p>
        </w:tc>
      </w:tr>
      <w:tr w14:paraId="7E96AC4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24A3B40">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理财期限</w:t>
            </w:r>
          </w:p>
        </w:tc>
        <w:tc>
          <w:tcPr>
            <w:tcW w:w="5543" w:type="dxa"/>
            <w:tcBorders>
              <w:top w:val="single" w:color="auto" w:sz="4" w:space="0"/>
              <w:left w:val="nil"/>
              <w:bottom w:val="single" w:color="auto" w:sz="4" w:space="0"/>
              <w:right w:val="single" w:color="auto" w:sz="4" w:space="0"/>
              <w:tl2br w:val="nil"/>
              <w:tr2bl w:val="nil"/>
            </w:tcBorders>
            <w:vAlign w:val="center"/>
          </w:tcPr>
          <w:p w14:paraId="5C127DC6">
            <w:pPr>
              <w:keepNext w:val="0"/>
              <w:keepLines w:val="0"/>
              <w:pageBreakBefore w:val="0"/>
              <w:widowControl/>
              <w:suppressLineNumbers w:val="0"/>
              <w:suppressAutoHyphens w:val="0"/>
              <w:spacing w:line="200" w:lineRule="exact"/>
              <w:jc w:val="left"/>
              <w:textAlignment w:val="center"/>
              <w:rPr>
                <w:rFonts w:ascii="方正黑体_GBK" w:hAnsi="方正黑体_GBK" w:eastAsia="方正黑体_GBK"/>
                <w:sz w:val="18"/>
                <w:szCs w:val="18"/>
              </w:rPr>
            </w:pPr>
            <w:r>
              <w:rPr>
                <w:rFonts w:hint="eastAsia" w:ascii="方正黑体_GBK" w:hAnsi="方正黑体_GBK" w:eastAsia="方正黑体_GBK"/>
                <w:kern w:val="0"/>
                <w:sz w:val="18"/>
                <w:szCs w:val="18"/>
              </w:rPr>
              <w:t>10年（管理人有权提前终止或延期终止）</w:t>
            </w:r>
          </w:p>
        </w:tc>
      </w:tr>
      <w:tr w14:paraId="313C586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3933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5CCFF1AB">
            <w:pPr>
              <w:spacing w:line="200" w:lineRule="exact"/>
            </w:pPr>
            <w:r>
              <w:rPr>
                <w:rFonts w:ascii="方正黑体_GBK" w:hAnsi="方正黑体_GBK" w:eastAsia="方正黑体_GBK" w:cs="宋体"/>
                <w:sz w:val="18"/>
                <w:szCs w:val="18"/>
              </w:rPr>
              <w:t>全国</w:t>
            </w:r>
          </w:p>
        </w:tc>
      </w:tr>
      <w:tr w14:paraId="79738A5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10EAC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770758E3">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583F11D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1E82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4618474E">
            <w:pPr>
              <w:spacing w:line="200" w:lineRule="exact"/>
              <w:jc w:val="left"/>
            </w:pPr>
            <w:r>
              <w:rPr>
                <w:rFonts w:ascii="方正黑体_GBK" w:hAnsi="方正黑体_GBK" w:eastAsia="方正黑体_GBK" w:cs="宋体"/>
                <w:sz w:val="18"/>
                <w:szCs w:val="18"/>
              </w:rPr>
              <w:t>产品规模上限为1000亿（因收益分配导致产品规模超过存续规模上限的除外）</w:t>
            </w:r>
          </w:p>
          <w:p w14:paraId="4A9AF83D">
            <w:pPr>
              <w:spacing w:line="200" w:lineRule="exact"/>
            </w:pPr>
            <w:r>
              <w:rPr>
                <w:rFonts w:ascii="方正黑体_GBK" w:hAnsi="方正黑体_GBK" w:eastAsia="方正黑体_GBK" w:cs="宋体"/>
                <w:sz w:val="18"/>
                <w:szCs w:val="18"/>
              </w:rPr>
              <w:t>（管理人有权对上述规模上限根据实际业务需求进行公告调整）</w:t>
            </w:r>
          </w:p>
        </w:tc>
      </w:tr>
      <w:tr w14:paraId="4EB2A27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E5870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782F872C">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低风险</w:t>
            </w:r>
            <w:r>
              <w:rPr>
                <w:rFonts w:ascii="方正黑体_GBK" w:hAnsi="方正黑体_GBK" w:eastAsia="方正黑体_GBK" w:cs="宋体"/>
                <w:sz w:val="18"/>
                <w:szCs w:val="18"/>
              </w:rPr>
              <w:t>（本风险等级为管理人内部风险评估结果，仅供参考）。</w:t>
            </w:r>
          </w:p>
          <w:p w14:paraId="6666E83D">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614F312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4672A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7506EBC8">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5456B1CF">
            <w:pPr>
              <w:spacing w:line="200" w:lineRule="exact"/>
            </w:pPr>
            <w:r>
              <w:rPr>
                <w:rFonts w:ascii="方正黑体_GBK" w:hAnsi="方正黑体_GBK" w:eastAsia="方正黑体_GBK" w:cs="宋体"/>
                <w:sz w:val="18"/>
                <w:szCs w:val="18"/>
              </w:rPr>
              <w:t>A份额：所有销售机构的所有客户</w:t>
            </w:r>
          </w:p>
          <w:p w14:paraId="6C1B849F">
            <w:pPr>
              <w:spacing w:line="200" w:lineRule="exact"/>
            </w:pPr>
            <w:r>
              <w:rPr>
                <w:rFonts w:ascii="方正黑体_GBK" w:hAnsi="方正黑体_GBK" w:eastAsia="方正黑体_GBK" w:cs="宋体"/>
                <w:sz w:val="18"/>
                <w:szCs w:val="18"/>
              </w:rPr>
              <w:t>B份额：南京银行等的新客和新资金等客户</w:t>
            </w:r>
          </w:p>
          <w:p w14:paraId="5B2349B7">
            <w:pPr>
              <w:spacing w:line="200" w:lineRule="exact"/>
            </w:pPr>
            <w:r>
              <w:rPr>
                <w:rFonts w:ascii="方正黑体_GBK" w:hAnsi="方正黑体_GBK" w:eastAsia="方正黑体_GBK" w:cs="宋体"/>
                <w:sz w:val="18"/>
                <w:szCs w:val="18"/>
              </w:rPr>
              <w:t>C份额：百信银行等的所有客户</w:t>
            </w:r>
          </w:p>
          <w:p w14:paraId="33995807">
            <w:pPr>
              <w:spacing w:line="200" w:lineRule="exact"/>
            </w:pPr>
            <w:r>
              <w:rPr>
                <w:rFonts w:ascii="方正黑体_GBK" w:hAnsi="方正黑体_GBK" w:eastAsia="方正黑体_GBK" w:cs="宋体"/>
                <w:sz w:val="18"/>
                <w:szCs w:val="18"/>
              </w:rPr>
              <w:t>D份额：紫金农商银行等的机构客户</w:t>
            </w:r>
          </w:p>
          <w:p w14:paraId="2CC73C3E">
            <w:pPr>
              <w:spacing w:line="200" w:lineRule="exact"/>
            </w:pPr>
            <w:r>
              <w:rPr>
                <w:rFonts w:ascii="方正黑体_GBK" w:hAnsi="方正黑体_GBK" w:eastAsia="方正黑体_GBK" w:cs="宋体"/>
                <w:sz w:val="18"/>
                <w:szCs w:val="18"/>
              </w:rPr>
              <w:t>E份额：网商银行等的客户</w:t>
            </w:r>
          </w:p>
          <w:p w14:paraId="4AFC97F2">
            <w:pPr>
              <w:spacing w:line="200" w:lineRule="exact"/>
            </w:pPr>
            <w:r>
              <w:rPr>
                <w:rFonts w:ascii="方正黑体_GBK" w:hAnsi="方正黑体_GBK" w:eastAsia="方正黑体_GBK" w:cs="宋体"/>
                <w:sz w:val="18"/>
                <w:szCs w:val="18"/>
              </w:rPr>
              <w:t>F份额：南京银行的所有客户</w:t>
            </w:r>
          </w:p>
          <w:p w14:paraId="6D01FC21">
            <w:pPr>
              <w:spacing w:line="200" w:lineRule="exact"/>
            </w:pPr>
            <w:r>
              <w:rPr>
                <w:rFonts w:ascii="方正黑体_GBK" w:hAnsi="方正黑体_GBK" w:eastAsia="方正黑体_GBK" w:cs="宋体"/>
                <w:sz w:val="18"/>
                <w:szCs w:val="18"/>
              </w:rPr>
              <w:t>G份额：南京银行股份有限公司特邀</w:t>
            </w:r>
            <w:r>
              <w:rPr>
                <w:rFonts w:hint="eastAsia" w:cs="宋体"/>
                <w:sz w:val="18"/>
                <w:szCs w:val="18"/>
                <w:lang w:val="en-US" w:eastAsia="zh-CN"/>
              </w:rPr>
              <w:t>新资金</w:t>
            </w:r>
            <w:r>
              <w:rPr>
                <w:rFonts w:ascii="方正黑体_GBK" w:hAnsi="方正黑体_GBK" w:eastAsia="方正黑体_GBK" w:cs="宋体"/>
                <w:sz w:val="18"/>
                <w:szCs w:val="18"/>
              </w:rPr>
              <w:t>客户</w:t>
            </w:r>
          </w:p>
          <w:p w14:paraId="2E187FDC">
            <w:pPr>
              <w:spacing w:line="200" w:lineRule="exact"/>
            </w:pPr>
            <w:r>
              <w:rPr>
                <w:rFonts w:ascii="方正黑体_GBK" w:hAnsi="方正黑体_GBK" w:eastAsia="方正黑体_GBK" w:cs="宋体"/>
                <w:b/>
                <w:sz w:val="18"/>
                <w:szCs w:val="18"/>
              </w:rPr>
              <w:t>注：本理财产品各份额针对不同的销售机构及客群进行销售，设置有不同的销售费和管理费，具体客群划分标准以销售机构为准。</w:t>
            </w:r>
          </w:p>
        </w:tc>
      </w:tr>
      <w:tr w14:paraId="2171997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C4DFF9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5F9DF659">
            <w:pPr>
              <w:spacing w:line="200" w:lineRule="exact"/>
            </w:pPr>
            <w:r>
              <w:rPr>
                <w:rFonts w:ascii="方正黑体_GBK" w:hAnsi="方正黑体_GBK" w:eastAsia="方正黑体_GBK" w:cs="宋体"/>
                <w:sz w:val="18"/>
                <w:szCs w:val="18"/>
              </w:rPr>
              <w:t>A份额：</w:t>
            </w:r>
          </w:p>
          <w:p w14:paraId="0243CBFE">
            <w:pPr>
              <w:spacing w:line="200" w:lineRule="exact"/>
            </w:pPr>
            <w:r>
              <w:rPr>
                <w:rFonts w:ascii="方正黑体_GBK" w:hAnsi="方正黑体_GBK" w:eastAsia="方正黑体_GBK" w:cs="宋体"/>
                <w:sz w:val="18"/>
                <w:szCs w:val="18"/>
              </w:rPr>
              <w:t>个人投资者投资起点金额1元人民币，以1元的整数倍递增；</w:t>
            </w:r>
          </w:p>
          <w:p w14:paraId="77A79BDC">
            <w:pPr>
              <w:spacing w:line="200" w:lineRule="exact"/>
            </w:pPr>
            <w:r>
              <w:rPr>
                <w:rFonts w:ascii="方正黑体_GBK" w:hAnsi="方正黑体_GBK" w:eastAsia="方正黑体_GBK" w:cs="宋体"/>
                <w:sz w:val="18"/>
                <w:szCs w:val="18"/>
              </w:rPr>
              <w:t>机构投资者投资起点金额1元人民币，以1元的整数倍递增；</w:t>
            </w:r>
          </w:p>
          <w:p w14:paraId="4C18A0C2">
            <w:pPr>
              <w:spacing w:line="200" w:lineRule="exact"/>
            </w:pPr>
            <w:r>
              <w:rPr>
                <w:rFonts w:ascii="方正黑体_GBK" w:hAnsi="方正黑体_GBK" w:eastAsia="方正黑体_GBK" w:cs="宋体"/>
                <w:sz w:val="18"/>
                <w:szCs w:val="18"/>
              </w:rPr>
              <w:t>B份额：</w:t>
            </w:r>
          </w:p>
          <w:p w14:paraId="6A342061">
            <w:pPr>
              <w:spacing w:line="200" w:lineRule="exact"/>
            </w:pPr>
            <w:r>
              <w:rPr>
                <w:rFonts w:ascii="方正黑体_GBK" w:hAnsi="方正黑体_GBK" w:eastAsia="方正黑体_GBK" w:cs="宋体"/>
                <w:sz w:val="18"/>
                <w:szCs w:val="18"/>
              </w:rPr>
              <w:t>个人投资者投资起点金额1元人民币，以1元的整数倍递增；</w:t>
            </w:r>
          </w:p>
          <w:p w14:paraId="02E4C966">
            <w:pPr>
              <w:spacing w:line="200" w:lineRule="exact"/>
            </w:pPr>
            <w:r>
              <w:rPr>
                <w:rFonts w:ascii="方正黑体_GBK" w:hAnsi="方正黑体_GBK" w:eastAsia="方正黑体_GBK" w:cs="宋体"/>
                <w:sz w:val="18"/>
                <w:szCs w:val="18"/>
              </w:rPr>
              <w:t>C份额/E份额/F份额：</w:t>
            </w:r>
          </w:p>
          <w:p w14:paraId="34AC32D7">
            <w:pPr>
              <w:spacing w:line="200" w:lineRule="exact"/>
            </w:pPr>
            <w:r>
              <w:rPr>
                <w:rFonts w:ascii="方正黑体_GBK" w:hAnsi="方正黑体_GBK" w:eastAsia="方正黑体_GBK" w:cs="宋体"/>
                <w:sz w:val="18"/>
                <w:szCs w:val="18"/>
              </w:rPr>
              <w:t>个人投资者投资起点金额0.01元人民币，以0.01元的整数倍递增；</w:t>
            </w:r>
          </w:p>
          <w:p w14:paraId="69A65C3A">
            <w:pPr>
              <w:spacing w:line="200" w:lineRule="exact"/>
            </w:pPr>
            <w:r>
              <w:rPr>
                <w:rFonts w:ascii="方正黑体_GBK" w:hAnsi="方正黑体_GBK" w:eastAsia="方正黑体_GBK" w:cs="宋体"/>
                <w:sz w:val="18"/>
                <w:szCs w:val="18"/>
              </w:rPr>
              <w:t>机构投资者投资起点金额0.01元人民币，以0.01元的整数倍递增；</w:t>
            </w:r>
          </w:p>
          <w:p w14:paraId="747C8B2E">
            <w:pPr>
              <w:spacing w:line="200" w:lineRule="exact"/>
            </w:pPr>
            <w:r>
              <w:rPr>
                <w:rFonts w:ascii="方正黑体_GBK" w:hAnsi="方正黑体_GBK" w:eastAsia="方正黑体_GBK" w:cs="宋体"/>
                <w:sz w:val="18"/>
                <w:szCs w:val="18"/>
              </w:rPr>
              <w:t>D份额：</w:t>
            </w:r>
          </w:p>
          <w:p w14:paraId="599AF450">
            <w:pPr>
              <w:spacing w:line="200" w:lineRule="exact"/>
            </w:pPr>
            <w:r>
              <w:rPr>
                <w:rFonts w:ascii="方正黑体_GBK" w:hAnsi="方正黑体_GBK" w:eastAsia="方正黑体_GBK" w:cs="宋体"/>
                <w:sz w:val="18"/>
                <w:szCs w:val="18"/>
              </w:rPr>
              <w:t>机构投资者投资起点金额1元人民币，以1元的整数倍递增；</w:t>
            </w:r>
          </w:p>
          <w:p w14:paraId="596B1F56">
            <w:pPr>
              <w:spacing w:line="200" w:lineRule="exact"/>
            </w:pPr>
            <w:r>
              <w:rPr>
                <w:rFonts w:ascii="方正黑体_GBK" w:hAnsi="方正黑体_GBK" w:eastAsia="方正黑体_GBK" w:cs="宋体"/>
                <w:sz w:val="18"/>
                <w:szCs w:val="18"/>
              </w:rPr>
              <w:t>G份额：</w:t>
            </w:r>
          </w:p>
          <w:p w14:paraId="6571AEA3">
            <w:pPr>
              <w:spacing w:line="200" w:lineRule="exact"/>
            </w:pPr>
            <w:r>
              <w:rPr>
                <w:rFonts w:ascii="方正黑体_GBK" w:hAnsi="方正黑体_GBK" w:eastAsia="方正黑体_GBK" w:cs="宋体"/>
                <w:sz w:val="18"/>
                <w:szCs w:val="18"/>
              </w:rPr>
              <w:t>个人投资者投资起点金额1元人民币，以1元的整数倍递增；</w:t>
            </w:r>
          </w:p>
          <w:p w14:paraId="49211496">
            <w:pPr>
              <w:spacing w:line="200" w:lineRule="exact"/>
            </w:pPr>
            <w:r>
              <w:rPr>
                <w:rFonts w:ascii="方正黑体_GBK" w:hAnsi="方正黑体_GBK" w:eastAsia="方正黑体_GBK" w:cs="宋体"/>
                <w:sz w:val="18"/>
                <w:szCs w:val="18"/>
              </w:rPr>
              <w:t>机构投资者投资起点金额</w:t>
            </w:r>
            <w:r>
              <w:rPr>
                <w:rFonts w:hint="eastAsia" w:cs="宋体"/>
                <w:sz w:val="18"/>
                <w:szCs w:val="18"/>
                <w:lang w:val="en-US" w:eastAsia="zh-CN"/>
              </w:rPr>
              <w:t>100</w:t>
            </w:r>
            <w:r>
              <w:rPr>
                <w:rFonts w:ascii="方正黑体_GBK" w:hAnsi="方正黑体_GBK" w:eastAsia="方正黑体_GBK" w:cs="宋体"/>
                <w:sz w:val="18"/>
                <w:szCs w:val="18"/>
              </w:rPr>
              <w:t>万元人民币，以1元的整数倍递增；</w:t>
            </w:r>
          </w:p>
          <w:p w14:paraId="22AC3646">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33717BB6">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0B51AC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59A246B">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单个投资者份额上限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5C44B06A">
            <w:pPr>
              <w:spacing w:line="200" w:lineRule="exact"/>
            </w:pPr>
            <w:r>
              <w:rPr>
                <w:rFonts w:ascii="方正黑体_GBK" w:hAnsi="方正黑体_GBK" w:eastAsia="方正黑体_GBK" w:cs="宋体"/>
                <w:sz w:val="18"/>
                <w:szCs w:val="18"/>
              </w:rPr>
              <w:t>本理财产品认购期不设置单个投资者份额上限，成立后单个投资者份额上限规则如下：</w:t>
            </w:r>
          </w:p>
          <w:p w14:paraId="7CB619F3">
            <w:pPr>
              <w:spacing w:line="200" w:lineRule="exact"/>
            </w:pPr>
            <w:r>
              <w:rPr>
                <w:rFonts w:ascii="方正黑体_GBK" w:hAnsi="方正黑体_GBK" w:eastAsia="方正黑体_GBK" w:cs="宋体"/>
                <w:sz w:val="18"/>
                <w:szCs w:val="18"/>
              </w:rPr>
              <w:t>A/C/E份额：</w:t>
            </w:r>
          </w:p>
          <w:p w14:paraId="3500E904">
            <w:pPr>
              <w:spacing w:line="200" w:lineRule="exact"/>
            </w:pPr>
            <w:r>
              <w:rPr>
                <w:rFonts w:ascii="方正黑体_GBK" w:hAnsi="方正黑体_GBK" w:eastAsia="方正黑体_GBK" w:cs="宋体"/>
                <w:sz w:val="18"/>
                <w:szCs w:val="18"/>
              </w:rPr>
              <w:t>单个个人投资者份额上限为3亿份（含收益分配的份额）；</w:t>
            </w:r>
          </w:p>
          <w:p w14:paraId="1DCD205B">
            <w:pPr>
              <w:spacing w:line="200" w:lineRule="exact"/>
            </w:pPr>
            <w:r>
              <w:rPr>
                <w:rFonts w:ascii="方正黑体_GBK" w:hAnsi="方正黑体_GBK" w:eastAsia="方正黑体_GBK" w:cs="宋体"/>
                <w:sz w:val="18"/>
                <w:szCs w:val="18"/>
              </w:rPr>
              <w:t>单个机构投资者份额上限为3亿份（含收益分配的份额）；</w:t>
            </w:r>
          </w:p>
          <w:p w14:paraId="10CD4CC3">
            <w:pPr>
              <w:spacing w:line="200" w:lineRule="exact"/>
            </w:pPr>
            <w:r>
              <w:rPr>
                <w:rFonts w:ascii="方正黑体_GBK" w:hAnsi="方正黑体_GBK" w:eastAsia="方正黑体_GBK" w:cs="宋体"/>
                <w:sz w:val="18"/>
                <w:szCs w:val="18"/>
              </w:rPr>
              <w:t>B份额：</w:t>
            </w:r>
          </w:p>
          <w:p w14:paraId="636EAA5E">
            <w:pPr>
              <w:spacing w:line="200" w:lineRule="exact"/>
            </w:pPr>
            <w:r>
              <w:rPr>
                <w:rFonts w:ascii="方正黑体_GBK" w:hAnsi="方正黑体_GBK" w:eastAsia="方正黑体_GBK" w:cs="宋体"/>
                <w:sz w:val="18"/>
                <w:szCs w:val="18"/>
              </w:rPr>
              <w:t>单个个人投资者份额上限为3亿份（含收益分配的份额）；</w:t>
            </w:r>
          </w:p>
          <w:p w14:paraId="2AD79DC7">
            <w:pPr>
              <w:spacing w:line="200" w:lineRule="exact"/>
            </w:pPr>
            <w:r>
              <w:rPr>
                <w:rFonts w:ascii="方正黑体_GBK" w:hAnsi="方正黑体_GBK" w:eastAsia="方正黑体_GBK" w:cs="宋体"/>
                <w:sz w:val="18"/>
                <w:szCs w:val="18"/>
              </w:rPr>
              <w:t>D份额：</w:t>
            </w:r>
          </w:p>
          <w:p w14:paraId="63698216">
            <w:pPr>
              <w:spacing w:line="200" w:lineRule="exact"/>
            </w:pPr>
            <w:r>
              <w:rPr>
                <w:rFonts w:ascii="方正黑体_GBK" w:hAnsi="方正黑体_GBK" w:eastAsia="方正黑体_GBK" w:cs="宋体"/>
                <w:sz w:val="18"/>
                <w:szCs w:val="18"/>
              </w:rPr>
              <w:t>单个机构投资者份额上限为3亿份（含收益分配的份额）；</w:t>
            </w:r>
          </w:p>
          <w:p w14:paraId="400F8BDF">
            <w:pPr>
              <w:spacing w:line="200" w:lineRule="exact"/>
            </w:pPr>
            <w:r>
              <w:rPr>
                <w:rFonts w:ascii="方正黑体_GBK" w:hAnsi="方正黑体_GBK" w:eastAsia="方正黑体_GBK" w:cs="宋体"/>
                <w:sz w:val="18"/>
                <w:szCs w:val="18"/>
              </w:rPr>
              <w:t>F份额：</w:t>
            </w:r>
          </w:p>
          <w:p w14:paraId="5437B932">
            <w:pPr>
              <w:spacing w:line="200" w:lineRule="exact"/>
            </w:pPr>
            <w:r>
              <w:rPr>
                <w:rFonts w:ascii="方正黑体_GBK" w:hAnsi="方正黑体_GBK" w:eastAsia="方正黑体_GBK" w:cs="宋体"/>
                <w:sz w:val="18"/>
                <w:szCs w:val="18"/>
              </w:rPr>
              <w:t>暂不设置单个投资者份额上限；</w:t>
            </w:r>
          </w:p>
          <w:p w14:paraId="4FD4D3F3">
            <w:pPr>
              <w:spacing w:line="200" w:lineRule="exact"/>
            </w:pPr>
            <w:r>
              <w:rPr>
                <w:rFonts w:ascii="方正黑体_GBK" w:hAnsi="方正黑体_GBK" w:eastAsia="方正黑体_GBK" w:cs="宋体"/>
                <w:sz w:val="18"/>
                <w:szCs w:val="18"/>
              </w:rPr>
              <w:t>G份额：</w:t>
            </w:r>
          </w:p>
          <w:p w14:paraId="0BC18EB8">
            <w:pPr>
              <w:spacing w:line="200" w:lineRule="exact"/>
            </w:pPr>
            <w:r>
              <w:rPr>
                <w:rFonts w:ascii="方正黑体_GBK" w:hAnsi="方正黑体_GBK" w:eastAsia="方正黑体_GBK" w:cs="宋体"/>
                <w:sz w:val="18"/>
                <w:szCs w:val="18"/>
              </w:rPr>
              <w:t>单个机构投资者份额上限为10亿份（含收益分配的份额）；</w:t>
            </w:r>
          </w:p>
          <w:p w14:paraId="4286C897">
            <w:pPr>
              <w:spacing w:line="200" w:lineRule="exact"/>
            </w:pPr>
            <w:r>
              <w:rPr>
                <w:rFonts w:ascii="方正黑体_GBK" w:hAnsi="方正黑体_GBK" w:eastAsia="方正黑体_GBK" w:cs="宋体"/>
                <w:sz w:val="18"/>
                <w:szCs w:val="18"/>
              </w:rPr>
              <w:t>因收益分配导致份额被动超过上述份额上限的除外。</w:t>
            </w:r>
          </w:p>
          <w:p w14:paraId="7E6FBE7D">
            <w:pPr>
              <w:spacing w:line="200" w:lineRule="exact"/>
            </w:pPr>
            <w:r>
              <w:rPr>
                <w:rFonts w:ascii="方正黑体_GBK" w:hAnsi="方正黑体_GBK" w:eastAsia="方正黑体_GBK" w:cs="宋体"/>
                <w:sz w:val="18"/>
                <w:szCs w:val="18"/>
              </w:rPr>
              <w:t>注：</w:t>
            </w:r>
          </w:p>
          <w:p w14:paraId="78FBFA13">
            <w:pPr>
              <w:spacing w:line="200" w:lineRule="exact"/>
            </w:pPr>
            <w:r>
              <w:rPr>
                <w:rFonts w:ascii="方正黑体_GBK" w:hAnsi="方正黑体_GBK" w:eastAsia="方正黑体_GBK" w:cs="宋体"/>
                <w:sz w:val="18"/>
                <w:szCs w:val="18"/>
              </w:rPr>
              <w:t>1.该单个投资者份额上限管理人有权进行调整或取消，并在调整或取消前至少3个工作日公告；</w:t>
            </w:r>
          </w:p>
          <w:p w14:paraId="1331C85C">
            <w:pPr>
              <w:spacing w:line="200" w:lineRule="exact"/>
            </w:pPr>
            <w:r>
              <w:rPr>
                <w:rFonts w:ascii="方正黑体_GBK" w:hAnsi="方正黑体_GBK" w:eastAsia="方正黑体_GBK" w:cs="宋体"/>
                <w:sz w:val="18"/>
                <w:szCs w:val="18"/>
              </w:rPr>
              <w:t>2.认购期认购量超过单个投资者份额上限的，成立后可继续持有并获得收益分配，但持有份额超过单个投资者份额上限的情况下无法新增申购；</w:t>
            </w:r>
          </w:p>
          <w:p w14:paraId="0A963647">
            <w:pPr>
              <w:spacing w:line="200" w:lineRule="exact"/>
            </w:pPr>
            <w:r>
              <w:rPr>
                <w:rFonts w:ascii="方正黑体_GBK" w:hAnsi="方正黑体_GBK" w:eastAsia="方正黑体_GBK" w:cs="宋体"/>
                <w:b/>
                <w:sz w:val="18"/>
                <w:szCs w:val="18"/>
              </w:rPr>
              <w:t>3.当投资者发起的最近一笔申购申请将导致投资者持有本理财产品份额超过投资者份额上限时，销售机构或管理人有权拒绝投资者该笔申购申请，投资者需重新进行资金安排。</w:t>
            </w:r>
          </w:p>
        </w:tc>
      </w:tr>
      <w:tr w14:paraId="72F3386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CEDF1F5">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单日单户赎回份额上限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3502B82D">
            <w:pPr>
              <w:spacing w:line="200" w:lineRule="exact"/>
            </w:pPr>
            <w:r>
              <w:rPr>
                <w:rFonts w:ascii="方正黑体_GBK" w:hAnsi="方正黑体_GBK" w:eastAsia="方正黑体_GBK" w:cs="宋体"/>
                <w:sz w:val="18"/>
                <w:szCs w:val="18"/>
              </w:rPr>
              <w:t>A/B/C/D/E/F份额：</w:t>
            </w:r>
          </w:p>
          <w:p w14:paraId="4B5DA7F2">
            <w:pPr>
              <w:spacing w:line="200" w:lineRule="exact"/>
            </w:pPr>
            <w:r>
              <w:rPr>
                <w:rFonts w:ascii="方正黑体_GBK" w:hAnsi="方正黑体_GBK" w:eastAsia="方正黑体_GBK" w:cs="宋体"/>
                <w:sz w:val="18"/>
                <w:szCs w:val="18"/>
              </w:rPr>
              <w:t>暂不设置单日单户赎回份额上限；</w:t>
            </w:r>
          </w:p>
          <w:p w14:paraId="42CC4C00">
            <w:pPr>
              <w:spacing w:line="200" w:lineRule="exact"/>
            </w:pPr>
            <w:r>
              <w:rPr>
                <w:rFonts w:ascii="方正黑体_GBK" w:hAnsi="方正黑体_GBK" w:eastAsia="方正黑体_GBK" w:cs="宋体"/>
                <w:sz w:val="18"/>
                <w:szCs w:val="18"/>
              </w:rPr>
              <w:t>G份额：</w:t>
            </w:r>
          </w:p>
          <w:p w14:paraId="0D638398">
            <w:pPr>
              <w:spacing w:line="200" w:lineRule="exact"/>
            </w:pPr>
            <w:r>
              <w:rPr>
                <w:rFonts w:ascii="方正黑体_GBK" w:hAnsi="方正黑体_GBK" w:eastAsia="方正黑体_GBK" w:cs="宋体"/>
                <w:sz w:val="18"/>
                <w:szCs w:val="18"/>
              </w:rPr>
              <w:t>机构投资者：单日单户赎回份额上限为3亿份；</w:t>
            </w:r>
          </w:p>
          <w:p w14:paraId="0A636DC2">
            <w:pPr>
              <w:spacing w:line="200" w:lineRule="exact"/>
            </w:pPr>
            <w:r>
              <w:rPr>
                <w:rFonts w:ascii="方正黑体_GBK" w:hAnsi="方正黑体_GBK" w:eastAsia="方正黑体_GBK" w:cs="宋体"/>
                <w:sz w:val="18"/>
                <w:szCs w:val="18"/>
              </w:rPr>
              <w:t>注：1.该单日单户赎回份额上限管理人有权进行调整或取消，并在调整或取消前至少3个工作日公告。</w:t>
            </w:r>
          </w:p>
          <w:p w14:paraId="367F33BD">
            <w:pPr>
              <w:spacing w:line="200" w:lineRule="exact"/>
            </w:pPr>
            <w:r>
              <w:rPr>
                <w:rFonts w:ascii="方正黑体_GBK" w:hAnsi="方正黑体_GBK" w:eastAsia="方正黑体_GBK" w:cs="宋体"/>
                <w:b/>
                <w:sz w:val="18"/>
                <w:szCs w:val="18"/>
              </w:rPr>
              <w:t>2.当投资者发起的最近一笔赎回申请超过投资者单日单户赎回份额上限时，销售机构或管理人有权拒绝投资者该笔赎回申请，投资者需重新进行资金安排。</w:t>
            </w:r>
          </w:p>
        </w:tc>
      </w:tr>
      <w:tr w14:paraId="6115078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C9BB8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155916EA">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325ABD9C">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50D1AAA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EF92C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4172C27F">
            <w:pPr>
              <w:spacing w:line="200" w:lineRule="exact"/>
            </w:pPr>
            <w:r>
              <w:rPr>
                <w:rFonts w:ascii="方正黑体_GBK" w:hAnsi="方正黑体_GBK" w:eastAsia="方正黑体_GBK" w:cs="宋体"/>
                <w:sz w:val="18"/>
                <w:szCs w:val="18"/>
              </w:rPr>
              <w:t>2019年09月04日-2019年09月10日（管理人有权根据市场变化情况缩短或延长募集期并提前或推迟成立，产品提前或推迟成立时管理人将调整相关日期并进行信息披露。）</w:t>
            </w:r>
          </w:p>
        </w:tc>
      </w:tr>
      <w:tr w14:paraId="506FD26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E54DD84">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认购时间</w:t>
            </w:r>
          </w:p>
        </w:tc>
        <w:tc>
          <w:tcPr>
            <w:tcW w:w="5543" w:type="dxa"/>
            <w:tcBorders>
              <w:top w:val="single" w:color="auto" w:sz="4" w:space="0"/>
              <w:left w:val="nil"/>
              <w:bottom w:val="single" w:color="auto" w:sz="4" w:space="0"/>
              <w:right w:val="single" w:color="auto" w:sz="4" w:space="0"/>
              <w:tl2br w:val="nil"/>
              <w:tr2bl w:val="nil"/>
            </w:tcBorders>
            <w:vAlign w:val="center"/>
          </w:tcPr>
          <w:p w14:paraId="10B8EE6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募集期首日8:30至募集期末日17:00</w:t>
            </w:r>
          </w:p>
        </w:tc>
      </w:tr>
      <w:tr w14:paraId="779331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DCB427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571A34A2">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olor w:val="000000"/>
                <w:kern w:val="0"/>
                <w:sz w:val="18"/>
                <w:szCs w:val="18"/>
              </w:rPr>
              <w:t>同产品成立日</w:t>
            </w:r>
          </w:p>
        </w:tc>
      </w:tr>
      <w:tr w14:paraId="445797A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886061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1AAA8DFC">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2019年09月11日</w:t>
            </w:r>
          </w:p>
        </w:tc>
      </w:tr>
      <w:tr w14:paraId="551E208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73AC9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理财封闭期</w:t>
            </w:r>
          </w:p>
        </w:tc>
        <w:tc>
          <w:tcPr>
            <w:tcW w:w="5543" w:type="dxa"/>
            <w:tcBorders>
              <w:top w:val="single" w:color="auto" w:sz="4" w:space="0"/>
              <w:left w:val="nil"/>
              <w:bottom w:val="single" w:color="auto" w:sz="4" w:space="0"/>
              <w:right w:val="single" w:color="auto" w:sz="4" w:space="0"/>
              <w:tl2br w:val="nil"/>
              <w:tr2bl w:val="nil"/>
            </w:tcBorders>
            <w:vAlign w:val="center"/>
          </w:tcPr>
          <w:p w14:paraId="44F0DBDB">
            <w:pPr>
              <w:spacing w:line="200" w:lineRule="exact"/>
            </w:pPr>
            <w:r>
              <w:rPr>
                <w:rFonts w:ascii="方正黑体_GBK" w:hAnsi="方正黑体_GBK" w:eastAsia="方正黑体_GBK" w:cs="宋体"/>
                <w:sz w:val="18"/>
                <w:szCs w:val="18"/>
              </w:rPr>
              <w:t>本理财产品募集成立后封闭运作30天（2019年9月11日-2019年10月10日），封闭期内不接受申购赎回。</w:t>
            </w:r>
          </w:p>
          <w:p w14:paraId="6D135716">
            <w:pPr>
              <w:spacing w:line="200" w:lineRule="exact"/>
            </w:pPr>
            <w:r>
              <w:rPr>
                <w:rFonts w:ascii="方正黑体_GBK" w:hAnsi="方正黑体_GBK" w:eastAsia="方正黑体_GBK" w:cs="宋体"/>
                <w:sz w:val="18"/>
                <w:szCs w:val="18"/>
              </w:rPr>
              <w:t>注：产品成立后因开户等原因可能会导致短期内无法进行部分资产的投资运作，为减轻因此对投资者收益的影响，故设置封闭期。</w:t>
            </w:r>
          </w:p>
        </w:tc>
      </w:tr>
      <w:tr w14:paraId="67EB440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8D8AD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6D9903F2">
            <w:pPr>
              <w:spacing w:line="200" w:lineRule="exact"/>
            </w:pPr>
            <w:r>
              <w:rPr>
                <w:rFonts w:ascii="方正黑体_GBK" w:hAnsi="方正黑体_GBK" w:eastAsia="方正黑体_GBK" w:cs="宋体"/>
                <w:sz w:val="18"/>
                <w:szCs w:val="18"/>
              </w:rPr>
              <w:t>2019年09月11日—实际到期日（若本理财产品未被提前终止或延期终止，则实际到期日即为名义到期日，存续期限10年；若本理财产品被提前终止或延期终止，则实际到期日为提前终止日或延期终止日。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eastAsia="方正黑体_GBK" w:cs="宋体"/>
                <w:b/>
                <w:sz w:val="18"/>
                <w:szCs w:val="18"/>
              </w:rPr>
              <w:t>理财产品管理人有权根据市场变化情况调整产品存续期，届时管理人将调整相关日期并进行信息披露。）</w:t>
            </w:r>
          </w:p>
        </w:tc>
      </w:tr>
      <w:tr w14:paraId="530B194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4D352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2F2BE91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2029年12月28日</w:t>
            </w:r>
            <w:r>
              <w:rPr>
                <w:rFonts w:hint="eastAsia" w:ascii="方正黑体_GBK" w:hAnsi="方正黑体_GBK" w:eastAsia="方正黑体_GBK"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方正黑体_GBK" w:hAnsi="方正黑体_GBK" w:eastAsia="方正黑体_GBK"/>
                <w:b/>
                <w:bCs/>
                <w:caps w:val="0"/>
                <w:smallCaps w:val="0"/>
                <w:snapToGrid/>
                <w:vanish w:val="0"/>
                <w:color w:val="auto"/>
                <w:kern w:val="0"/>
                <w:sz w:val="18"/>
                <w:szCs w:val="18"/>
                <w:vertAlign w:val="baseline"/>
              </w:rPr>
              <w:t>信息披露</w:t>
            </w:r>
            <w:r>
              <w:rPr>
                <w:rFonts w:hint="eastAsia" w:ascii="方正黑体_GBK" w:hAnsi="方正黑体_GBK" w:eastAsia="方正黑体_GBK" w:cs="Times New Roman"/>
                <w:b/>
                <w:bCs/>
                <w:caps w:val="0"/>
                <w:smallCaps w:val="0"/>
                <w:snapToGrid/>
                <w:vanish w:val="0"/>
                <w:color w:val="auto"/>
                <w:kern w:val="0"/>
                <w:sz w:val="18"/>
                <w:szCs w:val="18"/>
                <w:vertAlign w:val="baseline"/>
              </w:rPr>
              <w:t>）</w:t>
            </w:r>
          </w:p>
        </w:tc>
      </w:tr>
      <w:tr w14:paraId="6C88DBB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0AA69FF">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产品开放日</w:t>
            </w:r>
          </w:p>
        </w:tc>
        <w:tc>
          <w:tcPr>
            <w:tcW w:w="5543" w:type="dxa"/>
            <w:tcBorders>
              <w:top w:val="single" w:color="auto" w:sz="4" w:space="0"/>
              <w:left w:val="nil"/>
              <w:bottom w:val="single" w:color="auto" w:sz="4" w:space="0"/>
              <w:right w:val="single" w:color="auto" w:sz="4" w:space="0"/>
              <w:tl2br w:val="nil"/>
              <w:tr2bl w:val="nil"/>
            </w:tcBorders>
            <w:vAlign w:val="center"/>
          </w:tcPr>
          <w:p w14:paraId="1E512656">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rPr>
              <w:t>产品存续期间的每周一至周五，但不包括国家法定节假日、休息日和管理人、销售机构公告暂停开放的日期</w:t>
            </w:r>
          </w:p>
        </w:tc>
      </w:tr>
      <w:tr w14:paraId="2946BAE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1E239B">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申购规则</w:t>
            </w:r>
          </w:p>
        </w:tc>
        <w:tc>
          <w:tcPr>
            <w:tcW w:w="5543" w:type="dxa"/>
            <w:tcBorders>
              <w:top w:val="single" w:color="auto" w:sz="4" w:space="0"/>
              <w:left w:val="nil"/>
              <w:bottom w:val="single" w:color="auto" w:sz="4" w:space="0"/>
              <w:right w:val="single" w:color="auto" w:sz="4" w:space="0"/>
              <w:tl2br w:val="nil"/>
              <w:tr2bl w:val="nil"/>
            </w:tcBorders>
            <w:vAlign w:val="center"/>
          </w:tcPr>
          <w:p w14:paraId="21064B74">
            <w:pPr>
              <w:spacing w:line="200" w:lineRule="exact"/>
            </w:pPr>
            <w:r>
              <w:rPr>
                <w:rFonts w:ascii="方正黑体_GBK" w:hAnsi="方正黑体_GBK" w:eastAsia="方正黑体_GBK" w:cs="宋体"/>
                <w:sz w:val="18"/>
                <w:szCs w:val="18"/>
              </w:rPr>
              <w:t>申购份额=申购金额÷申购受理日产品单位净值。（已扣除相关费用，申购份额按去尾法保留两位小数。在不发生本理财产品所提示的风险的前提下，本理财产品申购时每份额的面值为1元，即</w:t>
            </w:r>
            <w:r>
              <w:rPr>
                <w:rFonts w:ascii="方正黑体_GBK" w:hAnsi="方正黑体_GBK" w:eastAsia="方正黑体_GBK" w:cs="宋体"/>
                <w:b/>
                <w:sz w:val="18"/>
                <w:szCs w:val="18"/>
              </w:rPr>
              <w:t>申购受理日产品单位净值=1元/份</w:t>
            </w:r>
            <w:r>
              <w:rPr>
                <w:rFonts w:ascii="方正黑体_GBK" w:hAnsi="方正黑体_GBK" w:eastAsia="方正黑体_GBK" w:cs="宋体"/>
                <w:sz w:val="18"/>
                <w:szCs w:val="18"/>
              </w:rPr>
              <w:t>。）</w:t>
            </w:r>
          </w:p>
          <w:p w14:paraId="162E7655">
            <w:pPr>
              <w:spacing w:line="200" w:lineRule="exact"/>
            </w:pPr>
            <w:r>
              <w:rPr>
                <w:rFonts w:ascii="方正黑体_GBK" w:hAnsi="方正黑体_GBK" w:eastAsia="方正黑体_GBK" w:cs="宋体"/>
                <w:sz w:val="18"/>
                <w:szCs w:val="18"/>
              </w:rPr>
              <w:t>申购份额确认后可进行赎回操作。</w:t>
            </w:r>
          </w:p>
          <w:p w14:paraId="5AFDF68F">
            <w:pPr>
              <w:spacing w:line="200" w:lineRule="exact"/>
            </w:pPr>
            <w:r>
              <w:rPr>
                <w:rFonts w:ascii="方正黑体_GBK" w:hAnsi="方正黑体_GBK" w:eastAsia="方正黑体_GBK" w:cs="宋体"/>
                <w:b/>
                <w:sz w:val="18"/>
                <w:szCs w:val="18"/>
              </w:rPr>
              <w:t>封闭期结束后具体申购规则如下：</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1755"/>
              <w:gridCol w:w="1755"/>
              <w:gridCol w:w="1755"/>
            </w:tblGrid>
            <w:tr w14:paraId="10FFF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55" w:type="dxa"/>
                </w:tcPr>
                <w:p w14:paraId="0930A5B3">
                  <w:r>
                    <w:rPr>
                      <w:rFonts w:ascii="方正黑体_GBK" w:hAnsi="方正黑体_GBK" w:eastAsia="方正黑体_GBK" w:cs="宋体"/>
                      <w:sz w:val="18"/>
                      <w:szCs w:val="18"/>
                    </w:rPr>
                    <w:t>申购时间</w:t>
                  </w:r>
                </w:p>
              </w:tc>
              <w:tc>
                <w:tcPr>
                  <w:tcW w:w="1755" w:type="dxa"/>
                </w:tcPr>
                <w:p w14:paraId="6E220A18">
                  <w:r>
                    <w:rPr>
                      <w:rFonts w:ascii="方正黑体_GBK" w:hAnsi="方正黑体_GBK" w:eastAsia="方正黑体_GBK" w:cs="宋体"/>
                      <w:sz w:val="18"/>
                      <w:szCs w:val="18"/>
                    </w:rPr>
                    <w:t>申购受理日</w:t>
                  </w:r>
                </w:p>
              </w:tc>
              <w:tc>
                <w:tcPr>
                  <w:tcW w:w="1755" w:type="dxa"/>
                </w:tcPr>
                <w:p w14:paraId="0B1D7629">
                  <w:r>
                    <w:rPr>
                      <w:rFonts w:ascii="方正黑体_GBK" w:hAnsi="方正黑体_GBK" w:eastAsia="方正黑体_GBK" w:cs="宋体"/>
                      <w:sz w:val="18"/>
                      <w:szCs w:val="18"/>
                    </w:rPr>
                    <w:t>申购确认日/收益起始日</w:t>
                  </w:r>
                </w:p>
              </w:tc>
            </w:tr>
            <w:tr w14:paraId="4C2C2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55" w:type="dxa"/>
                </w:tcPr>
                <w:p w14:paraId="6DEFB6F1">
                  <w:r>
                    <w:rPr>
                      <w:rFonts w:ascii="方正黑体_GBK" w:hAnsi="方正黑体_GBK" w:eastAsia="方正黑体_GBK" w:cs="宋体"/>
                      <w:sz w:val="18"/>
                      <w:szCs w:val="18"/>
                    </w:rPr>
                    <w:t>A/B/C/D/F/G份额：产品开放日：0:00-17:00（含）</w:t>
                  </w:r>
                </w:p>
              </w:tc>
              <w:tc>
                <w:tcPr>
                  <w:tcW w:w="1755" w:type="dxa"/>
                  <w:vMerge w:val="restart"/>
                </w:tcPr>
                <w:p w14:paraId="54F092E2">
                  <w:r>
                    <w:rPr>
                      <w:rFonts w:ascii="方正黑体_GBK" w:hAnsi="方正黑体_GBK" w:eastAsia="方正黑体_GBK" w:cs="宋体"/>
                      <w:sz w:val="18"/>
                      <w:szCs w:val="18"/>
                    </w:rPr>
                    <w:t>当日</w:t>
                  </w:r>
                </w:p>
              </w:tc>
              <w:tc>
                <w:tcPr>
                  <w:tcW w:w="1755" w:type="dxa"/>
                  <w:vMerge w:val="restart"/>
                </w:tcPr>
                <w:p w14:paraId="117C8DE0">
                  <w:r>
                    <w:rPr>
                      <w:rFonts w:ascii="方正黑体_GBK" w:hAnsi="方正黑体_GBK" w:eastAsia="方正黑体_GBK" w:cs="宋体"/>
                      <w:sz w:val="18"/>
                      <w:szCs w:val="18"/>
                    </w:rPr>
                    <w:t>申购受理日下一产品开放日</w:t>
                  </w:r>
                </w:p>
              </w:tc>
            </w:tr>
            <w:tr w14:paraId="4CFB8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55" w:type="dxa"/>
                </w:tcPr>
                <w:p w14:paraId="380AA5F3">
                  <w:r>
                    <w:rPr>
                      <w:rFonts w:ascii="方正黑体_GBK" w:hAnsi="方正黑体_GBK" w:eastAsia="方正黑体_GBK" w:cs="宋体"/>
                      <w:sz w:val="18"/>
                      <w:szCs w:val="18"/>
                    </w:rPr>
                    <w:t>E份额：产品开放日：0:00-15:00（不含）</w:t>
                  </w:r>
                </w:p>
              </w:tc>
              <w:tc>
                <w:tcPr>
                  <w:tcW w:w="1755" w:type="dxa"/>
                  <w:vMerge w:val="continue"/>
                </w:tcPr>
                <w:p w14:paraId="760082E2"/>
              </w:tc>
              <w:tc>
                <w:tcPr>
                  <w:tcW w:w="1755" w:type="dxa"/>
                  <w:vMerge w:val="continue"/>
                </w:tcPr>
                <w:p w14:paraId="77CFB187"/>
              </w:tc>
            </w:tr>
            <w:tr w14:paraId="440AC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55" w:type="dxa"/>
                </w:tcPr>
                <w:p w14:paraId="6DE80263">
                  <w:r>
                    <w:rPr>
                      <w:rFonts w:ascii="方正黑体_GBK" w:hAnsi="方正黑体_GBK" w:eastAsia="方正黑体_GBK" w:cs="宋体"/>
                      <w:sz w:val="18"/>
                      <w:szCs w:val="18"/>
                    </w:rPr>
                    <w:t>A/B/C/D/F/G份额：产品开放日：17:00（不含）-24：00</w:t>
                  </w:r>
                </w:p>
              </w:tc>
              <w:tc>
                <w:tcPr>
                  <w:tcW w:w="1755" w:type="dxa"/>
                  <w:vMerge w:val="restart"/>
                </w:tcPr>
                <w:p w14:paraId="5F5E0A62">
                  <w:r>
                    <w:rPr>
                      <w:rFonts w:ascii="方正黑体_GBK" w:hAnsi="方正黑体_GBK" w:eastAsia="方正黑体_GBK" w:cs="宋体"/>
                      <w:sz w:val="18"/>
                      <w:szCs w:val="18"/>
                    </w:rPr>
                    <w:t>下一产品开放日</w:t>
                  </w:r>
                </w:p>
              </w:tc>
              <w:tc>
                <w:tcPr>
                  <w:tcW w:w="1755" w:type="dxa"/>
                  <w:vMerge w:val="continue"/>
                </w:tcPr>
                <w:p w14:paraId="63B7768A"/>
              </w:tc>
            </w:tr>
            <w:tr w14:paraId="197A7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55" w:type="dxa"/>
                </w:tcPr>
                <w:p w14:paraId="3FFE2FA8">
                  <w:r>
                    <w:rPr>
                      <w:rFonts w:ascii="方正黑体_GBK" w:hAnsi="方正黑体_GBK" w:eastAsia="方正黑体_GBK" w:cs="宋体"/>
                      <w:sz w:val="18"/>
                      <w:szCs w:val="18"/>
                    </w:rPr>
                    <w:t>E份额：15:00（含）-24：00</w:t>
                  </w:r>
                </w:p>
              </w:tc>
              <w:tc>
                <w:tcPr>
                  <w:tcW w:w="1755" w:type="dxa"/>
                  <w:vMerge w:val="continue"/>
                </w:tcPr>
                <w:p w14:paraId="13AED82B"/>
              </w:tc>
              <w:tc>
                <w:tcPr>
                  <w:tcW w:w="1755" w:type="dxa"/>
                  <w:vMerge w:val="continue"/>
                </w:tcPr>
                <w:p w14:paraId="0C7D7644"/>
              </w:tc>
            </w:tr>
            <w:tr w14:paraId="60E00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755" w:type="dxa"/>
                </w:tcPr>
                <w:p w14:paraId="15D6C13E">
                  <w:r>
                    <w:rPr>
                      <w:rFonts w:ascii="方正黑体_GBK" w:hAnsi="方正黑体_GBK" w:eastAsia="方正黑体_GBK" w:cs="宋体"/>
                      <w:sz w:val="18"/>
                      <w:szCs w:val="18"/>
                    </w:rPr>
                    <w:t>非产品开放日</w:t>
                  </w:r>
                </w:p>
              </w:tc>
              <w:tc>
                <w:tcPr>
                  <w:tcW w:w="1755" w:type="dxa"/>
                  <w:vMerge w:val="continue"/>
                </w:tcPr>
                <w:p w14:paraId="7818A831"/>
              </w:tc>
              <w:tc>
                <w:tcPr>
                  <w:tcW w:w="1755" w:type="dxa"/>
                  <w:vMerge w:val="continue"/>
                </w:tcPr>
                <w:p w14:paraId="5CB5127E"/>
              </w:tc>
            </w:tr>
          </w:tbl>
          <w:p w14:paraId="4D36DE3C">
            <w:pPr>
              <w:spacing w:line="200" w:lineRule="exact"/>
            </w:pPr>
            <w:r>
              <w:rPr>
                <w:rFonts w:ascii="方正黑体_GBK" w:hAnsi="方正黑体_GBK" w:eastAsia="方正黑体_GBK" w:cs="宋体"/>
                <w:b/>
                <w:sz w:val="18"/>
                <w:szCs w:val="18"/>
              </w:rPr>
              <w:t>A/B/C/D/F/G份额：产品开放日17:00（含）前的申购于下一产品开放日确认，其他时间的申购于申购受理日后下一产品开放日确认。具体申购确认时间以投资者与代销机构约定为准。</w:t>
            </w:r>
            <w:r>
              <w:rPr>
                <w:rFonts w:ascii="方正黑体_GBK" w:hAnsi="方正黑体_GBK" w:eastAsia="方正黑体_GBK"/>
              </w:rPr>
              <w:br w:type="textWrapping"/>
            </w:r>
            <w:r>
              <w:rPr>
                <w:rFonts w:ascii="方正黑体_GBK" w:hAnsi="方正黑体_GBK" w:eastAsia="方正黑体_GBK" w:cs="宋体"/>
                <w:b/>
                <w:sz w:val="18"/>
                <w:szCs w:val="18"/>
              </w:rPr>
              <w:t>代销机构可根据其销售需要重新设定申购时间，投资者通过代销机构购买本理财产品的，以该代销机构最终披露的申购时间和规则为准，但需当日受理的申购申请截止时间不得超过当日17:00（含）。</w:t>
            </w:r>
            <w:r>
              <w:rPr>
                <w:rFonts w:ascii="方正黑体_GBK" w:hAnsi="方正黑体_GBK" w:eastAsia="方正黑体_GBK"/>
              </w:rPr>
              <w:br w:type="textWrapping"/>
            </w:r>
            <w:r>
              <w:rPr>
                <w:rFonts w:ascii="方正黑体_GBK" w:hAnsi="方正黑体_GBK" w:eastAsia="方正黑体_GBK" w:cs="宋体"/>
                <w:b/>
                <w:sz w:val="18"/>
                <w:szCs w:val="18"/>
              </w:rPr>
              <w:t>E份额：产品开放日15:00（不含）前的申购于下一产品开放日确认，其他时间的申购于申购受理日后下一产品开放日确认。具体申购确认时间以投资者与代销机构约定为准。</w:t>
            </w:r>
            <w:r>
              <w:rPr>
                <w:rFonts w:ascii="方正黑体_GBK" w:hAnsi="方正黑体_GBK" w:eastAsia="方正黑体_GBK"/>
              </w:rPr>
              <w:br w:type="textWrapping"/>
            </w:r>
            <w:r>
              <w:rPr>
                <w:rFonts w:ascii="方正黑体_GBK" w:hAnsi="方正黑体_GBK" w:eastAsia="方正黑体_GBK" w:cs="宋体"/>
                <w:b/>
                <w:sz w:val="18"/>
                <w:szCs w:val="18"/>
              </w:rPr>
              <w:t>代销机构可根据其销售需要重新设定申购时间，投资者通过代销机构购买本理财产品的，以该代销机构最终披露的申购时间和规则为准，但需当日受理的申购申请截止时间不得超过当日15:00（不含）。</w:t>
            </w:r>
          </w:p>
          <w:p w14:paraId="42816D1B">
            <w:pPr>
              <w:spacing w:line="200" w:lineRule="exact"/>
            </w:pPr>
            <w:r>
              <w:rPr>
                <w:rFonts w:ascii="方正黑体_GBK" w:hAnsi="方正黑体_GBK" w:eastAsia="方正黑体_GBK" w:cs="宋体"/>
                <w:b/>
                <w:sz w:val="18"/>
                <w:szCs w:val="18"/>
              </w:rPr>
              <w:t>注：系统批处理时间无法进行任何操作，届时系统将相应提示，系统批处理时间预计在0：00至3：00之间，如遇特殊情况延迟，敬请投资者注意。</w:t>
            </w:r>
          </w:p>
        </w:tc>
      </w:tr>
      <w:tr w14:paraId="4AE258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1EC8E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赎回规则</w:t>
            </w:r>
          </w:p>
        </w:tc>
        <w:tc>
          <w:tcPr>
            <w:tcW w:w="5543" w:type="dxa"/>
            <w:tcBorders>
              <w:top w:val="single" w:color="auto" w:sz="4" w:space="0"/>
              <w:left w:val="nil"/>
              <w:bottom w:val="single" w:color="auto" w:sz="4" w:space="0"/>
              <w:right w:val="single" w:color="auto" w:sz="4" w:space="0"/>
              <w:tl2br w:val="nil"/>
              <w:tr2bl w:val="nil"/>
            </w:tcBorders>
            <w:vAlign w:val="center"/>
          </w:tcPr>
          <w:p w14:paraId="45FD6984">
            <w:pPr>
              <w:spacing w:line="200" w:lineRule="exact"/>
            </w:pPr>
            <w:r>
              <w:rPr>
                <w:rFonts w:ascii="方正黑体_GBK" w:hAnsi="方正黑体_GBK" w:eastAsia="方正黑体_GBK" w:cs="宋体"/>
                <w:sz w:val="18"/>
                <w:szCs w:val="18"/>
              </w:rPr>
              <w:t>赎回金额=赎回份额×赎回受理日产品单位净值。（已扣除相关费用，赎回金额按去尾法保留两位小数。在不发生本理财产品所提示的风险的前提下，本理财产品赎回时每份额的面值为1元，即</w:t>
            </w:r>
            <w:r>
              <w:rPr>
                <w:rFonts w:ascii="方正黑体_GBK" w:hAnsi="方正黑体_GBK" w:eastAsia="方正黑体_GBK" w:cs="宋体"/>
                <w:b/>
                <w:sz w:val="18"/>
                <w:szCs w:val="18"/>
              </w:rPr>
              <w:t>赎回受理日产品单位净值=1元/份</w:t>
            </w:r>
            <w:r>
              <w:rPr>
                <w:rFonts w:ascii="方正黑体_GBK" w:hAnsi="方正黑体_GBK" w:eastAsia="方正黑体_GBK" w:cs="宋体"/>
                <w:sz w:val="18"/>
                <w:szCs w:val="18"/>
              </w:rPr>
              <w:t>。）</w:t>
            </w:r>
          </w:p>
          <w:p w14:paraId="42F0D070">
            <w:pPr>
              <w:spacing w:line="200" w:lineRule="exact"/>
            </w:pPr>
            <w:r>
              <w:rPr>
                <w:rFonts w:ascii="方正黑体_GBK" w:hAnsi="方正黑体_GBK" w:eastAsia="方正黑体_GBK" w:cs="宋体"/>
                <w:b/>
                <w:sz w:val="18"/>
                <w:szCs w:val="18"/>
              </w:rPr>
              <w:t>封闭期结束后具体赎回规则如下：</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1316"/>
              <w:gridCol w:w="1316"/>
              <w:gridCol w:w="1316"/>
              <w:gridCol w:w="1316"/>
            </w:tblGrid>
            <w:tr w14:paraId="2B54B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316" w:type="dxa"/>
                </w:tcPr>
                <w:p w14:paraId="1B9C477C">
                  <w:r>
                    <w:rPr>
                      <w:rFonts w:ascii="方正黑体_GBK" w:hAnsi="方正黑体_GBK" w:eastAsia="方正黑体_GBK" w:cs="宋体"/>
                      <w:sz w:val="18"/>
                      <w:szCs w:val="18"/>
                    </w:rPr>
                    <w:t>赎回时间</w:t>
                  </w:r>
                </w:p>
              </w:tc>
              <w:tc>
                <w:tcPr>
                  <w:tcW w:w="1316" w:type="dxa"/>
                </w:tcPr>
                <w:p w14:paraId="50E309B5">
                  <w:r>
                    <w:rPr>
                      <w:rFonts w:ascii="方正黑体_GBK" w:hAnsi="方正黑体_GBK" w:eastAsia="方正黑体_GBK" w:cs="宋体"/>
                      <w:sz w:val="18"/>
                      <w:szCs w:val="18"/>
                    </w:rPr>
                    <w:t>赎回受理日</w:t>
                  </w:r>
                </w:p>
              </w:tc>
              <w:tc>
                <w:tcPr>
                  <w:tcW w:w="1316" w:type="dxa"/>
                </w:tcPr>
                <w:p w14:paraId="427C290C">
                  <w:r>
                    <w:rPr>
                      <w:rFonts w:ascii="方正黑体_GBK" w:hAnsi="方正黑体_GBK" w:eastAsia="方正黑体_GBK" w:cs="宋体"/>
                      <w:sz w:val="18"/>
                      <w:szCs w:val="18"/>
                    </w:rPr>
                    <w:t>赎回确认日</w:t>
                  </w:r>
                </w:p>
              </w:tc>
              <w:tc>
                <w:tcPr>
                  <w:tcW w:w="1316" w:type="dxa"/>
                </w:tcPr>
                <w:p w14:paraId="60E411C3">
                  <w:r>
                    <w:rPr>
                      <w:rFonts w:ascii="方正黑体_GBK" w:hAnsi="方正黑体_GBK" w:eastAsia="方正黑体_GBK" w:cs="宋体"/>
                      <w:sz w:val="18"/>
                      <w:szCs w:val="18"/>
                    </w:rPr>
                    <w:t>资金到账日</w:t>
                  </w:r>
                </w:p>
              </w:tc>
            </w:tr>
            <w:tr w14:paraId="72F11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316" w:type="dxa"/>
                </w:tcPr>
                <w:p w14:paraId="09236E2F">
                  <w:r>
                    <w:rPr>
                      <w:rFonts w:ascii="方正黑体_GBK" w:hAnsi="方正黑体_GBK" w:eastAsia="方正黑体_GBK" w:cs="宋体"/>
                      <w:sz w:val="18"/>
                      <w:szCs w:val="18"/>
                    </w:rPr>
                    <w:t>A/B/C/D/F/G份额：产品开放日：0:00-17:00（含）</w:t>
                  </w:r>
                </w:p>
              </w:tc>
              <w:tc>
                <w:tcPr>
                  <w:tcW w:w="1316" w:type="dxa"/>
                  <w:vMerge w:val="restart"/>
                </w:tcPr>
                <w:p w14:paraId="1F15C058">
                  <w:r>
                    <w:rPr>
                      <w:rFonts w:ascii="方正黑体_GBK" w:hAnsi="方正黑体_GBK" w:eastAsia="方正黑体_GBK" w:cs="宋体"/>
                      <w:sz w:val="18"/>
                      <w:szCs w:val="18"/>
                    </w:rPr>
                    <w:t>当日</w:t>
                  </w:r>
                </w:p>
              </w:tc>
              <w:tc>
                <w:tcPr>
                  <w:tcW w:w="1316" w:type="dxa"/>
                  <w:vMerge w:val="restart"/>
                </w:tcPr>
                <w:p w14:paraId="1A291E36">
                  <w:r>
                    <w:rPr>
                      <w:rFonts w:ascii="方正黑体_GBK" w:hAnsi="方正黑体_GBK" w:eastAsia="方正黑体_GBK" w:cs="宋体"/>
                      <w:sz w:val="18"/>
                      <w:szCs w:val="18"/>
                    </w:rPr>
                    <w:t>赎回受理日下一产品开放日</w:t>
                  </w:r>
                </w:p>
              </w:tc>
              <w:tc>
                <w:tcPr>
                  <w:tcW w:w="1316" w:type="dxa"/>
                  <w:vMerge w:val="restart"/>
                </w:tcPr>
                <w:p w14:paraId="09563755">
                  <w:r>
                    <w:rPr>
                      <w:rFonts w:ascii="方正黑体_GBK" w:hAnsi="方正黑体_GBK" w:eastAsia="方正黑体_GBK" w:cs="宋体"/>
                      <w:sz w:val="18"/>
                      <w:szCs w:val="18"/>
                    </w:rPr>
                    <w:t>最快于赎回确认日到账</w:t>
                  </w:r>
                </w:p>
              </w:tc>
            </w:tr>
            <w:tr w14:paraId="4FC42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316" w:type="dxa"/>
                </w:tcPr>
                <w:p w14:paraId="1BA89CBD">
                  <w:r>
                    <w:rPr>
                      <w:rFonts w:ascii="方正黑体_GBK" w:hAnsi="方正黑体_GBK" w:eastAsia="方正黑体_GBK" w:cs="宋体"/>
                      <w:sz w:val="18"/>
                      <w:szCs w:val="18"/>
                    </w:rPr>
                    <w:t>E份额：产品开放日：0:00-15:00（不含）</w:t>
                  </w:r>
                </w:p>
              </w:tc>
              <w:tc>
                <w:tcPr>
                  <w:tcW w:w="1316" w:type="dxa"/>
                  <w:vMerge w:val="continue"/>
                </w:tcPr>
                <w:p w14:paraId="5BE2097D"/>
              </w:tc>
              <w:tc>
                <w:tcPr>
                  <w:tcW w:w="1316" w:type="dxa"/>
                  <w:vMerge w:val="continue"/>
                </w:tcPr>
                <w:p w14:paraId="18038C53"/>
              </w:tc>
              <w:tc>
                <w:tcPr>
                  <w:tcW w:w="1316" w:type="dxa"/>
                  <w:vMerge w:val="continue"/>
                </w:tcPr>
                <w:p w14:paraId="175A6CE8"/>
              </w:tc>
            </w:tr>
            <w:tr w14:paraId="38D23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316" w:type="dxa"/>
                </w:tcPr>
                <w:p w14:paraId="4EEA98DA">
                  <w:r>
                    <w:rPr>
                      <w:rFonts w:ascii="方正黑体_GBK" w:hAnsi="方正黑体_GBK" w:eastAsia="方正黑体_GBK" w:cs="宋体"/>
                      <w:sz w:val="18"/>
                      <w:szCs w:val="18"/>
                    </w:rPr>
                    <w:t>A/B/C/D/F/G份额：产品开放日：17:00（不含）-24：00</w:t>
                  </w:r>
                </w:p>
              </w:tc>
              <w:tc>
                <w:tcPr>
                  <w:tcW w:w="1316" w:type="dxa"/>
                  <w:vMerge w:val="restart"/>
                </w:tcPr>
                <w:p w14:paraId="425082DD">
                  <w:r>
                    <w:rPr>
                      <w:rFonts w:ascii="方正黑体_GBK" w:hAnsi="方正黑体_GBK" w:eastAsia="方正黑体_GBK" w:cs="宋体"/>
                      <w:sz w:val="18"/>
                      <w:szCs w:val="18"/>
                    </w:rPr>
                    <w:t>下一产品开放日</w:t>
                  </w:r>
                </w:p>
              </w:tc>
              <w:tc>
                <w:tcPr>
                  <w:tcW w:w="1316" w:type="dxa"/>
                  <w:vMerge w:val="continue"/>
                </w:tcPr>
                <w:p w14:paraId="52D5BCB3"/>
              </w:tc>
              <w:tc>
                <w:tcPr>
                  <w:tcW w:w="1316" w:type="dxa"/>
                  <w:vMerge w:val="continue"/>
                </w:tcPr>
                <w:p w14:paraId="0F3881BC"/>
              </w:tc>
            </w:tr>
            <w:tr w14:paraId="2127E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316" w:type="dxa"/>
                </w:tcPr>
                <w:p w14:paraId="34E1520A">
                  <w:r>
                    <w:rPr>
                      <w:rFonts w:ascii="方正黑体_GBK" w:hAnsi="方正黑体_GBK" w:eastAsia="方正黑体_GBK" w:cs="宋体"/>
                      <w:sz w:val="18"/>
                      <w:szCs w:val="18"/>
                    </w:rPr>
                    <w:t>E份额：15:00（含）-24：00</w:t>
                  </w:r>
                </w:p>
              </w:tc>
              <w:tc>
                <w:tcPr>
                  <w:tcW w:w="1316" w:type="dxa"/>
                  <w:vMerge w:val="continue"/>
                </w:tcPr>
                <w:p w14:paraId="7C2DE463"/>
              </w:tc>
              <w:tc>
                <w:tcPr>
                  <w:tcW w:w="1316" w:type="dxa"/>
                  <w:vMerge w:val="continue"/>
                </w:tcPr>
                <w:p w14:paraId="6E45F2B0"/>
              </w:tc>
              <w:tc>
                <w:tcPr>
                  <w:tcW w:w="1316" w:type="dxa"/>
                  <w:vMerge w:val="continue"/>
                </w:tcPr>
                <w:p w14:paraId="272E5209"/>
              </w:tc>
            </w:tr>
            <w:tr w14:paraId="765FC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316" w:type="dxa"/>
                </w:tcPr>
                <w:p w14:paraId="2BF4BEA6">
                  <w:r>
                    <w:rPr>
                      <w:rFonts w:ascii="方正黑体_GBK" w:hAnsi="方正黑体_GBK" w:eastAsia="方正黑体_GBK" w:cs="宋体"/>
                      <w:sz w:val="18"/>
                      <w:szCs w:val="18"/>
                    </w:rPr>
                    <w:t>非产品开放日</w:t>
                  </w:r>
                </w:p>
              </w:tc>
              <w:tc>
                <w:tcPr>
                  <w:tcW w:w="1316" w:type="dxa"/>
                  <w:vMerge w:val="continue"/>
                </w:tcPr>
                <w:p w14:paraId="06C07425"/>
              </w:tc>
              <w:tc>
                <w:tcPr>
                  <w:tcW w:w="1316" w:type="dxa"/>
                  <w:vMerge w:val="continue"/>
                </w:tcPr>
                <w:p w14:paraId="265E10EB"/>
              </w:tc>
              <w:tc>
                <w:tcPr>
                  <w:tcW w:w="1316" w:type="dxa"/>
                  <w:vMerge w:val="continue"/>
                </w:tcPr>
                <w:p w14:paraId="3E1CFF20"/>
              </w:tc>
            </w:tr>
          </w:tbl>
          <w:p w14:paraId="721CC745">
            <w:pPr>
              <w:spacing w:line="200" w:lineRule="exact"/>
              <w:jc w:val="left"/>
            </w:pPr>
            <w:r>
              <w:rPr>
                <w:rFonts w:ascii="方正黑体_GBK" w:hAnsi="方正黑体_GBK" w:eastAsia="方正黑体_GBK" w:cs="宋体"/>
                <w:b/>
                <w:sz w:val="18"/>
                <w:szCs w:val="18"/>
              </w:rPr>
              <w:t>A/B/C/D/F/G份额：产品开放日17:00（含）前的赎回于下一产品开放日确认，其他时间的赎回于赎回受理日后下一产品开放日确认。</w:t>
            </w:r>
          </w:p>
          <w:p w14:paraId="265D2064">
            <w:pPr>
              <w:spacing w:line="200" w:lineRule="exact"/>
              <w:jc w:val="left"/>
            </w:pPr>
            <w:r>
              <w:rPr>
                <w:rFonts w:ascii="方正黑体_GBK" w:hAnsi="方正黑体_GBK" w:eastAsia="方正黑体_GBK" w:cs="宋体"/>
                <w:b/>
                <w:sz w:val="18"/>
                <w:szCs w:val="18"/>
              </w:rPr>
              <w:t>代销机构可根据其销售需要重新设定赎回时间，投资者通过代销机构购买本理财产品的，以该代销机构最终披露的赎回时间和规则为准，但需当日受理的赎回申请截止时间不得超过当日17:00（含）。</w:t>
            </w:r>
          </w:p>
          <w:p w14:paraId="0D385510">
            <w:pPr>
              <w:spacing w:line="200" w:lineRule="exact"/>
              <w:jc w:val="left"/>
            </w:pPr>
            <w:r>
              <w:rPr>
                <w:rFonts w:ascii="方正黑体_GBK" w:hAnsi="方正黑体_GBK" w:eastAsia="方正黑体_GBK" w:cs="宋体"/>
                <w:b/>
                <w:sz w:val="18"/>
                <w:szCs w:val="18"/>
              </w:rPr>
              <w:t>E份额：产品开放日15:00（不含）前的赎回于下一产品开放日确认，其他时间的赎回于赎回受理日后下一产品开放日确认。</w:t>
            </w:r>
          </w:p>
          <w:p w14:paraId="79322573">
            <w:pPr>
              <w:spacing w:line="200" w:lineRule="exact"/>
              <w:jc w:val="left"/>
            </w:pPr>
            <w:r>
              <w:rPr>
                <w:rFonts w:ascii="方正黑体_GBK" w:hAnsi="方正黑体_GBK" w:eastAsia="方正黑体_GBK" w:cs="宋体"/>
                <w:b/>
                <w:sz w:val="18"/>
                <w:szCs w:val="18"/>
              </w:rPr>
              <w:t>代销机构可根据其销售需要重新设定赎回时间，投资者通过代销机构购买本理财产品的，以该代销机构最终披露的赎回时间和规则为准，但需当日受理的赎回申请截止时间不得超过当日15:00（不含）。</w:t>
            </w:r>
          </w:p>
          <w:p w14:paraId="6DBE414C">
            <w:pPr>
              <w:spacing w:line="200" w:lineRule="exact"/>
            </w:pPr>
            <w:r>
              <w:rPr>
                <w:rFonts w:ascii="方正黑体_GBK" w:hAnsi="方正黑体_GBK" w:eastAsia="方正黑体_GBK" w:cs="宋体"/>
                <w:b/>
                <w:sz w:val="18"/>
                <w:szCs w:val="18"/>
              </w:rPr>
              <w:t>注：</w:t>
            </w:r>
          </w:p>
          <w:p w14:paraId="6BDFD0B7">
            <w:pPr>
              <w:spacing w:line="200" w:lineRule="exact"/>
            </w:pPr>
            <w:r>
              <w:rPr>
                <w:rFonts w:ascii="方正黑体_GBK" w:hAnsi="方正黑体_GBK" w:eastAsia="方正黑体_GBK" w:cs="宋体"/>
                <w:b/>
                <w:sz w:val="18"/>
                <w:szCs w:val="18"/>
              </w:rPr>
              <w:t>1.系统批处理时间无法进行任何操作，届时系统将相应提示，系统批处理时间预计在0：00至3：00之间，如遇特殊情况延迟，敬请投资者注意；</w:t>
            </w:r>
          </w:p>
          <w:p w14:paraId="36BF4E5E">
            <w:pPr>
              <w:spacing w:line="200" w:lineRule="exact"/>
            </w:pPr>
            <w:r>
              <w:rPr>
                <w:rFonts w:ascii="方正黑体_GBK" w:hAnsi="方正黑体_GBK" w:eastAsia="方正黑体_GBK" w:cs="宋体"/>
                <w:b/>
                <w:sz w:val="18"/>
                <w:szCs w:val="18"/>
              </w:rPr>
              <w:t>2.赎回确认日当日起赎回份额不再享有收益分配权益（遇巨额赎回及暂停赎回或延缓支付赎回款项情形时，按相应条款处理）。</w:t>
            </w:r>
          </w:p>
          <w:p w14:paraId="69A4E4E3">
            <w:pPr>
              <w:spacing w:line="200" w:lineRule="exact"/>
            </w:pPr>
            <w:r>
              <w:rPr>
                <w:rFonts w:ascii="方正黑体_GBK" w:hAnsi="方正黑体_GBK" w:eastAsia="方正黑体_GBK" w:cs="宋体"/>
                <w:b/>
                <w:sz w:val="18"/>
                <w:szCs w:val="18"/>
              </w:rPr>
              <w:t>3.管理人有权设置并调整单个投资者赎回限制，并在设置或调整前至少3个工作日公告；</w:t>
            </w:r>
          </w:p>
          <w:p w14:paraId="297EB9CD">
            <w:pPr>
              <w:spacing w:line="200" w:lineRule="exact"/>
            </w:pPr>
            <w:r>
              <w:rPr>
                <w:rFonts w:ascii="方正黑体_GBK" w:hAnsi="方正黑体_GBK" w:eastAsia="方正黑体_GBK" w:cs="宋体"/>
                <w:b/>
                <w:sz w:val="18"/>
                <w:szCs w:val="18"/>
              </w:rPr>
              <w:t>4.单个投资者赎回的份额在赎回受理日仍参与产品运作，产生的当日收益将结转份额，并计入下一工作日的投资者份额中，而不会随该赎回份额对应的赎回款项一并到账；</w:t>
            </w:r>
          </w:p>
          <w:p w14:paraId="2FD6D5F4">
            <w:pPr>
              <w:spacing w:line="200" w:lineRule="exact"/>
            </w:pPr>
            <w:r>
              <w:rPr>
                <w:rFonts w:ascii="方正黑体_GBK" w:hAnsi="方正黑体_GBK" w:eastAsia="方正黑体_GBK" w:cs="宋体"/>
                <w:b/>
                <w:sz w:val="18"/>
                <w:szCs w:val="18"/>
              </w:rPr>
              <w:t>5.赎回确认日至资金到账日间赎回款项不计收益也不计息；</w:t>
            </w:r>
          </w:p>
          <w:p w14:paraId="410D62AC">
            <w:pPr>
              <w:spacing w:line="200" w:lineRule="exact"/>
            </w:pPr>
            <w:r>
              <w:rPr>
                <w:rFonts w:ascii="方正黑体_GBK" w:hAnsi="方正黑体_GBK" w:eastAsia="方正黑体_GBK" w:cs="宋体"/>
                <w:b/>
                <w:sz w:val="18"/>
                <w:szCs w:val="18"/>
              </w:rPr>
              <w:t>6.具体赎回确认及到账时间以投资者与代销机构的约定为准。</w:t>
            </w:r>
          </w:p>
        </w:tc>
      </w:tr>
      <w:tr w14:paraId="37188B0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9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68D3D49">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快速赎回</w:t>
            </w:r>
          </w:p>
        </w:tc>
        <w:tc>
          <w:tcPr>
            <w:tcW w:w="5543" w:type="dxa"/>
            <w:tcBorders>
              <w:top w:val="single" w:color="auto" w:sz="4" w:space="0"/>
              <w:left w:val="nil"/>
              <w:bottom w:val="single" w:color="auto" w:sz="4" w:space="0"/>
              <w:right w:val="single" w:color="auto" w:sz="4" w:space="0"/>
              <w:tl2br w:val="nil"/>
              <w:tr2bl w:val="nil"/>
            </w:tcBorders>
            <w:vAlign w:val="center"/>
          </w:tcPr>
          <w:p w14:paraId="7CFE44C7">
            <w:pPr>
              <w:spacing w:line="200" w:lineRule="exac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sz w:val="18"/>
                <w:szCs w:val="18"/>
              </w:rPr>
              <w:t>1</w:t>
            </w:r>
            <w:r>
              <w:rPr>
                <w:rFonts w:hint="eastAsia" w:ascii="方正黑体_GBK" w:hAnsi="方正黑体_GBK" w:eastAsia="方正黑体_GBK"/>
                <w:kern w:val="0"/>
                <w:sz w:val="18"/>
                <w:szCs w:val="18"/>
              </w:rPr>
              <w:t>.快速赎回增值服务是销售机构为投资者提供的产品份额赎回款项快速到账的增值服务，</w:t>
            </w:r>
            <w:r>
              <w:rPr>
                <w:rFonts w:hint="eastAsia" w:ascii="方正黑体_GBK" w:hAnsi="方正黑体_GBK" w:eastAsia="方正黑体_GBK"/>
                <w:b/>
                <w:kern w:val="0"/>
                <w:sz w:val="18"/>
                <w:szCs w:val="18"/>
              </w:rPr>
              <w:t>非管理人和销售机构的法定义务</w:t>
            </w:r>
            <w:r>
              <w:rPr>
                <w:rFonts w:hint="eastAsia" w:ascii="方正黑体_GBK" w:hAnsi="方正黑体_GBK" w:eastAsia="方正黑体_GBK"/>
                <w:kern w:val="0"/>
                <w:sz w:val="18"/>
                <w:szCs w:val="18"/>
              </w:rPr>
              <w:t>。 </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2.每个自然日0:00-24:00（包括节假日，但另行公告通知暂停快速赎回增值服务的自然日除外），投资者可向销售机构提交快速赎回增值服务申请，申请提交后不可撤销。</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3.</w:t>
            </w:r>
            <w:r>
              <w:rPr>
                <w:rFonts w:hint="eastAsia" w:ascii="方正黑体_GBK" w:hAnsi="方正黑体_GBK" w:eastAsia="方正黑体_GBK"/>
                <w:b/>
                <w:kern w:val="0"/>
                <w:sz w:val="18"/>
                <w:szCs w:val="18"/>
              </w:rPr>
              <w:t>本理财产品销售机构提供的快速赎回增值服务具体以销售机构与投资者约定的为准</w:t>
            </w:r>
            <w:r>
              <w:rPr>
                <w:rFonts w:hint="eastAsia" w:ascii="方正黑体_GBK" w:hAnsi="方正黑体_GBK" w:eastAsia="方正黑体_GBK"/>
                <w:kern w:val="0"/>
                <w:sz w:val="18"/>
                <w:szCs w:val="18"/>
              </w:rPr>
              <w:t>。</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4.</w:t>
            </w:r>
            <w:r>
              <w:rPr>
                <w:rFonts w:hint="eastAsia" w:ascii="方正黑体_GBK" w:hAnsi="方正黑体_GBK" w:eastAsia="方正黑体_GBK"/>
                <w:b/>
                <w:kern w:val="0"/>
                <w:sz w:val="18"/>
                <w:szCs w:val="18"/>
              </w:rPr>
              <w:t>投资者申请快速赎回增值服务成功后，投资者不享受自申请成功之日（含）起快速赎回理财份额对应的收益，敬请投资者注意</w:t>
            </w:r>
            <w:r>
              <w:rPr>
                <w:rFonts w:hint="eastAsia" w:ascii="方正黑体_GBK" w:hAnsi="方正黑体_GBK" w:eastAsia="方正黑体_GBK"/>
                <w:kern w:val="0"/>
                <w:sz w:val="18"/>
                <w:szCs w:val="18"/>
              </w:rPr>
              <w:t>。</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5.快速赎回增值服务申请额度：单个投资者在单个销售渠道持有的单只产品单个自然日的赎回金额不超过1万元。各个销售机构快速赎回增值服务上线时间及快速赎回增值服务申请额度以销售机构提供的为准。</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注：</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1.不同销售机构提供的快速赎回增值服务总额度不同，当单个销售机构快速赎回增值服务总额度使用完毕时，投资者可能无法在该销售机构销售渠道申请快速赎回增值服务。</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2.管理人和销售机构可根据产品实际运作情况和监管规定调整单个投资者在单个销售渠道持有的单只产品单个自然日的赎回金额、设置或调整单个投资者累计快速赎回额度和快赎笔数，并在设置或调整前至少3个工作日进行公告。</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3.本理财产品销售机构提供的快速赎回增值服务</w:t>
            </w:r>
            <w:r>
              <w:rPr>
                <w:rFonts w:hint="eastAsia" w:ascii="方正黑体_GBK" w:hAnsi="方正黑体_GBK" w:eastAsia="方正黑体_GBK"/>
                <w:b/>
                <w:kern w:val="0"/>
                <w:sz w:val="18"/>
                <w:szCs w:val="18"/>
              </w:rPr>
              <w:t>暂不收取手续费</w:t>
            </w:r>
            <w:r>
              <w:rPr>
                <w:rFonts w:hint="eastAsia" w:ascii="方正黑体_GBK" w:hAnsi="方正黑体_GBK" w:eastAsia="方正黑体_GBK"/>
                <w:kern w:val="0"/>
                <w:sz w:val="18"/>
                <w:szCs w:val="18"/>
              </w:rPr>
              <w:t>，若销售机构对快速赎回增值服务收取或后续调整手续费，则将在收取或调整前至少3个工作日进行公告，若投资者不同意销售机构收取或调整手续费，有权选择不使用快速赎回增值服务。若投资者在公告后继续使用快速赎回增值服务的，视为投资者同意销售机构收取或调整手续费。</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4.投资者可根据自身实际情况选择支持快速赎回的销售机构，使用快速赎回增值服务。</w:t>
            </w:r>
            <w:r>
              <w:rPr>
                <w:rFonts w:hint="eastAsia" w:ascii="方正黑体_GBK" w:hAnsi="方正黑体_GBK" w:eastAsia="方正黑体_GBK"/>
                <w:kern w:val="0"/>
                <w:sz w:val="18"/>
                <w:szCs w:val="18"/>
              </w:rPr>
              <w:br w:type="textWrapping"/>
            </w:r>
            <w:r>
              <w:rPr>
                <w:rFonts w:hint="eastAsia" w:ascii="方正黑体_GBK" w:hAnsi="方正黑体_GBK" w:eastAsia="方正黑体_GBK"/>
                <w:kern w:val="0"/>
                <w:sz w:val="18"/>
                <w:szCs w:val="18"/>
              </w:rPr>
              <w:t>5.</w:t>
            </w:r>
            <w:r>
              <w:rPr>
                <w:rFonts w:hint="eastAsia" w:ascii="方正黑体_GBK" w:hAnsi="方正黑体_GBK" w:eastAsia="方正黑体_GBK"/>
                <w:b/>
                <w:kern w:val="0"/>
                <w:sz w:val="18"/>
                <w:szCs w:val="18"/>
              </w:rPr>
              <w:t>快速赎回不同于普通赎回，暂不适用于巨额赎回的约定，敬请投资者注意</w:t>
            </w:r>
            <w:r>
              <w:rPr>
                <w:rFonts w:hint="eastAsia" w:ascii="方正黑体_GBK" w:hAnsi="方正黑体_GBK" w:eastAsia="方正黑体_GBK"/>
                <w:kern w:val="0"/>
                <w:sz w:val="18"/>
                <w:szCs w:val="18"/>
              </w:rPr>
              <w:t>。</w:t>
            </w:r>
          </w:p>
        </w:tc>
      </w:tr>
      <w:tr w14:paraId="01AC752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C2D2E2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收益分配方式</w:t>
            </w:r>
          </w:p>
        </w:tc>
        <w:tc>
          <w:tcPr>
            <w:tcW w:w="5543" w:type="dxa"/>
            <w:tcBorders>
              <w:top w:val="single" w:color="auto" w:sz="4" w:space="0"/>
              <w:left w:val="nil"/>
              <w:bottom w:val="single" w:color="auto" w:sz="4" w:space="0"/>
              <w:right w:val="single" w:color="auto" w:sz="4" w:space="0"/>
              <w:tl2br w:val="nil"/>
              <w:tr2bl w:val="nil"/>
            </w:tcBorders>
            <w:vAlign w:val="center"/>
          </w:tcPr>
          <w:p w14:paraId="53B37479">
            <w:pPr>
              <w:spacing w:line="200" w:lineRule="exact"/>
            </w:pPr>
            <w:r>
              <w:rPr>
                <w:rFonts w:ascii="方正黑体_GBK" w:hAnsi="方正黑体_GBK" w:eastAsia="方正黑体_GBK" w:cs="宋体"/>
                <w:sz w:val="18"/>
                <w:szCs w:val="18"/>
              </w:rPr>
              <w:t>1.“每日计算、按日分配”。本理财产品根据每日理财产品运作收益情况，以每万份理财产品份额已实现净收益（该净收益已扣除本理财产品税费，下同）为基准，为投资者每日计算当日净收益并分配。</w:t>
            </w:r>
          </w:p>
          <w:p w14:paraId="33635417">
            <w:pPr>
              <w:spacing w:line="200" w:lineRule="exact"/>
            </w:pPr>
            <w:r>
              <w:rPr>
                <w:rFonts w:ascii="方正黑体_GBK" w:hAnsi="方正黑体_GBK" w:eastAsia="方正黑体_GBK" w:cs="宋体"/>
                <w:sz w:val="18"/>
                <w:szCs w:val="18"/>
              </w:rPr>
              <w:t>2.“每日分红转份额，份额红利再投资”。本理财产品每日进行净收益计算并分配时，每日净收益支付方式只采用净收益转理财产品份额再投资方式，当日净收益结转的份额计入下一工作日投资者份额中，投资者可通过赎回理财产品份额获得现金收益。</w:t>
            </w:r>
          </w:p>
        </w:tc>
      </w:tr>
      <w:tr w14:paraId="58B9EE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FEF973">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olor w:val="000000"/>
                <w:kern w:val="0"/>
                <w:sz w:val="18"/>
                <w:szCs w:val="18"/>
              </w:rPr>
              <w:t>结转规则</w:t>
            </w:r>
          </w:p>
        </w:tc>
        <w:tc>
          <w:tcPr>
            <w:tcW w:w="5543" w:type="dxa"/>
            <w:tcBorders>
              <w:top w:val="single" w:color="auto" w:sz="4" w:space="0"/>
              <w:left w:val="nil"/>
              <w:bottom w:val="single" w:color="auto" w:sz="4" w:space="0"/>
              <w:right w:val="single" w:color="auto" w:sz="4" w:space="0"/>
              <w:tl2br w:val="nil"/>
              <w:tr2bl w:val="nil"/>
            </w:tcBorders>
            <w:vAlign w:val="center"/>
          </w:tcPr>
          <w:p w14:paraId="6861436A">
            <w:pPr>
              <w:spacing w:line="200" w:lineRule="exact"/>
              <w:jc w:val="left"/>
            </w:pPr>
            <w:r>
              <w:rPr>
                <w:rFonts w:ascii="方正黑体_GBK" w:hAnsi="方正黑体_GBK" w:eastAsia="方正黑体_GBK" w:cs="宋体"/>
                <w:color w:val="000000"/>
                <w:sz w:val="18"/>
                <w:szCs w:val="18"/>
              </w:rPr>
              <w:t>1.每日净收益结转份额。</w:t>
            </w:r>
          </w:p>
          <w:p w14:paraId="54FE37E5">
            <w:pPr>
              <w:spacing w:line="200" w:lineRule="exact"/>
              <w:jc w:val="left"/>
            </w:pPr>
            <w:r>
              <w:rPr>
                <w:rFonts w:ascii="方正黑体_GBK" w:hAnsi="方正黑体_GBK" w:eastAsia="方正黑体_GBK" w:cs="宋体"/>
                <w:color w:val="000000"/>
                <w:sz w:val="18"/>
                <w:szCs w:val="18"/>
              </w:rPr>
              <w:t>2.每日结转份额数=投资者当日持有产品份额余额÷10000×当日产品万份收益÷1元/份，结转份额数保留至小数点后 2 位，小数点后第3位按去尾法原则处理，因去尾形成的余额进行再次分配，直到分完为止（单个投资者保留份额较低时，受去尾法的影响，投资者持有份额可能无法获得收益，敬请投资者注意）。</w:t>
            </w:r>
          </w:p>
          <w:p w14:paraId="07A81CF2">
            <w:pPr>
              <w:spacing w:line="200" w:lineRule="exact"/>
              <w:jc w:val="left"/>
            </w:pPr>
            <w:r>
              <w:rPr>
                <w:rFonts w:ascii="方正黑体_GBK" w:hAnsi="方正黑体_GBK" w:eastAsia="方正黑体_GBK" w:cs="宋体"/>
                <w:color w:val="000000"/>
                <w:sz w:val="18"/>
                <w:szCs w:val="18"/>
              </w:rPr>
              <w:t>3.若当日净收益大于0，则增加投资者理财产品份额；若当日净收益等于零，则保持投资者理财产品份额不变；管理人将采取必要措施尽量避免当日净收益小于零，若当日净收益小于0，则相应缩减投资者理财产品份额，在此种情况下，可能出现投资者发起赎回的份额和实际赎回的份额不一致的情况，敬请投资者注意。</w:t>
            </w:r>
          </w:p>
        </w:tc>
      </w:tr>
      <w:tr w14:paraId="7D145C7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CA3894">
            <w:pPr>
              <w:spacing w:line="200" w:lineRule="exact"/>
              <w:rPr>
                <w:rFonts w:ascii="方正黑体_GBK" w:hAnsi="方正黑体_GBK" w:eastAsia="方正黑体_GBK" w:cs="Times New Roman"/>
                <w:color w:val="000000"/>
                <w:kern w:val="0"/>
                <w:sz w:val="18"/>
                <w:szCs w:val="18"/>
              </w:rPr>
            </w:pPr>
            <w:r>
              <w:rPr>
                <w:rFonts w:ascii="方正黑体_GBK" w:hAnsi="方正黑体_GBK" w:eastAsia="方正黑体_GBK" w:cs="Times New Roman"/>
                <w:color w:val="000000"/>
                <w:kern w:val="0"/>
                <w:sz w:val="18"/>
                <w:szCs w:val="18"/>
              </w:rPr>
              <w:t>收益计算公式</w:t>
            </w:r>
          </w:p>
        </w:tc>
        <w:tc>
          <w:tcPr>
            <w:tcW w:w="5543" w:type="dxa"/>
            <w:tcBorders>
              <w:top w:val="single" w:color="auto" w:sz="4" w:space="0"/>
              <w:left w:val="nil"/>
              <w:bottom w:val="single" w:color="auto" w:sz="4" w:space="0"/>
              <w:right w:val="single" w:color="auto" w:sz="4" w:space="0"/>
              <w:tl2br w:val="nil"/>
              <w:tr2bl w:val="nil"/>
            </w:tcBorders>
            <w:vAlign w:val="center"/>
          </w:tcPr>
          <w:p w14:paraId="6568FE17">
            <w:pPr>
              <w:keepNext w:val="0"/>
              <w:keepLines w:val="0"/>
              <w:pageBreakBefore w:val="0"/>
              <w:widowControl/>
              <w:suppressLineNumbers w:val="0"/>
              <w:suppressAutoHyphens w:val="0"/>
              <w:spacing w:line="200" w:lineRule="exact"/>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当日产品每万份收益=当日理财产品净收益÷当日理财产品总份额×10000；</w:t>
            </w:r>
            <w:r>
              <w:rPr>
                <w:rFonts w:hint="eastAsia" w:ascii="方正黑体_GBK" w:hAnsi="方正黑体_GBK" w:eastAsia="方正黑体_GBK"/>
                <w:b/>
                <w:caps w:val="0"/>
                <w:smallCaps w:val="0"/>
                <w:snapToGrid/>
                <w:vanish w:val="0"/>
                <w:color w:val="auto"/>
                <w:kern w:val="0"/>
                <w:sz w:val="18"/>
                <w:szCs w:val="18"/>
                <w:vertAlign w:val="baseline"/>
              </w:rPr>
              <w:t>万份收益采用去尾法保留至小数点后4位</w:t>
            </w:r>
            <w:r>
              <w:rPr>
                <w:rFonts w:hint="eastAsia" w:ascii="方正黑体_GBK" w:hAnsi="方正黑体_GBK" w:eastAsia="方正黑体_GBK"/>
                <w:caps w:val="0"/>
                <w:smallCaps w:val="0"/>
                <w:snapToGrid/>
                <w:vanish w:val="0"/>
                <w:color w:val="auto"/>
                <w:kern w:val="0"/>
                <w:sz w:val="18"/>
                <w:szCs w:val="18"/>
                <w:vertAlign w:val="baseline"/>
              </w:rPr>
              <w:t>。</w:t>
            </w:r>
          </w:p>
          <w:p w14:paraId="70409F2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投资者每日净收益=投资者当日持有产品份额÷10000×当日产品每万份收益。</w:t>
            </w:r>
          </w:p>
        </w:tc>
      </w:tr>
      <w:tr w14:paraId="249FAAF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A3D359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olor w:val="000000"/>
                <w:kern w:val="0"/>
                <w:sz w:val="18"/>
                <w:szCs w:val="18"/>
              </w:rPr>
              <w:t>万份收益和七日年化收益率</w:t>
            </w:r>
          </w:p>
        </w:tc>
        <w:tc>
          <w:tcPr>
            <w:tcW w:w="5543" w:type="dxa"/>
            <w:tcBorders>
              <w:top w:val="single" w:color="auto" w:sz="4" w:space="0"/>
              <w:left w:val="nil"/>
              <w:bottom w:val="single" w:color="auto" w:sz="4" w:space="0"/>
              <w:right w:val="single" w:color="auto" w:sz="4" w:space="0"/>
              <w:tl2br w:val="nil"/>
              <w:tr2bl w:val="nil"/>
            </w:tcBorders>
            <w:vAlign w:val="center"/>
          </w:tcPr>
          <w:p w14:paraId="4B08155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jc w:val="left"/>
              <w:rPr>
                <w:rFonts w:hint="eastAsia" w:ascii="方正黑体_GBK" w:hAnsi="方正黑体_GBK" w:eastAsia="方正黑体_GBK" w:cs="Times New Roman"/>
                <w:vanish w:val="0"/>
                <w:spacing w:val="0"/>
                <w:kern w:val="0"/>
                <w:sz w:val="18"/>
                <w:szCs w:val="18"/>
              </w:rPr>
            </w:pPr>
            <w:r>
              <w:rPr>
                <w:rFonts w:hint="eastAsia" w:ascii="方正黑体_GBK" w:hAnsi="方正黑体_GBK" w:eastAsia="方正黑体_GBK" w:cs="Times New Roman"/>
                <w:vanish w:val="0"/>
                <w:spacing w:val="0"/>
                <w:kern w:val="0"/>
                <w:sz w:val="18"/>
                <w:szCs w:val="18"/>
              </w:rPr>
              <w:t>每个工作日的产品万份收益于下一工作日进行公告（采用去尾法保留至小数点后四位）。</w:t>
            </w:r>
          </w:p>
          <w:p w14:paraId="760DEDDE">
            <w:pPr>
              <w:keepNext w:val="0"/>
              <w:keepLines w:val="0"/>
              <w:pageBreakBefore w:val="0"/>
              <w:widowControl/>
              <w:suppressLineNumbers w:val="0"/>
              <w:suppressAutoHyphens w:val="0"/>
              <w:spacing w:line="200" w:lineRule="exact"/>
              <w:jc w:val="left"/>
              <w:rPr>
                <w:rFonts w:ascii="方正黑体_GBK" w:hAnsi="方正黑体_GBK" w:eastAsia="方正黑体_GBK"/>
                <w:kern w:val="0"/>
                <w:sz w:val="18"/>
                <w:szCs w:val="18"/>
              </w:rPr>
            </w:pPr>
            <w:r>
              <w:rPr>
                <w:rFonts w:hint="eastAsia" w:ascii="方正黑体_GBK" w:hAnsi="方正黑体_GBK" w:eastAsia="方正黑体_GBK" w:cs="Times New Roman"/>
                <w:vanish w:val="0"/>
                <w:spacing w:val="0"/>
                <w:kern w:val="0"/>
                <w:sz w:val="18"/>
                <w:szCs w:val="18"/>
              </w:rPr>
              <w:t>每个工作日公告最近七日（含节假日）收益所折算的产品年化收益率。计算公式：</w:t>
            </w:r>
          </w:p>
          <w:p w14:paraId="0B8E85AD">
            <w:pPr>
              <w:pStyle w:val="34"/>
            </w:pPr>
            <w:r>
              <w:rPr>
                <w:rFonts w:ascii="方正黑体_GBK" w:hAnsi="方正黑体_GBK" w:eastAsia="方正黑体_GBK"/>
              </w:rPr>
              <w:drawing>
                <wp:inline distT="0" distB="0" distL="85090" distR="85090">
                  <wp:extent cx="2828290" cy="637540"/>
                  <wp:effectExtent l="0" t="0" r="0" b="0"/>
                  <wp:docPr id="1" name="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pic:cNvPicPr>
                            <a:picLocks noChangeAspect="1"/>
                          </pic:cNvPicPr>
                        </pic:nvPicPr>
                        <pic:blipFill>
                          <a:blip r:embed="rId7"/>
                          <a:stretch>
                            <a:fillRect/>
                          </a:stretch>
                        </pic:blipFill>
                        <pic:spPr>
                          <a:xfrm>
                            <a:off x="0" y="0"/>
                            <a:ext cx="2828882" cy="638165"/>
                          </a:xfrm>
                          <a:prstGeom prst="rect">
                            <a:avLst/>
                          </a:prstGeom>
                          <a:noFill/>
                          <a:ln w="9525" cap="flat" cmpd="sng">
                            <a:noFill/>
                            <a:prstDash val="solid"/>
                            <a:miter/>
                          </a:ln>
                        </pic:spPr>
                      </pic:pic>
                    </a:graphicData>
                  </a:graphic>
                </wp:inline>
              </w:drawing>
            </w:r>
          </w:p>
          <w:p w14:paraId="74B62ED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jc w:val="left"/>
              <w:rPr>
                <w:rFonts w:hint="eastAsia" w:ascii="方正黑体_GBK" w:hAnsi="方正黑体_GBK" w:eastAsia="方正黑体_GBK" w:cs="Times New Roman"/>
                <w:vanish w:val="0"/>
                <w:spacing w:val="0"/>
                <w:kern w:val="0"/>
                <w:sz w:val="18"/>
                <w:szCs w:val="18"/>
              </w:rPr>
            </w:pPr>
            <w:r>
              <w:rPr>
                <w:rFonts w:hint="eastAsia" w:ascii="方正黑体_GBK" w:hAnsi="方正黑体_GBK" w:eastAsia="方正黑体_GBK" w:cs="Times New Roman"/>
                <w:vanish w:val="0"/>
                <w:spacing w:val="0"/>
                <w:kern w:val="0"/>
                <w:sz w:val="18"/>
                <w:szCs w:val="18"/>
              </w:rPr>
              <w:t>其中，Ri为最近第i个自然日(包括计算当日)的每万份收益。</w:t>
            </w:r>
          </w:p>
          <w:p w14:paraId="4F893B08">
            <w:pPr>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spacing w:val="0"/>
                <w:kern w:val="0"/>
                <w:sz w:val="18"/>
                <w:szCs w:val="18"/>
              </w:rPr>
              <w:t>七日年化收益率采用去尾法保留至百分号内小数点后4位。</w:t>
            </w:r>
          </w:p>
        </w:tc>
      </w:tr>
      <w:tr w14:paraId="6761D2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B49E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63FB86A5">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3D69AAD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CFAFB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784661D0">
            <w:pPr>
              <w:spacing w:line="200" w:lineRule="exact"/>
            </w:pPr>
            <w:r>
              <w:rPr>
                <w:rFonts w:ascii="方正黑体_GBK" w:hAnsi="方正黑体_GBK" w:eastAsia="方正黑体_GBK" w:cs="宋体"/>
                <w:sz w:val="18"/>
                <w:szCs w:val="18"/>
              </w:rPr>
              <w:t>本理财产品投资于以下金融工具：</w:t>
            </w:r>
          </w:p>
          <w:p w14:paraId="4E425AD0">
            <w:pPr>
              <w:spacing w:line="200" w:lineRule="exact"/>
            </w:pPr>
            <w:r>
              <w:rPr>
                <w:rFonts w:ascii="方正黑体_GBK" w:hAnsi="方正黑体_GBK" w:eastAsia="方正黑体_GBK" w:cs="宋体"/>
                <w:sz w:val="18"/>
                <w:szCs w:val="18"/>
              </w:rPr>
              <w:t>1.现金；</w:t>
            </w:r>
          </w:p>
          <w:p w14:paraId="53A5E8A6">
            <w:pPr>
              <w:spacing w:line="200" w:lineRule="exact"/>
            </w:pPr>
            <w:r>
              <w:rPr>
                <w:rFonts w:ascii="方正黑体_GBK" w:hAnsi="方正黑体_GBK" w:eastAsia="方正黑体_GBK" w:cs="宋体"/>
                <w:sz w:val="18"/>
                <w:szCs w:val="18"/>
              </w:rPr>
              <w:t>2.期限在1年以内（含1年）的银行存款、债券回购、中央银行票据、同业存单；</w:t>
            </w:r>
          </w:p>
          <w:p w14:paraId="6A138EDE">
            <w:pPr>
              <w:spacing w:line="200" w:lineRule="exact"/>
            </w:pPr>
            <w:r>
              <w:rPr>
                <w:rFonts w:ascii="方正黑体_GBK" w:hAnsi="方正黑体_GBK" w:eastAsia="方正黑体_GBK" w:cs="宋体"/>
                <w:sz w:val="18"/>
                <w:szCs w:val="18"/>
              </w:rPr>
              <w:t>3.剩余期限在397天以内（含397天）的债券、在银行间市场和证券交易所市场发行的资产支持证券；</w:t>
            </w:r>
          </w:p>
          <w:p w14:paraId="509497CB">
            <w:pPr>
              <w:spacing w:line="200" w:lineRule="exact"/>
            </w:pPr>
            <w:r>
              <w:rPr>
                <w:rFonts w:ascii="方正黑体_GBK" w:hAnsi="方正黑体_GBK" w:eastAsia="方正黑体_GBK" w:cs="宋体"/>
                <w:sz w:val="18"/>
                <w:szCs w:val="18"/>
              </w:rPr>
              <w:t>4.监管部门认可的其他具有良好流动性的货币市场工具；</w:t>
            </w:r>
          </w:p>
          <w:p w14:paraId="64AB77C7">
            <w:pPr>
              <w:spacing w:line="200" w:lineRule="exact"/>
            </w:pPr>
            <w:r>
              <w:rPr>
                <w:rFonts w:ascii="方正黑体_GBK" w:hAnsi="方正黑体_GBK" w:eastAsia="方正黑体_GBK" w:cs="宋体"/>
                <w:sz w:val="18"/>
                <w:szCs w:val="18"/>
              </w:rPr>
              <w:t>5.管理人可直接或间接通过各类资管计划投资于上述资产；</w:t>
            </w:r>
          </w:p>
          <w:p w14:paraId="579C5AF9">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6.如存在法律法规或监管机构以后允许投资的其他品种或法律法规或监管政策出现调整，管理人在履行本理财产品销售文件约定的适当程序后，有权调整以上品种。</w:t>
            </w:r>
          </w:p>
        </w:tc>
      </w:tr>
      <w:tr w14:paraId="7E91866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AF9C1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0815B191">
            <w:pPr>
              <w:spacing w:line="200" w:lineRule="exact"/>
            </w:pPr>
            <w:r>
              <w:rPr>
                <w:rFonts w:ascii="方正黑体_GBK" w:hAnsi="方正黑体_GBK" w:eastAsia="方正黑体_GBK" w:cs="宋体"/>
                <w:sz w:val="18"/>
                <w:szCs w:val="18"/>
              </w:rPr>
              <w:t>本理财产品投资于固定收益类资产的比例不低于80%。</w:t>
            </w:r>
          </w:p>
          <w:p w14:paraId="73A9A628">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7E5C4A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872A9B">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caps w:val="0"/>
                <w:smallCaps w:val="0"/>
                <w:snapToGrid/>
                <w:vanish w:val="0"/>
                <w:color w:val="auto"/>
                <w:kern w:val="0"/>
                <w:sz w:val="18"/>
                <w:szCs w:val="18"/>
                <w:vertAlign w:val="baseline"/>
              </w:rPr>
            </w:pPr>
            <w:r>
              <w:rPr>
                <w:rFonts w:ascii="方正黑体_GBK" w:hAnsi="方正黑体_GBK" w:eastAsia="方正黑体_GBK" w:cs="Times New Roman"/>
                <w:caps w:val="0"/>
                <w:smallCaps w:val="0"/>
                <w:snapToGrid/>
                <w:vanish w:val="0"/>
                <w:color w:val="auto"/>
                <w:kern w:val="0"/>
                <w:sz w:val="18"/>
                <w:szCs w:val="18"/>
                <w:vertAlign w:val="baseline"/>
              </w:rPr>
              <w:t>投资限制</w:t>
            </w:r>
          </w:p>
        </w:tc>
        <w:tc>
          <w:tcPr>
            <w:tcW w:w="5543" w:type="dxa"/>
            <w:tcBorders>
              <w:top w:val="single" w:color="auto" w:sz="4" w:space="0"/>
              <w:left w:val="nil"/>
              <w:bottom w:val="single" w:color="auto" w:sz="4" w:space="0"/>
              <w:right w:val="single" w:color="auto" w:sz="4" w:space="0"/>
              <w:tl2br w:val="nil"/>
              <w:tr2bl w:val="nil"/>
            </w:tcBorders>
            <w:vAlign w:val="center"/>
          </w:tcPr>
          <w:p w14:paraId="397D5B2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本理财产品不得投资于以下金融工具：</w:t>
            </w:r>
          </w:p>
          <w:p w14:paraId="420F6CA9">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1.股票；</w:t>
            </w:r>
          </w:p>
          <w:p w14:paraId="2AC6340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2.可转换债券、可交换债券；</w:t>
            </w:r>
          </w:p>
          <w:p w14:paraId="0E56D02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3.以定期存款利率为基准利率的浮动利率债券，已进入最后一个利率调整期的除外；</w:t>
            </w:r>
          </w:p>
          <w:p w14:paraId="7E79E2CC">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4.信用等级在AA+以下的债券、资产支持证券；</w:t>
            </w:r>
          </w:p>
          <w:p w14:paraId="7CF6DBF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5.监管部门禁止投资的其他金融工具。</w:t>
            </w:r>
          </w:p>
          <w:p w14:paraId="26A6BFEE">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管理人按照监管要求开展相关金融工具和投资组合的投资管理。</w:t>
            </w:r>
          </w:p>
        </w:tc>
      </w:tr>
      <w:tr w14:paraId="64C49D4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5B0E10D">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caps w:val="0"/>
                <w:smallCaps w:val="0"/>
                <w:snapToGrid/>
                <w:vanish w:val="0"/>
                <w:color w:val="auto"/>
                <w:kern w:val="0"/>
                <w:sz w:val="18"/>
                <w:szCs w:val="18"/>
                <w:vertAlign w:val="baseline"/>
              </w:rPr>
            </w:pPr>
            <w:r>
              <w:rPr>
                <w:rFonts w:ascii="方正黑体_GBK" w:hAnsi="方正黑体_GBK" w:eastAsia="方正黑体_GBK" w:cs="Times New Roman"/>
                <w:caps w:val="0"/>
                <w:smallCaps w:val="0"/>
                <w:snapToGrid/>
                <w:vanish w:val="0"/>
                <w:color w:val="auto"/>
                <w:kern w:val="0"/>
                <w:sz w:val="18"/>
                <w:szCs w:val="18"/>
                <w:vertAlign w:val="baseline"/>
              </w:rPr>
              <w:t>投资者集中度</w:t>
            </w:r>
          </w:p>
        </w:tc>
        <w:tc>
          <w:tcPr>
            <w:tcW w:w="5543" w:type="dxa"/>
            <w:tcBorders>
              <w:top w:val="single" w:color="auto" w:sz="4" w:space="0"/>
              <w:left w:val="nil"/>
              <w:bottom w:val="single" w:color="auto" w:sz="4" w:space="0"/>
              <w:right w:val="single" w:color="auto" w:sz="4" w:space="0"/>
              <w:tl2br w:val="nil"/>
              <w:tr2bl w:val="nil"/>
            </w:tcBorders>
            <w:vAlign w:val="center"/>
          </w:tcPr>
          <w:p w14:paraId="70C5D2E2">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1.当前10名投资者的持有份额合计超过本理财产品总份额的50%时，投资组合的平均剩余期限不得超过60天，平均剩余存续期限不得超过120天，投资组合中现金、国债、中央银行票据、政策性金融债券以及5个交易日内到期的其他金融工具占本理财产品资产净值的比例合计不得低于30%；</w:t>
            </w:r>
          </w:p>
          <w:p w14:paraId="04F6A5C3">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2.当前10名投资者的持有份额合计超过本理财产品总份额的20%时，投资组合的平均剩余期限不得超过90天，平均剩余存续期限不得超过180天，投资组合中现金、国债、中央银行票据、政策性金融债券以及5个交易日内到期的其他金融工具占本理财产品资产净值的比例合计不得低于20%。</w:t>
            </w:r>
          </w:p>
          <w:p w14:paraId="59B32B42">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非因管理人主观因素导致突破上述第1项、第2项比例限制的，管理人应当在10个交易日内调整至符合要求，监管部门规定的特殊情形除外。</w:t>
            </w:r>
          </w:p>
        </w:tc>
      </w:tr>
      <w:tr w14:paraId="714D013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3F27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5CBC53A6">
            <w:pPr>
              <w:spacing w:line="200" w:lineRule="exact"/>
            </w:pPr>
            <w:r>
              <w:rPr>
                <w:rFonts w:ascii="方正黑体_GBK" w:hAnsi="方正黑体_GBK" w:eastAsia="方正黑体_GBK" w:cs="宋体"/>
                <w:sz w:val="18"/>
                <w:szCs w:val="18"/>
              </w:rPr>
              <w:t>本理财产品坚持稳健的投资风格，坚持流动性管理工具的定位，通过对宏观经济、政策环境和资金供求的深入分析，自上而下进行积极主动的配置，构建合理的投资组合方案。投资上坚持流动性，兼顾收益性的目标进行操作，保证流动性安全、信用风险可控的基础上为投资者提供相对稳定的收益回报。</w:t>
            </w:r>
          </w:p>
        </w:tc>
      </w:tr>
      <w:tr w14:paraId="43EFD50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C645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62C1AF52">
            <w:pPr>
              <w:spacing w:line="200" w:lineRule="exact"/>
            </w:pPr>
            <w:r>
              <w:rPr>
                <w:rFonts w:ascii="方正黑体_GBK" w:hAnsi="方正黑体_GBK" w:eastAsia="方正黑体_GBK" w:cs="宋体"/>
                <w:sz w:val="18"/>
                <w:szCs w:val="18"/>
              </w:rPr>
              <w:t>业绩比较基准为中国人民银行发布的7天通知存款基准利率。</w:t>
            </w:r>
          </w:p>
          <w:p w14:paraId="03B5D5D3">
            <w:pPr>
              <w:spacing w:line="200" w:lineRule="exact"/>
              <w:jc w:val="lef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结合债券市场的收益和波动水平，管理人设定了本理财产品业绩比较基准为中国人民银行发布的7天通知存款基准利率。</w:t>
            </w:r>
          </w:p>
          <w:p w14:paraId="0C200D49">
            <w:pPr>
              <w:spacing w:line="200" w:lineRule="exact"/>
              <w:jc w:val="left"/>
            </w:pPr>
            <w:r>
              <w:rPr>
                <w:rFonts w:ascii="方正黑体_GBK" w:hAnsi="方正黑体_GBK" w:eastAsia="方正黑体_GBK" w:cs="宋体"/>
                <w:sz w:val="18"/>
                <w:szCs w:val="18"/>
              </w:rPr>
              <w:t>注：管理人可根据市场情况对业绩比较基准进行适当调整，如有调整，将至少于调整前3个工作日公布调整方案。</w:t>
            </w:r>
          </w:p>
          <w:p w14:paraId="501CBBFA">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5E4DD0E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970903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270CFB8D">
            <w:pPr>
              <w:spacing w:line="200" w:lineRule="exact"/>
            </w:pPr>
            <w:r>
              <w:rPr>
                <w:rFonts w:ascii="方正黑体_GBK" w:hAnsi="方正黑体_GBK" w:eastAsia="方正黑体_GBK" w:cs="宋体"/>
                <w:b/>
                <w:sz w:val="18"/>
                <w:szCs w:val="18"/>
              </w:rPr>
              <w:t>认/申购费：本理财产品暂不收取认/申购费。</w:t>
            </w:r>
          </w:p>
          <w:p w14:paraId="75E6C057">
            <w:pPr>
              <w:spacing w:line="200" w:lineRule="exact"/>
            </w:pPr>
            <w:r>
              <w:rPr>
                <w:rFonts w:ascii="方正黑体_GBK" w:hAnsi="方正黑体_GBK" w:eastAsia="方正黑体_GBK" w:cs="宋体"/>
                <w:b/>
                <w:sz w:val="18"/>
                <w:szCs w:val="18"/>
              </w:rPr>
              <w:t>赎回费：本理财产品暂不收取赎回费。</w:t>
            </w:r>
          </w:p>
          <w:p w14:paraId="380A1781">
            <w:pPr>
              <w:spacing w:line="200" w:lineRule="exact"/>
            </w:pPr>
            <w:r>
              <w:rPr>
                <w:rFonts w:ascii="方正黑体_GBK" w:hAnsi="方正黑体_GBK" w:eastAsia="方正黑体_GBK" w:cs="宋体"/>
                <w:b/>
                <w:sz w:val="18"/>
                <w:szCs w:val="18"/>
              </w:rPr>
              <w:t>销售费：本理财产品按当日理财产品份额收取销售费，按日计提。</w:t>
            </w:r>
          </w:p>
          <w:p w14:paraId="30541CA2">
            <w:pPr>
              <w:spacing w:line="200" w:lineRule="exact"/>
            </w:pPr>
            <w:r>
              <w:rPr>
                <w:rFonts w:ascii="方正黑体_GBK" w:hAnsi="方正黑体_GBK" w:eastAsia="方正黑体_GBK" w:cs="宋体"/>
                <w:b/>
                <w:sz w:val="18"/>
                <w:szCs w:val="18"/>
              </w:rPr>
              <w:t>A份额：销售费年化0.2%</w:t>
            </w:r>
          </w:p>
          <w:p w14:paraId="16E727F5">
            <w:pPr>
              <w:spacing w:line="200" w:lineRule="exact"/>
            </w:pPr>
            <w:r>
              <w:rPr>
                <w:rFonts w:ascii="方正黑体_GBK" w:hAnsi="方正黑体_GBK" w:eastAsia="方正黑体_GBK" w:cs="宋体"/>
                <w:b/>
                <w:sz w:val="18"/>
                <w:szCs w:val="18"/>
              </w:rPr>
              <w:t>B份额：销售费年化0.2%</w:t>
            </w:r>
          </w:p>
          <w:p w14:paraId="2C952A04">
            <w:pPr>
              <w:spacing w:line="200" w:lineRule="exact"/>
            </w:pPr>
            <w:r>
              <w:rPr>
                <w:rFonts w:ascii="方正黑体_GBK" w:hAnsi="方正黑体_GBK" w:eastAsia="方正黑体_GBK" w:cs="宋体"/>
                <w:b/>
                <w:sz w:val="18"/>
                <w:szCs w:val="18"/>
              </w:rPr>
              <w:t>C份额：销售费年化0.2%</w:t>
            </w:r>
          </w:p>
          <w:p w14:paraId="445AF74D">
            <w:pPr>
              <w:spacing w:line="200" w:lineRule="exact"/>
            </w:pPr>
            <w:r>
              <w:rPr>
                <w:rFonts w:ascii="方正黑体_GBK" w:hAnsi="方正黑体_GBK" w:eastAsia="方正黑体_GBK" w:cs="宋体"/>
                <w:b/>
                <w:sz w:val="18"/>
                <w:szCs w:val="18"/>
              </w:rPr>
              <w:t>D份额：销售费年化0.2%</w:t>
            </w:r>
          </w:p>
          <w:p w14:paraId="1487246E">
            <w:pPr>
              <w:spacing w:line="200" w:lineRule="exact"/>
            </w:pPr>
            <w:r>
              <w:rPr>
                <w:rFonts w:ascii="方正黑体_GBK" w:hAnsi="方正黑体_GBK" w:eastAsia="方正黑体_GBK" w:cs="宋体"/>
                <w:b/>
                <w:sz w:val="18"/>
                <w:szCs w:val="18"/>
              </w:rPr>
              <w:t>E份额：销售费年化0.4%</w:t>
            </w:r>
          </w:p>
          <w:p w14:paraId="78306895">
            <w:pPr>
              <w:spacing w:line="200" w:lineRule="exact"/>
            </w:pPr>
            <w:r>
              <w:rPr>
                <w:rFonts w:ascii="方正黑体_GBK" w:hAnsi="方正黑体_GBK" w:eastAsia="方正黑体_GBK" w:cs="宋体"/>
                <w:b/>
                <w:sz w:val="18"/>
                <w:szCs w:val="18"/>
              </w:rPr>
              <w:t>F份额：销售费年化0.2%</w:t>
            </w:r>
          </w:p>
          <w:p w14:paraId="192A737A">
            <w:pPr>
              <w:spacing w:line="200" w:lineRule="exact"/>
            </w:pPr>
            <w:r>
              <w:rPr>
                <w:rFonts w:ascii="方正黑体_GBK" w:hAnsi="方正黑体_GBK" w:eastAsia="方正黑体_GBK" w:cs="宋体"/>
                <w:b/>
                <w:sz w:val="18"/>
                <w:szCs w:val="18"/>
              </w:rPr>
              <w:t>G份额：销售费年化0.2%</w:t>
            </w:r>
          </w:p>
          <w:p w14:paraId="1FE2ABB4">
            <w:pPr>
              <w:spacing w:line="200" w:lineRule="exact"/>
            </w:pPr>
            <w:r>
              <w:rPr>
                <w:rFonts w:ascii="方正黑体_GBK" w:hAnsi="方正黑体_GBK" w:eastAsia="方正黑体_GBK" w:cs="宋体"/>
                <w:b/>
                <w:sz w:val="18"/>
                <w:szCs w:val="18"/>
              </w:rPr>
              <w:t>每日计提的销售费=当日理财产品份额×1元/份×年化销售费率÷365</w:t>
            </w:r>
          </w:p>
          <w:p w14:paraId="0BFB9531">
            <w:pPr>
              <w:spacing w:line="200" w:lineRule="exact"/>
            </w:pPr>
            <w:r>
              <w:rPr>
                <w:rFonts w:ascii="方正黑体_GBK" w:hAnsi="方正黑体_GBK" w:eastAsia="方正黑体_GBK" w:cs="宋体"/>
                <w:b/>
                <w:sz w:val="18"/>
                <w:szCs w:val="18"/>
              </w:rPr>
              <w:t>固定管理费：本理财产品按当日理财产品份额收取固定管理费，按日计提。</w:t>
            </w:r>
          </w:p>
          <w:p w14:paraId="31C388DA">
            <w:pPr>
              <w:spacing w:line="200" w:lineRule="exact"/>
            </w:pPr>
            <w:r>
              <w:rPr>
                <w:rFonts w:ascii="方正黑体_GBK" w:hAnsi="方正黑体_GBK" w:eastAsia="方正黑体_GBK" w:cs="宋体"/>
                <w:b/>
                <w:sz w:val="18"/>
                <w:szCs w:val="18"/>
              </w:rPr>
              <w:t>A份额：固定管理费年化0.5%</w:t>
            </w:r>
          </w:p>
          <w:p w14:paraId="0D86DDE0">
            <w:pPr>
              <w:spacing w:line="200" w:lineRule="exact"/>
            </w:pPr>
            <w:r>
              <w:rPr>
                <w:rFonts w:ascii="方正黑体_GBK" w:hAnsi="方正黑体_GBK" w:eastAsia="方正黑体_GBK" w:cs="宋体"/>
                <w:b/>
                <w:sz w:val="18"/>
                <w:szCs w:val="18"/>
              </w:rPr>
              <w:t>B份额：固定管理费年化0.5%</w:t>
            </w:r>
          </w:p>
          <w:p w14:paraId="599D625D">
            <w:pPr>
              <w:spacing w:line="200" w:lineRule="exact"/>
            </w:pPr>
            <w:r>
              <w:rPr>
                <w:rFonts w:ascii="方正黑体_GBK" w:hAnsi="方正黑体_GBK" w:eastAsia="方正黑体_GBK" w:cs="宋体"/>
                <w:b/>
                <w:sz w:val="18"/>
                <w:szCs w:val="18"/>
              </w:rPr>
              <w:t>C份额：固定管理费年化0.5%</w:t>
            </w:r>
          </w:p>
          <w:p w14:paraId="07769662">
            <w:pPr>
              <w:spacing w:line="200" w:lineRule="exact"/>
            </w:pPr>
            <w:r>
              <w:rPr>
                <w:rFonts w:ascii="方正黑体_GBK" w:hAnsi="方正黑体_GBK" w:eastAsia="方正黑体_GBK" w:cs="宋体"/>
                <w:b/>
                <w:sz w:val="18"/>
                <w:szCs w:val="18"/>
              </w:rPr>
              <w:t>D份额：固定管理费年化0.5%</w:t>
            </w:r>
          </w:p>
          <w:p w14:paraId="1F49F6B7">
            <w:pPr>
              <w:spacing w:line="200" w:lineRule="exact"/>
            </w:pPr>
            <w:r>
              <w:rPr>
                <w:rFonts w:ascii="方正黑体_GBK" w:hAnsi="方正黑体_GBK" w:eastAsia="方正黑体_GBK" w:cs="宋体"/>
                <w:b/>
                <w:sz w:val="18"/>
                <w:szCs w:val="18"/>
              </w:rPr>
              <w:t>E份额：固定管理费年化0.3%</w:t>
            </w:r>
          </w:p>
          <w:p w14:paraId="0C855961">
            <w:pPr>
              <w:spacing w:line="200" w:lineRule="exact"/>
            </w:pPr>
            <w:r>
              <w:rPr>
                <w:rFonts w:ascii="方正黑体_GBK" w:hAnsi="方正黑体_GBK" w:eastAsia="方正黑体_GBK" w:cs="宋体"/>
                <w:b/>
                <w:sz w:val="18"/>
                <w:szCs w:val="18"/>
              </w:rPr>
              <w:t>F份额：固定管理费年化0.5%</w:t>
            </w:r>
          </w:p>
          <w:p w14:paraId="62E45EE2">
            <w:pPr>
              <w:spacing w:line="200" w:lineRule="exact"/>
            </w:pPr>
            <w:r>
              <w:rPr>
                <w:rFonts w:ascii="方正黑体_GBK" w:hAnsi="方正黑体_GBK" w:eastAsia="方正黑体_GBK" w:cs="宋体"/>
                <w:b/>
                <w:sz w:val="18"/>
                <w:szCs w:val="18"/>
              </w:rPr>
              <w:t>G份额：固定管理费年化0.5%</w:t>
            </w:r>
          </w:p>
          <w:p w14:paraId="5A028D78">
            <w:pPr>
              <w:spacing w:line="200" w:lineRule="exact"/>
            </w:pPr>
            <w:r>
              <w:rPr>
                <w:rFonts w:ascii="方正黑体_GBK" w:hAnsi="方正黑体_GBK" w:eastAsia="方正黑体_GBK" w:cs="宋体"/>
                <w:b/>
                <w:sz w:val="18"/>
                <w:szCs w:val="18"/>
              </w:rPr>
              <w:t>每日计提的固定管理费=当日理财产品份额×1元/份×年化固定管理费率÷365</w:t>
            </w:r>
          </w:p>
          <w:p w14:paraId="67DECD18">
            <w:pPr>
              <w:spacing w:line="200" w:lineRule="exact"/>
            </w:pPr>
            <w:r>
              <w:rPr>
                <w:rFonts w:ascii="方正黑体_GBK" w:hAnsi="方正黑体_GBK" w:eastAsia="方正黑体_GBK" w:cs="宋体"/>
                <w:b/>
                <w:sz w:val="18"/>
                <w:szCs w:val="18"/>
              </w:rPr>
              <w:t>托管费：本理财产品按当日理财产品份额收取年化0.02%的托管费，按日计提。</w:t>
            </w:r>
          </w:p>
          <w:p w14:paraId="1F9F3241">
            <w:pPr>
              <w:spacing w:line="200" w:lineRule="exact"/>
            </w:pPr>
            <w:r>
              <w:rPr>
                <w:rFonts w:ascii="方正黑体_GBK" w:hAnsi="方正黑体_GBK" w:eastAsia="方正黑体_GBK" w:cs="宋体"/>
                <w:b/>
                <w:sz w:val="18"/>
                <w:szCs w:val="18"/>
              </w:rPr>
              <w:t>每日计提的托管费=当日理财产品份额×1元/份×年化托管费率÷365</w:t>
            </w:r>
          </w:p>
          <w:p w14:paraId="2C94F525">
            <w:pPr>
              <w:spacing w:line="200" w:lineRule="exact"/>
              <w:jc w:val="left"/>
            </w:pPr>
            <w:r>
              <w:rPr>
                <w:rFonts w:ascii="方正黑体_GBK" w:hAnsi="方正黑体_GBK" w:eastAsia="方正黑体_GBK" w:cs="宋体"/>
                <w:b/>
                <w:color w:val="000000"/>
                <w:sz w:val="18"/>
                <w:szCs w:val="18"/>
              </w:rPr>
              <w:t>强制赎回费：1.在满足相关流动性风险管理要求的前提下，当本理财产品持有的现金、国债、中央银行票据、政策性金融债券以及5个交易日内到期的其他金融工具占产品资产净值的比例合计低于5%且偏离度为负时，管理人有权对当日单个产品投资者申请赎回份额超过本理财产品总份额1%以上的赎回申请征收1%的强制赎回费用，并将上述赎回费用全额计入本理财产品财产。管理人与托管人协商确认上述做法无益于本理财产品利益最大化的情形除外。</w:t>
            </w:r>
          </w:p>
          <w:p w14:paraId="3A56CCA3">
            <w:pPr>
              <w:spacing w:line="200" w:lineRule="exact"/>
              <w:jc w:val="left"/>
            </w:pPr>
            <w:r>
              <w:rPr>
                <w:rFonts w:ascii="方正黑体_GBK" w:hAnsi="方正黑体_GBK" w:eastAsia="方正黑体_GBK" w:cs="宋体"/>
                <w:b/>
                <w:color w:val="000000"/>
                <w:sz w:val="18"/>
                <w:szCs w:val="18"/>
              </w:rPr>
              <w:t>2.本理财产品前10名投资者的持有份额合计超过产品总份额50%的，当投资组合中现金、国债、中央银行票据、政策性金融债券以及5个交易日内到期的其他金融工具占该产品资产净值的比例合计低于10%且偏离度为负时，管理人有权对投资者超过产品总份额1%以上的赎回申请征收1%的强制赎回费用。</w:t>
            </w:r>
          </w:p>
          <w:p w14:paraId="47BF313A">
            <w:pPr>
              <w:spacing w:line="200" w:lineRule="exact"/>
              <w:jc w:val="left"/>
            </w:pPr>
            <w:r>
              <w:rPr>
                <w:rFonts w:ascii="方正黑体_GBK" w:hAnsi="方正黑体_GBK" w:eastAsia="方正黑体_GBK" w:cs="宋体"/>
                <w:b/>
                <w:color w:val="000000"/>
                <w:sz w:val="18"/>
                <w:szCs w:val="18"/>
              </w:rPr>
              <w:t>3.强制赎回费用将从投资者赎回资金中扣除，敬请投资者注意。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14:paraId="255E396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E3005C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084F29EF">
            <w:pPr>
              <w:spacing w:line="200" w:lineRule="exact"/>
              <w:jc w:val="left"/>
            </w:pPr>
            <w:r>
              <w:rPr>
                <w:rFonts w:ascii="方正黑体_GBK" w:hAnsi="方正黑体_GBK" w:eastAsia="方正黑体_GBK" w:cs="宋体"/>
                <w:color w:val="000000"/>
                <w:sz w:val="18"/>
                <w:szCs w:val="18"/>
              </w:rPr>
              <w:t>具体参见本理财产品风险揭示书。</w:t>
            </w:r>
          </w:p>
          <w:p w14:paraId="1476C7A4">
            <w:pPr>
              <w:spacing w:line="200" w:lineRule="exact"/>
              <w:jc w:val="left"/>
            </w:pPr>
            <w:r>
              <w:rPr>
                <w:rFonts w:ascii="方正黑体_GBK" w:hAnsi="方正黑体_GBK" w:eastAsia="方正黑体_GBK"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2FC9021E">
            <w:pPr>
              <w:spacing w:line="200" w:lineRule="exact"/>
              <w:jc w:val="left"/>
            </w:pPr>
            <w:r>
              <w:rPr>
                <w:rFonts w:ascii="方正黑体_GBK" w:hAnsi="方正黑体_GBK" w:eastAsia="方正黑体_GBK" w:cs="宋体"/>
                <w:color w:val="000000"/>
                <w:sz w:val="18"/>
                <w:szCs w:val="18"/>
              </w:rPr>
              <w:t>一是建仓或进行组合调整时，若投资资产包括债券或基金，可能由于特定债券或基金的流动性相对不足而无法按预期的价格买进（申购）或卖出（赎回）；</w:t>
            </w:r>
          </w:p>
          <w:p w14:paraId="4E407146">
            <w:pPr>
              <w:spacing w:line="200" w:lineRule="exact"/>
              <w:jc w:val="left"/>
            </w:pPr>
            <w:r>
              <w:rPr>
                <w:rFonts w:ascii="方正黑体_GBK" w:hAnsi="方正黑体_GBK" w:eastAsia="方正黑体_GBK" w:cs="宋体"/>
                <w:color w:val="000000"/>
                <w:sz w:val="18"/>
                <w:szCs w:val="18"/>
              </w:rPr>
              <w:t>二是为应对投资者的赎回，被迫以不适当的价格卖出债券或赎回基金；</w:t>
            </w:r>
          </w:p>
          <w:p w14:paraId="05535510">
            <w:pPr>
              <w:spacing w:line="200" w:lineRule="exact"/>
              <w:jc w:val="left"/>
            </w:pPr>
            <w:r>
              <w:rPr>
                <w:rFonts w:ascii="方正黑体_GBK" w:hAnsi="方正黑体_GBK" w:eastAsia="方正黑体_GBK" w:cs="宋体"/>
                <w:color w:val="000000"/>
                <w:sz w:val="18"/>
                <w:szCs w:val="18"/>
              </w:rPr>
              <w:t>三是若投资资产包括非标准化债权类资产，可能由于资产缺少流动性而难以变现。</w:t>
            </w:r>
          </w:p>
          <w:p w14:paraId="0E6C404E">
            <w:pPr>
              <w:spacing w:line="200" w:lineRule="exact"/>
              <w:jc w:val="left"/>
            </w:pPr>
            <w:r>
              <w:rPr>
                <w:rFonts w:ascii="方正黑体_GBK" w:hAnsi="方正黑体_GBK" w:eastAsia="方正黑体_GBK" w:cs="宋体"/>
                <w:color w:val="000000"/>
                <w:sz w:val="18"/>
                <w:szCs w:val="18"/>
              </w:rPr>
              <w:t>以上情形均可能使产品净值受到不利影响。</w:t>
            </w:r>
          </w:p>
        </w:tc>
      </w:tr>
      <w:tr w14:paraId="76CF51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52930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497D2C96">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337FA583">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4A0EF1E2">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31C8072E">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2713C78F">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6353E303">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3EDE13AD">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65D23E40">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615AF93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551DFF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517B94B0">
            <w:pPr>
              <w:spacing w:line="200" w:lineRule="exact"/>
              <w:jc w:val="left"/>
            </w:pPr>
            <w:r>
              <w:rPr>
                <w:rFonts w:ascii="方正黑体_GBK" w:hAnsi="方正黑体_GBK" w:eastAsia="方正黑体_GBK" w:cs="宋体"/>
                <w:sz w:val="18"/>
                <w:szCs w:val="18"/>
              </w:rPr>
              <w:t>本理财产品销售机构为南银理财有限责任公司、南京银行股份有限公司、中原银行股份有限公司、九江银行股份有限公司、江苏紫金农村商业银行股份有限公司、江苏江南农村商业银行股份有限公司、中信百信银行股份有限公司、中邮邮惠万家银行有限责任公司、无锡农村商业银行股份有限公司、浙江网商银行股份有限公司、江苏张家港农村商业银行股份有限公司、江苏江阴农村商业银行股份有限公司。管理人有权调整本理财产品的销售机构并进行信息披露。</w:t>
            </w:r>
          </w:p>
          <w:p w14:paraId="36D73BBB">
            <w:pPr>
              <w:spacing w:line="200" w:lineRule="exact"/>
              <w:jc w:val="left"/>
            </w:pPr>
            <w:r>
              <w:rPr>
                <w:rFonts w:ascii="方正黑体_GBK" w:hAnsi="方正黑体_GBK" w:eastAsia="方正黑体_GBK" w:cs="宋体"/>
                <w:sz w:val="18"/>
                <w:szCs w:val="18"/>
              </w:rPr>
              <w:t>销售机构主要职责如下：</w:t>
            </w:r>
          </w:p>
          <w:p w14:paraId="6FB1CF90">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2A410E74">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24B28F47">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7CE47590">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64C4C63B">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0475241A">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197C7E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98329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76B043D4">
            <w:pPr>
              <w:spacing w:line="200" w:lineRule="exact"/>
            </w:pPr>
            <w:r>
              <w:rPr>
                <w:rFonts w:ascii="方正黑体_GBK" w:hAnsi="方正黑体_GBK" w:eastAsia="方正黑体_GBK" w:cs="宋体"/>
                <w:sz w:val="18"/>
                <w:szCs w:val="18"/>
              </w:rPr>
              <w:t>本理财产品托管人为南京银行股份有限公司，主要职责如下：</w:t>
            </w:r>
          </w:p>
          <w:p w14:paraId="21EDA341">
            <w:pPr>
              <w:spacing w:line="200" w:lineRule="exact"/>
            </w:pPr>
            <w:r>
              <w:rPr>
                <w:rFonts w:ascii="方正黑体_GBK" w:hAnsi="方正黑体_GBK" w:eastAsia="方正黑体_GBK" w:cs="宋体"/>
                <w:sz w:val="18"/>
                <w:szCs w:val="18"/>
              </w:rPr>
              <w:t>1.安全保管理财产品财产；</w:t>
            </w:r>
          </w:p>
          <w:p w14:paraId="429D1504">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68861839">
            <w:pPr>
              <w:spacing w:line="200" w:lineRule="exact"/>
            </w:pPr>
            <w:r>
              <w:rPr>
                <w:rFonts w:ascii="方正黑体_GBK" w:hAnsi="方正黑体_GBK" w:eastAsia="方正黑体_GBK" w:cs="宋体"/>
                <w:sz w:val="18"/>
                <w:szCs w:val="18"/>
              </w:rPr>
              <w:t>3.按照托管协议约定和管理人的投资指令，及时办理清算、交割事宜；</w:t>
            </w:r>
          </w:p>
          <w:p w14:paraId="66D4E789">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213BF885">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785A23F2">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7CDC50A3">
            <w:pPr>
              <w:spacing w:line="200" w:lineRule="exact"/>
            </w:pPr>
            <w:r>
              <w:rPr>
                <w:rFonts w:ascii="方正黑体_GBK" w:hAnsi="方正黑体_GBK" w:eastAsia="方正黑体_GBK" w:cs="宋体"/>
                <w:sz w:val="18"/>
                <w:szCs w:val="18"/>
              </w:rPr>
              <w:t>7.理财托管业务活动的记录、账册、报表和其他相关资料保存20年以上；</w:t>
            </w:r>
          </w:p>
          <w:p w14:paraId="4BDCF143">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5F41C997">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15DCF18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DFF2EB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巨额赎回处理</w:t>
            </w:r>
          </w:p>
        </w:tc>
        <w:tc>
          <w:tcPr>
            <w:tcW w:w="5543" w:type="dxa"/>
            <w:tcBorders>
              <w:top w:val="single" w:color="auto" w:sz="4" w:space="0"/>
              <w:left w:val="nil"/>
              <w:bottom w:val="single" w:color="auto" w:sz="4" w:space="0"/>
              <w:right w:val="single" w:color="auto" w:sz="4" w:space="0"/>
              <w:tl2br w:val="nil"/>
              <w:tr2bl w:val="nil"/>
            </w:tcBorders>
            <w:vAlign w:val="center"/>
          </w:tcPr>
          <w:p w14:paraId="30FAE0A4">
            <w:pPr>
              <w:spacing w:line="200" w:lineRule="exact"/>
              <w:jc w:val="left"/>
            </w:pPr>
            <w:r>
              <w:rPr>
                <w:rFonts w:ascii="方正黑体_GBK" w:hAnsi="方正黑体_GBK" w:eastAsia="方正黑体_GBK" w:cs="宋体"/>
                <w:color w:val="000000"/>
                <w:sz w:val="18"/>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14:paraId="53BF620D">
            <w:pPr>
              <w:spacing w:line="200" w:lineRule="exact"/>
              <w:jc w:val="left"/>
            </w:pPr>
            <w:r>
              <w:rPr>
                <w:rFonts w:ascii="方正黑体_GBK" w:hAnsi="方正黑体_GBK" w:eastAsia="方正黑体_GBK" w:cs="宋体"/>
                <w:color w:val="000000"/>
                <w:sz w:val="18"/>
                <w:szCs w:val="18"/>
              </w:rPr>
              <w:t>1.接受全额赎回：当管理人认为有能力兑付投资者的全部赎回申请时，将在赎回确认日按正常赎回程序执行；</w:t>
            </w:r>
          </w:p>
          <w:p w14:paraId="298E5C3E">
            <w:pPr>
              <w:spacing w:line="200" w:lineRule="exact"/>
              <w:jc w:val="left"/>
            </w:pPr>
            <w:r>
              <w:rPr>
                <w:rFonts w:ascii="方正黑体_GBK" w:hAnsi="方正黑体_GBK" w:eastAsia="方正黑体_GBK" w:cs="宋体"/>
                <w:color w:val="000000"/>
                <w:sz w:val="18"/>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14:paraId="38EE694F">
            <w:pPr>
              <w:spacing w:line="200" w:lineRule="exact"/>
              <w:jc w:val="left"/>
            </w:pPr>
            <w:r>
              <w:rPr>
                <w:rFonts w:ascii="方正黑体_GBK" w:hAnsi="方正黑体_GBK" w:eastAsia="方正黑体_GBK" w:cs="宋体"/>
                <w:color w:val="000000"/>
                <w:sz w:val="18"/>
                <w:szCs w:val="18"/>
              </w:rPr>
              <w:t>（1）对于接受赎回申请的部分，管理人将按单个投资者的赎回申请份额占当日所有投资者的净赎回申请总份额的比例，确认该投资者当日办理的赎回申请份额。</w:t>
            </w:r>
          </w:p>
          <w:p w14:paraId="61CC2F90">
            <w:pPr>
              <w:spacing w:line="200" w:lineRule="exact"/>
              <w:jc w:val="left"/>
            </w:pPr>
            <w:r>
              <w:rPr>
                <w:rFonts w:ascii="方正黑体_GBK" w:hAnsi="方正黑体_GBK" w:eastAsia="方正黑体_GBK" w:cs="宋体"/>
                <w:color w:val="000000"/>
                <w:sz w:val="18"/>
                <w:szCs w:val="18"/>
              </w:rPr>
              <w:t>（2）对于暂停接受的部分，管理人将拒绝该部分赎回申请，投资者可在下一个产品开放日再次发起赎回申请。</w:t>
            </w:r>
          </w:p>
          <w:p w14:paraId="1E0E8D08">
            <w:pPr>
              <w:spacing w:line="200" w:lineRule="exact"/>
              <w:jc w:val="left"/>
            </w:pPr>
            <w:r>
              <w:rPr>
                <w:rFonts w:ascii="方正黑体_GBK" w:hAnsi="方正黑体_GBK" w:eastAsia="方正黑体_GBK" w:cs="宋体"/>
                <w:color w:val="000000"/>
                <w:sz w:val="18"/>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14:paraId="2D3C25E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EC33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连续巨额赎回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40A5AEFF">
            <w:pPr>
              <w:spacing w:line="200" w:lineRule="exact"/>
            </w:pPr>
            <w:r>
              <w:rPr>
                <w:rFonts w:ascii="方正黑体_GBK" w:hAnsi="方正黑体_GBK" w:eastAsia="方正黑体_GBK" w:cs="宋体"/>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14:paraId="34077D9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A8AE37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暂停接受认申购的情形及处理</w:t>
            </w:r>
          </w:p>
        </w:tc>
        <w:tc>
          <w:tcPr>
            <w:tcW w:w="5543" w:type="dxa"/>
            <w:tcBorders>
              <w:top w:val="single" w:color="auto" w:sz="4" w:space="0"/>
              <w:left w:val="nil"/>
              <w:bottom w:val="single" w:color="auto" w:sz="4" w:space="0"/>
              <w:right w:val="single" w:color="auto" w:sz="4" w:space="0"/>
              <w:tl2br w:val="nil"/>
              <w:tr2bl w:val="nil"/>
            </w:tcBorders>
            <w:vAlign w:val="center"/>
          </w:tcPr>
          <w:p w14:paraId="5ECF3399">
            <w:pPr>
              <w:spacing w:line="200" w:lineRule="exact"/>
            </w:pPr>
            <w:r>
              <w:rPr>
                <w:rFonts w:ascii="方正黑体_GBK" w:hAnsi="方正黑体_GBK" w:eastAsia="方正黑体_GBK" w:cs="宋体"/>
                <w:sz w:val="18"/>
                <w:szCs w:val="18"/>
              </w:rPr>
              <w:t>发生下列情形时，管理人可暂停接受认申购申请：</w:t>
            </w:r>
          </w:p>
          <w:p w14:paraId="59818604">
            <w:pPr>
              <w:spacing w:line="200" w:lineRule="exact"/>
            </w:pPr>
            <w:r>
              <w:rPr>
                <w:rFonts w:ascii="方正黑体_GBK" w:hAnsi="方正黑体_GBK" w:eastAsia="方正黑体_GBK" w:cs="宋体"/>
                <w:sz w:val="18"/>
                <w:szCs w:val="18"/>
              </w:rPr>
              <w:t>1.因不可抗力导致理财产品无法正常运作；</w:t>
            </w:r>
          </w:p>
          <w:p w14:paraId="1EC27332">
            <w:pPr>
              <w:spacing w:line="200" w:lineRule="exact"/>
            </w:pPr>
            <w:r>
              <w:rPr>
                <w:rFonts w:ascii="方正黑体_GBK" w:hAnsi="方正黑体_GBK" w:eastAsia="方正黑体_GBK" w:cs="宋体"/>
                <w:sz w:val="18"/>
                <w:szCs w:val="18"/>
              </w:rPr>
              <w:t>2.因监管政策、市场发生重大变化，导致理财产品无法正常运作；</w:t>
            </w:r>
          </w:p>
          <w:p w14:paraId="315E6423">
            <w:pPr>
              <w:spacing w:line="200" w:lineRule="exact"/>
            </w:pPr>
            <w:r>
              <w:rPr>
                <w:rFonts w:ascii="方正黑体_GBK" w:hAnsi="方正黑体_GBK" w:eastAsia="方正黑体_GBK" w:cs="宋体"/>
                <w:sz w:val="18"/>
                <w:szCs w:val="18"/>
              </w:rPr>
              <w:t>3.管理人认为需要暂停认申购的其他情形。</w:t>
            </w:r>
          </w:p>
          <w:p w14:paraId="02ABCBE8">
            <w:pPr>
              <w:spacing w:line="200" w:lineRule="exact"/>
            </w:pPr>
            <w:r>
              <w:rPr>
                <w:rFonts w:ascii="方正黑体_GBK" w:hAnsi="方正黑体_GBK" w:eastAsia="方正黑体_GBK" w:cs="宋体"/>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14:paraId="2E7D70C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7428E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暂停接受赎回的情形及处理</w:t>
            </w:r>
          </w:p>
        </w:tc>
        <w:tc>
          <w:tcPr>
            <w:tcW w:w="5543" w:type="dxa"/>
            <w:tcBorders>
              <w:top w:val="single" w:color="auto" w:sz="4" w:space="0"/>
              <w:left w:val="nil"/>
              <w:bottom w:val="single" w:color="auto" w:sz="4" w:space="0"/>
              <w:right w:val="single" w:color="auto" w:sz="4" w:space="0"/>
              <w:tl2br w:val="nil"/>
              <w:tr2bl w:val="nil"/>
            </w:tcBorders>
            <w:vAlign w:val="center"/>
          </w:tcPr>
          <w:p w14:paraId="3FEAA00F">
            <w:pPr>
              <w:spacing w:line="200" w:lineRule="exact"/>
              <w:jc w:val="left"/>
            </w:pPr>
            <w:r>
              <w:rPr>
                <w:rFonts w:ascii="方正黑体_GBK" w:hAnsi="方正黑体_GBK" w:eastAsia="方正黑体_GBK" w:cs="宋体"/>
                <w:color w:val="000000"/>
                <w:sz w:val="18"/>
                <w:szCs w:val="18"/>
              </w:rPr>
              <w:t>发生下列情形时，管理人可暂停接受投资者的赎回申请：</w:t>
            </w:r>
          </w:p>
          <w:p w14:paraId="57388200">
            <w:pPr>
              <w:spacing w:line="200" w:lineRule="exact"/>
              <w:jc w:val="left"/>
            </w:pPr>
            <w:r>
              <w:rPr>
                <w:rFonts w:ascii="方正黑体_GBK" w:hAnsi="方正黑体_GBK" w:eastAsia="方正黑体_GBK" w:cs="宋体"/>
                <w:color w:val="000000"/>
                <w:sz w:val="18"/>
                <w:szCs w:val="18"/>
              </w:rPr>
              <w:t>1.因不可抗力导致管理人不能支付赎回款项；</w:t>
            </w:r>
          </w:p>
          <w:p w14:paraId="0E71CA20">
            <w:pPr>
              <w:spacing w:line="200" w:lineRule="exact"/>
              <w:jc w:val="left"/>
            </w:pPr>
            <w:r>
              <w:rPr>
                <w:rFonts w:ascii="方正黑体_GBK" w:hAnsi="方正黑体_GBK" w:eastAsia="方正黑体_GBK" w:cs="宋体"/>
                <w:color w:val="000000"/>
                <w:sz w:val="18"/>
                <w:szCs w:val="18"/>
              </w:rPr>
              <w:t>2.银行间市场或证券交易所交易时间非正常停市，导致管理人无法计算当日理财产品资产净值；</w:t>
            </w:r>
          </w:p>
          <w:p w14:paraId="2D447DCC">
            <w:pPr>
              <w:spacing w:line="200" w:lineRule="exact"/>
              <w:jc w:val="left"/>
            </w:pPr>
            <w:r>
              <w:rPr>
                <w:rFonts w:ascii="方正黑体_GBK" w:hAnsi="方正黑体_GBK" w:eastAsia="方正黑体_GBK" w:cs="宋体"/>
                <w:color w:val="000000"/>
                <w:sz w:val="18"/>
                <w:szCs w:val="18"/>
              </w:rPr>
              <w:t>3.管理人、法律法规规定或监管认定的其他情形。</w:t>
            </w:r>
          </w:p>
          <w:p w14:paraId="32BF398F">
            <w:pPr>
              <w:spacing w:line="200" w:lineRule="exact"/>
              <w:jc w:val="left"/>
            </w:pPr>
            <w:r>
              <w:rPr>
                <w:rFonts w:ascii="方正黑体_GBK" w:hAnsi="方正黑体_GBK" w:eastAsia="方正黑体_GBK" w:cs="宋体"/>
                <w:color w:val="000000"/>
                <w:sz w:val="18"/>
                <w:szCs w:val="18"/>
              </w:rPr>
              <w:t>若管理人暂停接受赎回申请，将在3个交易日内告知该理财产品的投资者，并说明运用相关措施的原因、拟采取的应对安排等。</w:t>
            </w:r>
          </w:p>
          <w:p w14:paraId="442B46EE">
            <w:pPr>
              <w:spacing w:line="200" w:lineRule="exact"/>
              <w:jc w:val="left"/>
            </w:pPr>
            <w:r>
              <w:rPr>
                <w:rFonts w:ascii="方正黑体_GBK" w:hAnsi="方正黑体_GBK" w:eastAsia="方正黑体_GBK" w:cs="宋体"/>
                <w:color w:val="000000"/>
                <w:sz w:val="18"/>
                <w:szCs w:val="18"/>
              </w:rPr>
              <w:t>在暂停接受赎回申请期间，投资者将无法获得赎回资金，需重新进行资金安排。</w:t>
            </w:r>
          </w:p>
        </w:tc>
      </w:tr>
      <w:tr w14:paraId="706080F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DA46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3D668D06">
            <w:pPr>
              <w:spacing w:line="200" w:lineRule="exact"/>
            </w:pPr>
            <w:r>
              <w:rPr>
                <w:rFonts w:ascii="方正黑体_GBK" w:hAnsi="方正黑体_GBK" w:eastAsia="方正黑体_GBK" w:cs="宋体"/>
                <w:sz w:val="18"/>
                <w:szCs w:val="18"/>
              </w:rPr>
              <w:t>管理人在本理财产品存续期间按照监管规定进行信息披露，详见本理财产品说明书第五条信息披露。</w:t>
            </w:r>
          </w:p>
        </w:tc>
      </w:tr>
      <w:tr w14:paraId="13FABA2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FE234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105C1283">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2D1B0BE8">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4A30B25E">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0CB7FC83">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0B0E1A3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754F253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78104E15">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7EE2E87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0B80980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5533C0C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441228A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75C44101">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15C4612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4BD4886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48434AA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2EAE5CF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0827886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52CAF0D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7F0D6EA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04A7E9B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0A96FE4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2FF8F33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6246C3C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14C17A5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16977DE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0309203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6E15C25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5ACC90A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16BB992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303D426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1AA8B20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176FEDB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0D4E72FD">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547A713A">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南银理财珠联璧合日日聚鑫现金管理类公募人民币理财产品</w:t>
      </w:r>
      <w:r>
        <w:rPr>
          <w:rFonts w:hint="eastAsia" w:ascii="方正黑体_GBK" w:hAnsi="方正黑体_GBK" w:eastAsia="方正黑体_GBK"/>
          <w:vanish w:val="0"/>
          <w:color w:val="3D3D3D"/>
          <w:kern w:val="0"/>
          <w:sz w:val="15"/>
          <w:szCs w:val="15"/>
        </w:rPr>
        <w:t>。</w:t>
      </w:r>
    </w:p>
    <w:p w14:paraId="7FEA2B4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5ED9C47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39090F1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2A55ADB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272EC1DC">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719B47B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452F5AE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59C2EA5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393A6F9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050FA39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0CCD72A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05DE4E2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232CC05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2B34BFF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72E81CE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7478FB2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047F1A1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6C76AC3A">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2ABE48EE">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72D6481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4FF893C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15BA804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344CBA2F">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4A60388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02803AB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4CD14C07">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73BEDAD">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39307224">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60DCE26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73B43E48">
      <w:pPr>
        <w:spacing w:line="200" w:lineRule="exact"/>
        <w:ind w:firstLine="420"/>
      </w:pPr>
      <w:r>
        <w:rPr>
          <w:rFonts w:ascii="方正黑体_GBK" w:hAnsi="方正黑体_GBK" w:eastAsia="方正黑体_GBK" w:cs="宋体"/>
          <w:sz w:val="15"/>
          <w:szCs w:val="20"/>
        </w:rPr>
        <w:t>假设投资者原持有本理财产品份额为0，周一至周五为产品开放日，周六周日为非产品开放日。</w:t>
      </w:r>
    </w:p>
    <w:p w14:paraId="445F9384">
      <w:pPr>
        <w:spacing w:line="200" w:lineRule="exact"/>
        <w:ind w:firstLine="420"/>
      </w:pPr>
      <w:r>
        <w:rPr>
          <w:rFonts w:ascii="方正黑体_GBK" w:hAnsi="方正黑体_GBK" w:eastAsia="方正黑体_GBK" w:cs="宋体"/>
          <w:sz w:val="15"/>
          <w:szCs w:val="20"/>
        </w:rPr>
        <w:t>情景1：</w:t>
      </w:r>
    </w:p>
    <w:p w14:paraId="1A317285">
      <w:pPr>
        <w:spacing w:line="200" w:lineRule="exact"/>
        <w:ind w:firstLine="420"/>
      </w:pPr>
      <w:r>
        <w:rPr>
          <w:rFonts w:ascii="方正黑体_GBK" w:hAnsi="方正黑体_GBK" w:eastAsia="方正黑体_GBK" w:cs="宋体"/>
          <w:sz w:val="15"/>
          <w:szCs w:val="20"/>
        </w:rPr>
        <w:t>投资者在本周一在10:00申购了100,000元，则申购确认日为本周二，本周二持有100,000份；在本周三10:00赎回100,000份，则赎回确认日为本周四。本周二至本周四的万份收益为0.6000、0.7000和0.8000。</w:t>
      </w:r>
    </w:p>
    <w:p w14:paraId="03AC2079">
      <w:pPr>
        <w:spacing w:line="200" w:lineRule="exact"/>
        <w:ind w:firstLine="420"/>
      </w:pPr>
      <w:r>
        <w:rPr>
          <w:rFonts w:ascii="方正黑体_GBK" w:hAnsi="方正黑体_GBK" w:eastAsia="方正黑体_GBK" w:cs="宋体"/>
          <w:sz w:val="15"/>
          <w:szCs w:val="20"/>
        </w:rPr>
        <w:t>本周二产生的收益转份额数为100,000/10,000*0.6000=6.00份（结转份额数保留至小数点后2位，小数点后第3位按去尾法原则处理，因去尾形成的余额进行再次分配，直到分完为止（单个投资者保留份额较低时，受去尾法的影响，投资者持有份额可能无法获得收益，敬请投资者注意，下同）），计入本周三的投资者份额中（本周三投资者的份额为100,006份）；本周三产生的收益转份额数为100,006/10,000*0.7000=7.00份，计入本周四的投资者份额中（本周四投资者的份额为100,013-100,000=13份）；本周四产生的收益转份额数为13/10,000*0.800=0.00份，计入本周五的投资者份额中（本周五投资者的份额为13份）。下周二（含）前100,000元赎回资金到账。</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2510"/>
        <w:gridCol w:w="2510"/>
        <w:gridCol w:w="2510"/>
      </w:tblGrid>
      <w:tr w14:paraId="09A87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510" w:type="dxa"/>
          </w:tcPr>
          <w:p w14:paraId="27B5F762">
            <w:r>
              <w:rPr>
                <w:rFonts w:ascii="方正黑体_GBK" w:hAnsi="方正黑体_GBK" w:eastAsia="方正黑体_GBK" w:cs="宋体"/>
                <w:sz w:val="15"/>
                <w:szCs w:val="20"/>
              </w:rPr>
              <w:t>时间</w:t>
            </w:r>
          </w:p>
        </w:tc>
        <w:tc>
          <w:tcPr>
            <w:tcW w:w="2510" w:type="dxa"/>
          </w:tcPr>
          <w:p w14:paraId="5A6CF9C7">
            <w:r>
              <w:rPr>
                <w:rFonts w:ascii="方正黑体_GBK" w:hAnsi="方正黑体_GBK" w:eastAsia="方正黑体_GBK" w:cs="宋体"/>
                <w:sz w:val="15"/>
                <w:szCs w:val="20"/>
              </w:rPr>
              <w:t>投资者份额：份</w:t>
            </w:r>
          </w:p>
        </w:tc>
        <w:tc>
          <w:tcPr>
            <w:tcW w:w="2510" w:type="dxa"/>
          </w:tcPr>
          <w:p w14:paraId="6021AB39">
            <w:r>
              <w:rPr>
                <w:rFonts w:ascii="方正黑体_GBK" w:hAnsi="方正黑体_GBK" w:eastAsia="方正黑体_GBK" w:cs="宋体"/>
                <w:sz w:val="15"/>
                <w:szCs w:val="20"/>
              </w:rPr>
              <w:t>收益转份额：份</w:t>
            </w:r>
          </w:p>
        </w:tc>
      </w:tr>
      <w:tr w14:paraId="549B4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510" w:type="dxa"/>
          </w:tcPr>
          <w:p w14:paraId="047E95B3">
            <w:r>
              <w:rPr>
                <w:rFonts w:ascii="方正黑体_GBK" w:hAnsi="方正黑体_GBK" w:eastAsia="方正黑体_GBK" w:cs="宋体"/>
                <w:sz w:val="15"/>
                <w:szCs w:val="20"/>
              </w:rPr>
              <w:t>本周一</w:t>
            </w:r>
          </w:p>
        </w:tc>
        <w:tc>
          <w:tcPr>
            <w:tcW w:w="2510" w:type="dxa"/>
          </w:tcPr>
          <w:p w14:paraId="61A6CC7C">
            <w:r>
              <w:rPr>
                <w:rFonts w:ascii="方正黑体_GBK" w:hAnsi="方正黑体_GBK" w:eastAsia="方正黑体_GBK" w:cs="宋体"/>
                <w:sz w:val="15"/>
                <w:szCs w:val="20"/>
              </w:rPr>
              <w:t>0</w:t>
            </w:r>
          </w:p>
        </w:tc>
        <w:tc>
          <w:tcPr>
            <w:tcW w:w="2510" w:type="dxa"/>
          </w:tcPr>
          <w:p w14:paraId="4B1A7AAC"/>
        </w:tc>
      </w:tr>
      <w:tr w14:paraId="2BC80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510" w:type="dxa"/>
          </w:tcPr>
          <w:p w14:paraId="22F95D95">
            <w:r>
              <w:rPr>
                <w:rFonts w:ascii="方正黑体_GBK" w:hAnsi="方正黑体_GBK" w:eastAsia="方正黑体_GBK" w:cs="宋体"/>
                <w:sz w:val="15"/>
                <w:szCs w:val="20"/>
              </w:rPr>
              <w:t>本周二（申购确认日）</w:t>
            </w:r>
          </w:p>
        </w:tc>
        <w:tc>
          <w:tcPr>
            <w:tcW w:w="2510" w:type="dxa"/>
          </w:tcPr>
          <w:p w14:paraId="2252BBE0">
            <w:r>
              <w:rPr>
                <w:rFonts w:ascii="方正黑体_GBK" w:hAnsi="方正黑体_GBK" w:eastAsia="方正黑体_GBK" w:cs="宋体"/>
                <w:sz w:val="15"/>
                <w:szCs w:val="20"/>
              </w:rPr>
              <w:t>100,000</w:t>
            </w:r>
          </w:p>
        </w:tc>
        <w:tc>
          <w:tcPr>
            <w:tcW w:w="2510" w:type="dxa"/>
          </w:tcPr>
          <w:p w14:paraId="54D939F7">
            <w:r>
              <w:rPr>
                <w:rFonts w:ascii="方正黑体_GBK" w:hAnsi="方正黑体_GBK" w:eastAsia="方正黑体_GBK" w:cs="宋体"/>
                <w:sz w:val="15"/>
                <w:szCs w:val="20"/>
              </w:rPr>
              <w:t>6.00</w:t>
            </w:r>
          </w:p>
        </w:tc>
      </w:tr>
      <w:tr w14:paraId="51DA9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510" w:type="dxa"/>
          </w:tcPr>
          <w:p w14:paraId="3EC152E1">
            <w:r>
              <w:rPr>
                <w:rFonts w:ascii="方正黑体_GBK" w:hAnsi="方正黑体_GBK" w:eastAsia="方正黑体_GBK" w:cs="宋体"/>
                <w:sz w:val="15"/>
                <w:szCs w:val="20"/>
              </w:rPr>
              <w:t>本周三</w:t>
            </w:r>
          </w:p>
        </w:tc>
        <w:tc>
          <w:tcPr>
            <w:tcW w:w="2510" w:type="dxa"/>
          </w:tcPr>
          <w:p w14:paraId="527339BB">
            <w:r>
              <w:rPr>
                <w:rFonts w:ascii="方正黑体_GBK" w:hAnsi="方正黑体_GBK" w:eastAsia="方正黑体_GBK" w:cs="宋体"/>
                <w:sz w:val="15"/>
                <w:szCs w:val="20"/>
              </w:rPr>
              <w:t>100,006</w:t>
            </w:r>
          </w:p>
        </w:tc>
        <w:tc>
          <w:tcPr>
            <w:tcW w:w="2510" w:type="dxa"/>
          </w:tcPr>
          <w:p w14:paraId="55EAC0AB">
            <w:r>
              <w:rPr>
                <w:rFonts w:ascii="方正黑体_GBK" w:hAnsi="方正黑体_GBK" w:eastAsia="方正黑体_GBK" w:cs="宋体"/>
                <w:sz w:val="15"/>
                <w:szCs w:val="20"/>
              </w:rPr>
              <w:t>7.00</w:t>
            </w:r>
          </w:p>
        </w:tc>
      </w:tr>
      <w:tr w14:paraId="788E6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510" w:type="dxa"/>
          </w:tcPr>
          <w:p w14:paraId="71712E14">
            <w:r>
              <w:rPr>
                <w:rFonts w:ascii="方正黑体_GBK" w:hAnsi="方正黑体_GBK" w:eastAsia="方正黑体_GBK" w:cs="宋体"/>
                <w:sz w:val="15"/>
                <w:szCs w:val="20"/>
              </w:rPr>
              <w:t>本周四（赎回确认日）</w:t>
            </w:r>
          </w:p>
        </w:tc>
        <w:tc>
          <w:tcPr>
            <w:tcW w:w="2510" w:type="dxa"/>
          </w:tcPr>
          <w:p w14:paraId="73EF57C1">
            <w:r>
              <w:rPr>
                <w:rFonts w:ascii="方正黑体_GBK" w:hAnsi="方正黑体_GBK" w:eastAsia="方正黑体_GBK" w:cs="宋体"/>
                <w:sz w:val="15"/>
                <w:szCs w:val="20"/>
              </w:rPr>
              <w:t>13</w:t>
            </w:r>
          </w:p>
        </w:tc>
        <w:tc>
          <w:tcPr>
            <w:tcW w:w="2510" w:type="dxa"/>
          </w:tcPr>
          <w:p w14:paraId="3258E947">
            <w:r>
              <w:rPr>
                <w:rFonts w:ascii="方正黑体_GBK" w:hAnsi="方正黑体_GBK" w:eastAsia="方正黑体_GBK" w:cs="宋体"/>
                <w:sz w:val="15"/>
                <w:szCs w:val="20"/>
              </w:rPr>
              <w:t>0.00</w:t>
            </w:r>
          </w:p>
        </w:tc>
      </w:tr>
      <w:tr w14:paraId="17696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510" w:type="dxa"/>
          </w:tcPr>
          <w:p w14:paraId="5169204F">
            <w:r>
              <w:rPr>
                <w:rFonts w:ascii="方正黑体_GBK" w:hAnsi="方正黑体_GBK" w:eastAsia="方正黑体_GBK" w:cs="宋体"/>
                <w:sz w:val="15"/>
                <w:szCs w:val="20"/>
              </w:rPr>
              <w:t>本周五</w:t>
            </w:r>
          </w:p>
        </w:tc>
        <w:tc>
          <w:tcPr>
            <w:tcW w:w="2510" w:type="dxa"/>
          </w:tcPr>
          <w:p w14:paraId="03F17272">
            <w:r>
              <w:rPr>
                <w:rFonts w:ascii="方正黑体_GBK" w:hAnsi="方正黑体_GBK" w:eastAsia="方正黑体_GBK" w:cs="宋体"/>
                <w:sz w:val="15"/>
                <w:szCs w:val="20"/>
              </w:rPr>
              <w:t>13</w:t>
            </w:r>
          </w:p>
        </w:tc>
        <w:tc>
          <w:tcPr>
            <w:tcW w:w="2510" w:type="dxa"/>
          </w:tcPr>
          <w:p w14:paraId="57EFF7E0"/>
        </w:tc>
      </w:tr>
    </w:tbl>
    <w:p w14:paraId="745D1F51">
      <w:pPr>
        <w:spacing w:line="200" w:lineRule="exact"/>
        <w:ind w:firstLine="420"/>
      </w:pPr>
      <w:r>
        <w:rPr>
          <w:rFonts w:ascii="方正黑体_GBK" w:hAnsi="方正黑体_GBK" w:eastAsia="方正黑体_GBK" w:cs="宋体"/>
          <w:sz w:val="15"/>
          <w:szCs w:val="20"/>
        </w:rPr>
        <w:t>情景2：</w:t>
      </w:r>
    </w:p>
    <w:p w14:paraId="73311410">
      <w:pPr>
        <w:spacing w:line="200" w:lineRule="exact"/>
        <w:ind w:firstLine="420"/>
      </w:pPr>
      <w:r>
        <w:rPr>
          <w:rFonts w:ascii="方正黑体_GBK" w:hAnsi="方正黑体_GBK" w:eastAsia="方正黑体_GBK" w:cs="宋体"/>
          <w:sz w:val="15"/>
          <w:szCs w:val="20"/>
        </w:rPr>
        <w:t>投资者在本周一18:00申购了100,000元，则申购确认日为本周三，本周三持有100,000份；在本周四18:00赎回了50,000份，则赎回确认日为下周一。本周三至下周一的万份收益为0.9000、1.0000、1.1000、1.2000、1.3000和1.4000。</w:t>
      </w:r>
    </w:p>
    <w:p w14:paraId="549A8CC3">
      <w:pPr>
        <w:spacing w:line="200" w:lineRule="exact"/>
        <w:ind w:firstLine="420"/>
      </w:pPr>
      <w:r>
        <w:rPr>
          <w:rFonts w:ascii="方正黑体_GBK" w:hAnsi="方正黑体_GBK" w:eastAsia="方正黑体_GBK" w:cs="宋体"/>
          <w:sz w:val="15"/>
          <w:szCs w:val="20"/>
        </w:rPr>
        <w:t>本周三产生的收益转份额数为100,000/10,000*0.9000=9.00份，计入本周四的投资者份额中（本周四投资者的份额为100,009份）；本周四产生的收益转份额数为100,009/10,000*1.0000=10.00份，计入本周五的投资者份额中（本周五投资者的份额为100,019份）；本周五产生的收益转份额数为100,019/10,000*1.1000=11.00份，计入本周六的投资者份额中（本周六投资者的份额为100,030份）；本周六产生的收益转份额数为100,030/10,000*1.2000=12.00份（本周日投资者的份额为100,042份）；本周日产生的收益转份额数为100,042/10,000*1.3000=13.00份（下周一投资者的份额为100,042+13.00-5,0000=）。下周四（含）前50,000元赎回资金到账。</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970"/>
        <w:gridCol w:w="1970"/>
        <w:gridCol w:w="1970"/>
      </w:tblGrid>
      <w:tr w14:paraId="64BA1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6B3DC8DF">
            <w:r>
              <w:rPr>
                <w:rFonts w:ascii="方正黑体_GBK" w:hAnsi="方正黑体_GBK" w:eastAsia="方正黑体_GBK" w:cs="宋体"/>
                <w:sz w:val="15"/>
                <w:szCs w:val="20"/>
              </w:rPr>
              <w:t>时间</w:t>
            </w:r>
          </w:p>
        </w:tc>
        <w:tc>
          <w:tcPr>
            <w:tcW w:w="1970" w:type="dxa"/>
          </w:tcPr>
          <w:p w14:paraId="123238A6">
            <w:r>
              <w:rPr>
                <w:rFonts w:ascii="方正黑体_GBK" w:hAnsi="方正黑体_GBK" w:eastAsia="方正黑体_GBK" w:cs="宋体"/>
                <w:sz w:val="15"/>
                <w:szCs w:val="20"/>
              </w:rPr>
              <w:t>投资者份额：份</w:t>
            </w:r>
          </w:p>
        </w:tc>
        <w:tc>
          <w:tcPr>
            <w:tcW w:w="1970" w:type="dxa"/>
          </w:tcPr>
          <w:p w14:paraId="36276796">
            <w:r>
              <w:rPr>
                <w:rFonts w:ascii="方正黑体_GBK" w:hAnsi="方正黑体_GBK" w:eastAsia="方正黑体_GBK" w:cs="宋体"/>
                <w:sz w:val="15"/>
                <w:szCs w:val="20"/>
              </w:rPr>
              <w:t>收益转份额：份</w:t>
            </w:r>
          </w:p>
        </w:tc>
      </w:tr>
      <w:tr w14:paraId="1A50AF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5428E0C6">
            <w:r>
              <w:rPr>
                <w:rFonts w:ascii="方正黑体_GBK" w:hAnsi="方正黑体_GBK" w:eastAsia="方正黑体_GBK" w:cs="宋体"/>
                <w:sz w:val="15"/>
                <w:szCs w:val="20"/>
              </w:rPr>
              <w:t>本周二</w:t>
            </w:r>
          </w:p>
        </w:tc>
        <w:tc>
          <w:tcPr>
            <w:tcW w:w="1970" w:type="dxa"/>
          </w:tcPr>
          <w:p w14:paraId="50E091AF">
            <w:r>
              <w:rPr>
                <w:rFonts w:ascii="方正黑体_GBK" w:hAnsi="方正黑体_GBK" w:eastAsia="方正黑体_GBK" w:cs="宋体"/>
                <w:sz w:val="15"/>
                <w:szCs w:val="20"/>
              </w:rPr>
              <w:t>0</w:t>
            </w:r>
          </w:p>
        </w:tc>
        <w:tc>
          <w:tcPr>
            <w:tcW w:w="1970" w:type="dxa"/>
          </w:tcPr>
          <w:p w14:paraId="4E2B64EA"/>
        </w:tc>
      </w:tr>
      <w:tr w14:paraId="07C73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4A01A8E0">
            <w:r>
              <w:rPr>
                <w:rFonts w:ascii="方正黑体_GBK" w:hAnsi="方正黑体_GBK" w:eastAsia="方正黑体_GBK" w:cs="宋体"/>
                <w:sz w:val="15"/>
                <w:szCs w:val="20"/>
              </w:rPr>
              <w:t>本周三（申购确认日）</w:t>
            </w:r>
          </w:p>
        </w:tc>
        <w:tc>
          <w:tcPr>
            <w:tcW w:w="1970" w:type="dxa"/>
          </w:tcPr>
          <w:p w14:paraId="04301C84">
            <w:r>
              <w:rPr>
                <w:rFonts w:ascii="方正黑体_GBK" w:hAnsi="方正黑体_GBK" w:eastAsia="方正黑体_GBK" w:cs="宋体"/>
                <w:sz w:val="15"/>
                <w:szCs w:val="20"/>
              </w:rPr>
              <w:t>100,000</w:t>
            </w:r>
          </w:p>
        </w:tc>
        <w:tc>
          <w:tcPr>
            <w:tcW w:w="1970" w:type="dxa"/>
          </w:tcPr>
          <w:p w14:paraId="032680F1">
            <w:r>
              <w:rPr>
                <w:rFonts w:ascii="方正黑体_GBK" w:hAnsi="方正黑体_GBK" w:eastAsia="方正黑体_GBK" w:cs="宋体"/>
                <w:sz w:val="15"/>
                <w:szCs w:val="20"/>
              </w:rPr>
              <w:t>9.00</w:t>
            </w:r>
          </w:p>
        </w:tc>
      </w:tr>
      <w:tr w14:paraId="6BCDA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5CCA9F94">
            <w:r>
              <w:rPr>
                <w:rFonts w:ascii="方正黑体_GBK" w:hAnsi="方正黑体_GBK" w:eastAsia="方正黑体_GBK" w:cs="宋体"/>
                <w:sz w:val="15"/>
                <w:szCs w:val="20"/>
              </w:rPr>
              <w:t>本周四</w:t>
            </w:r>
          </w:p>
        </w:tc>
        <w:tc>
          <w:tcPr>
            <w:tcW w:w="1970" w:type="dxa"/>
          </w:tcPr>
          <w:p w14:paraId="1EB12E63">
            <w:r>
              <w:rPr>
                <w:rFonts w:ascii="方正黑体_GBK" w:hAnsi="方正黑体_GBK" w:eastAsia="方正黑体_GBK" w:cs="宋体"/>
                <w:sz w:val="15"/>
                <w:szCs w:val="20"/>
              </w:rPr>
              <w:t>100,009</w:t>
            </w:r>
          </w:p>
        </w:tc>
        <w:tc>
          <w:tcPr>
            <w:tcW w:w="1970" w:type="dxa"/>
          </w:tcPr>
          <w:p w14:paraId="3B1B0183">
            <w:r>
              <w:rPr>
                <w:rFonts w:ascii="方正黑体_GBK" w:hAnsi="方正黑体_GBK" w:eastAsia="方正黑体_GBK" w:cs="宋体"/>
                <w:sz w:val="15"/>
                <w:szCs w:val="20"/>
              </w:rPr>
              <w:t>10.00</w:t>
            </w:r>
          </w:p>
        </w:tc>
      </w:tr>
      <w:tr w14:paraId="08D2A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5641564B">
            <w:r>
              <w:rPr>
                <w:rFonts w:ascii="方正黑体_GBK" w:hAnsi="方正黑体_GBK" w:eastAsia="方正黑体_GBK" w:cs="宋体"/>
                <w:sz w:val="15"/>
                <w:szCs w:val="20"/>
              </w:rPr>
              <w:t>本周五</w:t>
            </w:r>
          </w:p>
        </w:tc>
        <w:tc>
          <w:tcPr>
            <w:tcW w:w="1970" w:type="dxa"/>
          </w:tcPr>
          <w:p w14:paraId="7621F63D">
            <w:r>
              <w:rPr>
                <w:rFonts w:ascii="方正黑体_GBK" w:hAnsi="方正黑体_GBK" w:eastAsia="方正黑体_GBK" w:cs="宋体"/>
                <w:sz w:val="15"/>
                <w:szCs w:val="20"/>
              </w:rPr>
              <w:t>100,019</w:t>
            </w:r>
          </w:p>
        </w:tc>
        <w:tc>
          <w:tcPr>
            <w:tcW w:w="1970" w:type="dxa"/>
          </w:tcPr>
          <w:p w14:paraId="247ACC16">
            <w:r>
              <w:rPr>
                <w:rFonts w:ascii="方正黑体_GBK" w:hAnsi="方正黑体_GBK" w:eastAsia="方正黑体_GBK" w:cs="宋体"/>
                <w:sz w:val="15"/>
                <w:szCs w:val="20"/>
              </w:rPr>
              <w:t>11.00</w:t>
            </w:r>
          </w:p>
        </w:tc>
      </w:tr>
      <w:tr w14:paraId="2520C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4FB023A4">
            <w:r>
              <w:rPr>
                <w:rFonts w:ascii="方正黑体_GBK" w:hAnsi="方正黑体_GBK" w:eastAsia="方正黑体_GBK" w:cs="宋体"/>
                <w:sz w:val="15"/>
                <w:szCs w:val="20"/>
              </w:rPr>
              <w:t>本周六</w:t>
            </w:r>
          </w:p>
        </w:tc>
        <w:tc>
          <w:tcPr>
            <w:tcW w:w="1970" w:type="dxa"/>
          </w:tcPr>
          <w:p w14:paraId="643BDF47">
            <w:r>
              <w:rPr>
                <w:rFonts w:ascii="方正黑体_GBK" w:hAnsi="方正黑体_GBK" w:eastAsia="方正黑体_GBK" w:cs="宋体"/>
                <w:sz w:val="15"/>
                <w:szCs w:val="20"/>
              </w:rPr>
              <w:t>100,030</w:t>
            </w:r>
          </w:p>
        </w:tc>
        <w:tc>
          <w:tcPr>
            <w:tcW w:w="1970" w:type="dxa"/>
          </w:tcPr>
          <w:p w14:paraId="5B59A30A">
            <w:r>
              <w:rPr>
                <w:rFonts w:ascii="方正黑体_GBK" w:hAnsi="方正黑体_GBK" w:eastAsia="方正黑体_GBK" w:cs="宋体"/>
                <w:sz w:val="15"/>
                <w:szCs w:val="20"/>
              </w:rPr>
              <w:t>12.00</w:t>
            </w:r>
          </w:p>
        </w:tc>
      </w:tr>
      <w:tr w14:paraId="53AE9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1C996E3E">
            <w:r>
              <w:rPr>
                <w:rFonts w:ascii="方正黑体_GBK" w:hAnsi="方正黑体_GBK" w:eastAsia="方正黑体_GBK" w:cs="宋体"/>
                <w:sz w:val="15"/>
                <w:szCs w:val="20"/>
              </w:rPr>
              <w:t>本周日</w:t>
            </w:r>
          </w:p>
        </w:tc>
        <w:tc>
          <w:tcPr>
            <w:tcW w:w="1970" w:type="dxa"/>
          </w:tcPr>
          <w:p w14:paraId="400C5106">
            <w:r>
              <w:rPr>
                <w:rFonts w:ascii="方正黑体_GBK" w:hAnsi="方正黑体_GBK" w:eastAsia="方正黑体_GBK" w:cs="宋体"/>
                <w:sz w:val="15"/>
                <w:szCs w:val="20"/>
              </w:rPr>
              <w:t>100,042</w:t>
            </w:r>
          </w:p>
        </w:tc>
        <w:tc>
          <w:tcPr>
            <w:tcW w:w="1970" w:type="dxa"/>
          </w:tcPr>
          <w:p w14:paraId="0C4656A2">
            <w:r>
              <w:rPr>
                <w:rFonts w:ascii="方正黑体_GBK" w:hAnsi="方正黑体_GBK" w:eastAsia="方正黑体_GBK" w:cs="宋体"/>
                <w:sz w:val="15"/>
                <w:szCs w:val="20"/>
              </w:rPr>
              <w:t>13.00</w:t>
            </w:r>
          </w:p>
        </w:tc>
      </w:tr>
      <w:tr w14:paraId="553C8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970" w:type="dxa"/>
          </w:tcPr>
          <w:p w14:paraId="6FFBA8B2">
            <w:r>
              <w:rPr>
                <w:rFonts w:ascii="方正黑体_GBK" w:hAnsi="方正黑体_GBK" w:eastAsia="方正黑体_GBK" w:cs="宋体"/>
                <w:sz w:val="15"/>
                <w:szCs w:val="20"/>
              </w:rPr>
              <w:t>下周一（赎回确认日）</w:t>
            </w:r>
          </w:p>
        </w:tc>
        <w:tc>
          <w:tcPr>
            <w:tcW w:w="1970" w:type="dxa"/>
          </w:tcPr>
          <w:p w14:paraId="1302493C">
            <w:r>
              <w:rPr>
                <w:rFonts w:ascii="方正黑体_GBK" w:hAnsi="方正黑体_GBK" w:eastAsia="方正黑体_GBK" w:cs="宋体"/>
                <w:sz w:val="15"/>
                <w:szCs w:val="20"/>
              </w:rPr>
              <w:t>50,055</w:t>
            </w:r>
          </w:p>
        </w:tc>
        <w:tc>
          <w:tcPr>
            <w:tcW w:w="1970" w:type="dxa"/>
          </w:tcPr>
          <w:p w14:paraId="21A60EB5"/>
        </w:tc>
      </w:tr>
    </w:tbl>
    <w:p w14:paraId="135C81F6">
      <w:pPr>
        <w:spacing w:line="200" w:lineRule="exact"/>
        <w:ind w:firstLine="420"/>
      </w:pPr>
      <w:r>
        <w:rPr>
          <w:rFonts w:ascii="方正黑体_GBK" w:hAnsi="方正黑体_GBK" w:eastAsia="方正黑体_GBK" w:cs="宋体"/>
          <w:sz w:val="15"/>
          <w:szCs w:val="20"/>
        </w:rPr>
        <w:t>情景3：</w:t>
      </w:r>
    </w:p>
    <w:p w14:paraId="15D90711">
      <w:pPr>
        <w:spacing w:line="200" w:lineRule="exact"/>
        <w:ind w:firstLine="420"/>
      </w:pPr>
      <w:r>
        <w:rPr>
          <w:rFonts w:ascii="方正黑体_GBK" w:hAnsi="方正黑体_GBK" w:eastAsia="方正黑体_GBK" w:cs="宋体"/>
          <w:sz w:val="15"/>
          <w:szCs w:val="20"/>
        </w:rPr>
        <w:t>投资者在本周一10:00申购了100,000元，则申购确认日为本周二，本周二持有100,000份；在本周三18:00赎回了50,000份，则赎回确认日为本周五。本周二至本周五的万份收益为0.3000、0.4000、0.5000和0.6000。本周二的收益转份额数为100,000/10,000*0.3000=3.00份，计入本周三的投资者份额中（本周三投资者的份额为100,003份）；本周三产生的收益转份额数为100,003/10,000*0.4000=4.00份，计入本周四的投资者份额中（本周四投资者的份额为100,007份）；本周四产生的收益转份额数为100,007/10,000*0.5000=5.00份，计入本周五的投资者份额中（本周五投资者的份额为100,012-50,000=50,012份）。下周三（含）前50,000元赎回资金到账。</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2655"/>
        <w:gridCol w:w="2655"/>
        <w:gridCol w:w="2655"/>
      </w:tblGrid>
      <w:tr w14:paraId="2CC93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655" w:type="dxa"/>
          </w:tcPr>
          <w:p w14:paraId="10C67752">
            <w:r>
              <w:rPr>
                <w:rFonts w:ascii="方正黑体_GBK" w:hAnsi="方正黑体_GBK" w:eastAsia="方正黑体_GBK" w:cs="宋体"/>
                <w:sz w:val="15"/>
                <w:szCs w:val="20"/>
              </w:rPr>
              <w:t>时间</w:t>
            </w:r>
          </w:p>
        </w:tc>
        <w:tc>
          <w:tcPr>
            <w:tcW w:w="2655" w:type="dxa"/>
          </w:tcPr>
          <w:p w14:paraId="6B2A2676">
            <w:r>
              <w:rPr>
                <w:rFonts w:ascii="方正黑体_GBK" w:hAnsi="方正黑体_GBK" w:eastAsia="方正黑体_GBK" w:cs="宋体"/>
                <w:sz w:val="15"/>
                <w:szCs w:val="20"/>
              </w:rPr>
              <w:t>投资者份额：份</w:t>
            </w:r>
          </w:p>
        </w:tc>
        <w:tc>
          <w:tcPr>
            <w:tcW w:w="2655" w:type="dxa"/>
          </w:tcPr>
          <w:p w14:paraId="3A73BC6F">
            <w:r>
              <w:rPr>
                <w:rFonts w:ascii="方正黑体_GBK" w:hAnsi="方正黑体_GBK" w:eastAsia="方正黑体_GBK" w:cs="宋体"/>
                <w:sz w:val="15"/>
                <w:szCs w:val="20"/>
              </w:rPr>
              <w:t>收益转份额：份</w:t>
            </w:r>
          </w:p>
        </w:tc>
      </w:tr>
      <w:tr w14:paraId="2E201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655" w:type="dxa"/>
          </w:tcPr>
          <w:p w14:paraId="4655BBAD">
            <w:r>
              <w:rPr>
                <w:rFonts w:ascii="方正黑体_GBK" w:hAnsi="方正黑体_GBK" w:eastAsia="方正黑体_GBK" w:cs="宋体"/>
                <w:sz w:val="15"/>
                <w:szCs w:val="20"/>
              </w:rPr>
              <w:t>本周一</w:t>
            </w:r>
          </w:p>
        </w:tc>
        <w:tc>
          <w:tcPr>
            <w:tcW w:w="2655" w:type="dxa"/>
          </w:tcPr>
          <w:p w14:paraId="2E1CF4D2">
            <w:r>
              <w:rPr>
                <w:rFonts w:ascii="方正黑体_GBK" w:hAnsi="方正黑体_GBK" w:eastAsia="方正黑体_GBK" w:cs="宋体"/>
                <w:sz w:val="15"/>
                <w:szCs w:val="20"/>
              </w:rPr>
              <w:t>0</w:t>
            </w:r>
          </w:p>
        </w:tc>
        <w:tc>
          <w:tcPr>
            <w:tcW w:w="2655" w:type="dxa"/>
          </w:tcPr>
          <w:p w14:paraId="293D511F"/>
        </w:tc>
      </w:tr>
      <w:tr w14:paraId="4542B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655" w:type="dxa"/>
          </w:tcPr>
          <w:p w14:paraId="2EE30CCE">
            <w:r>
              <w:rPr>
                <w:rFonts w:ascii="方正黑体_GBK" w:hAnsi="方正黑体_GBK" w:eastAsia="方正黑体_GBK" w:cs="宋体"/>
                <w:sz w:val="15"/>
                <w:szCs w:val="20"/>
              </w:rPr>
              <w:t>本周二（申购确认日）</w:t>
            </w:r>
          </w:p>
        </w:tc>
        <w:tc>
          <w:tcPr>
            <w:tcW w:w="2655" w:type="dxa"/>
          </w:tcPr>
          <w:p w14:paraId="623BA67D">
            <w:r>
              <w:rPr>
                <w:rFonts w:ascii="方正黑体_GBK" w:hAnsi="方正黑体_GBK" w:eastAsia="方正黑体_GBK" w:cs="宋体"/>
                <w:sz w:val="15"/>
                <w:szCs w:val="20"/>
              </w:rPr>
              <w:t>100,000</w:t>
            </w:r>
          </w:p>
        </w:tc>
        <w:tc>
          <w:tcPr>
            <w:tcW w:w="2655" w:type="dxa"/>
          </w:tcPr>
          <w:p w14:paraId="7373D2E2">
            <w:r>
              <w:rPr>
                <w:rFonts w:ascii="方正黑体_GBK" w:hAnsi="方正黑体_GBK" w:eastAsia="方正黑体_GBK" w:cs="宋体"/>
                <w:sz w:val="15"/>
                <w:szCs w:val="20"/>
              </w:rPr>
              <w:t>3.00</w:t>
            </w:r>
          </w:p>
        </w:tc>
      </w:tr>
      <w:tr w14:paraId="1883A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655" w:type="dxa"/>
          </w:tcPr>
          <w:p w14:paraId="7F59F4A6">
            <w:r>
              <w:rPr>
                <w:rFonts w:ascii="方正黑体_GBK" w:hAnsi="方正黑体_GBK" w:eastAsia="方正黑体_GBK" w:cs="宋体"/>
                <w:sz w:val="15"/>
                <w:szCs w:val="20"/>
              </w:rPr>
              <w:t>本周三</w:t>
            </w:r>
          </w:p>
        </w:tc>
        <w:tc>
          <w:tcPr>
            <w:tcW w:w="2655" w:type="dxa"/>
          </w:tcPr>
          <w:p w14:paraId="311E8F9B">
            <w:r>
              <w:rPr>
                <w:rFonts w:ascii="方正黑体_GBK" w:hAnsi="方正黑体_GBK" w:eastAsia="方正黑体_GBK" w:cs="宋体"/>
                <w:sz w:val="15"/>
                <w:szCs w:val="20"/>
              </w:rPr>
              <w:t>100,003</w:t>
            </w:r>
          </w:p>
        </w:tc>
        <w:tc>
          <w:tcPr>
            <w:tcW w:w="2655" w:type="dxa"/>
          </w:tcPr>
          <w:p w14:paraId="7510EC05">
            <w:r>
              <w:rPr>
                <w:rFonts w:ascii="方正黑体_GBK" w:hAnsi="方正黑体_GBK" w:eastAsia="方正黑体_GBK" w:cs="宋体"/>
                <w:sz w:val="15"/>
                <w:szCs w:val="20"/>
              </w:rPr>
              <w:t>4.00</w:t>
            </w:r>
          </w:p>
        </w:tc>
      </w:tr>
      <w:tr w14:paraId="1E5E0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655" w:type="dxa"/>
          </w:tcPr>
          <w:p w14:paraId="32F8678C">
            <w:r>
              <w:rPr>
                <w:rFonts w:ascii="方正黑体_GBK" w:hAnsi="方正黑体_GBK" w:eastAsia="方正黑体_GBK" w:cs="宋体"/>
                <w:sz w:val="15"/>
                <w:szCs w:val="20"/>
              </w:rPr>
              <w:t>本周四</w:t>
            </w:r>
          </w:p>
        </w:tc>
        <w:tc>
          <w:tcPr>
            <w:tcW w:w="2655" w:type="dxa"/>
          </w:tcPr>
          <w:p w14:paraId="2F3C412D">
            <w:r>
              <w:rPr>
                <w:rFonts w:ascii="方正黑体_GBK" w:hAnsi="方正黑体_GBK" w:eastAsia="方正黑体_GBK" w:cs="宋体"/>
                <w:sz w:val="15"/>
                <w:szCs w:val="20"/>
              </w:rPr>
              <w:t>100,007</w:t>
            </w:r>
          </w:p>
        </w:tc>
        <w:tc>
          <w:tcPr>
            <w:tcW w:w="2655" w:type="dxa"/>
          </w:tcPr>
          <w:p w14:paraId="4FF5CEED">
            <w:r>
              <w:rPr>
                <w:rFonts w:ascii="方正黑体_GBK" w:hAnsi="方正黑体_GBK" w:eastAsia="方正黑体_GBK" w:cs="宋体"/>
                <w:sz w:val="15"/>
                <w:szCs w:val="20"/>
              </w:rPr>
              <w:t>5.00</w:t>
            </w:r>
          </w:p>
        </w:tc>
      </w:tr>
      <w:tr w14:paraId="000D2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2655" w:type="dxa"/>
          </w:tcPr>
          <w:p w14:paraId="438E37EF">
            <w:r>
              <w:rPr>
                <w:rFonts w:ascii="方正黑体_GBK" w:hAnsi="方正黑体_GBK" w:eastAsia="方正黑体_GBK" w:cs="宋体"/>
                <w:sz w:val="15"/>
                <w:szCs w:val="20"/>
              </w:rPr>
              <w:t>本周五（赎回确认日）</w:t>
            </w:r>
          </w:p>
        </w:tc>
        <w:tc>
          <w:tcPr>
            <w:tcW w:w="2655" w:type="dxa"/>
          </w:tcPr>
          <w:p w14:paraId="084ABC48">
            <w:r>
              <w:rPr>
                <w:rFonts w:ascii="方正黑体_GBK" w:hAnsi="方正黑体_GBK" w:eastAsia="方正黑体_GBK" w:cs="宋体"/>
                <w:sz w:val="15"/>
                <w:szCs w:val="20"/>
              </w:rPr>
              <w:t>50,012</w:t>
            </w:r>
          </w:p>
        </w:tc>
        <w:tc>
          <w:tcPr>
            <w:tcW w:w="2655" w:type="dxa"/>
          </w:tcPr>
          <w:p w14:paraId="109C50C5"/>
        </w:tc>
      </w:tr>
    </w:tbl>
    <w:p w14:paraId="439646A0"/>
    <w:p w14:paraId="6646EB1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2B3B1E12">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64F3322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6D658CE9">
      <w:pPr>
        <w:spacing w:line="200" w:lineRule="exact"/>
        <w:ind w:firstLine="300"/>
        <w:jc w:val="both"/>
      </w:pPr>
      <w:r>
        <w:rPr>
          <w:rFonts w:ascii="方正黑体_GBK" w:hAnsi="方正黑体_GBK" w:eastAsia="方正黑体_GBK" w:cs="宋体"/>
          <w:sz w:val="15"/>
          <w:szCs w:val="20"/>
        </w:rPr>
        <w:t>（一）估值日</w:t>
      </w:r>
    </w:p>
    <w:p w14:paraId="72DDB101">
      <w:pPr>
        <w:spacing w:line="200" w:lineRule="exact"/>
        <w:ind w:firstLine="300"/>
        <w:jc w:val="both"/>
      </w:pPr>
      <w:r>
        <w:rPr>
          <w:rFonts w:ascii="方正黑体_GBK" w:hAnsi="方正黑体_GBK" w:eastAsia="方正黑体_GBK" w:cs="宋体"/>
          <w:sz w:val="15"/>
          <w:szCs w:val="20"/>
        </w:rPr>
        <w:t>本理财产品每个工作日进行估值。</w:t>
      </w:r>
    </w:p>
    <w:p w14:paraId="684E0595">
      <w:pPr>
        <w:spacing w:line="200" w:lineRule="exact"/>
        <w:ind w:firstLine="300"/>
        <w:jc w:val="both"/>
      </w:pPr>
      <w:r>
        <w:rPr>
          <w:rFonts w:ascii="方正黑体_GBK" w:hAnsi="方正黑体_GBK" w:eastAsia="方正黑体_GBK" w:cs="宋体"/>
          <w:sz w:val="15"/>
          <w:szCs w:val="20"/>
        </w:rPr>
        <w:t>（二）估值对象</w:t>
      </w:r>
    </w:p>
    <w:p w14:paraId="79D72F47">
      <w:pPr>
        <w:spacing w:line="200" w:lineRule="exact"/>
        <w:ind w:firstLine="300"/>
        <w:jc w:val="both"/>
      </w:pPr>
      <w:r>
        <w:rPr>
          <w:rFonts w:ascii="方正黑体_GBK" w:hAnsi="方正黑体_GBK" w:eastAsia="方正黑体_GBK" w:cs="宋体"/>
          <w:sz w:val="15"/>
          <w:szCs w:val="20"/>
        </w:rPr>
        <w:t>本理财产品所拥有的所有资产及负债。</w:t>
      </w:r>
    </w:p>
    <w:p w14:paraId="08DFFCBE">
      <w:pPr>
        <w:spacing w:line="200" w:lineRule="exact"/>
        <w:ind w:firstLine="300"/>
        <w:jc w:val="both"/>
      </w:pPr>
      <w:r>
        <w:rPr>
          <w:rFonts w:ascii="方正黑体_GBK" w:hAnsi="方正黑体_GBK" w:eastAsia="方正黑体_GBK" w:cs="宋体"/>
          <w:sz w:val="15"/>
          <w:szCs w:val="20"/>
        </w:rPr>
        <w:t>（三）估值目的</w:t>
      </w:r>
    </w:p>
    <w:p w14:paraId="62484E78">
      <w:pPr>
        <w:spacing w:line="200" w:lineRule="exact"/>
        <w:ind w:firstLine="300"/>
        <w:jc w:val="both"/>
      </w:pPr>
      <w:r>
        <w:rPr>
          <w:rFonts w:ascii="方正黑体_GBK" w:hAnsi="方正黑体_GBK" w:eastAsia="方正黑体_GBK" w:cs="宋体"/>
          <w:sz w:val="15"/>
          <w:szCs w:val="20"/>
        </w:rPr>
        <w:t>客观、准确反映理财产品的价值。</w:t>
      </w:r>
    </w:p>
    <w:p w14:paraId="1150D2E3">
      <w:pPr>
        <w:spacing w:line="200" w:lineRule="exact"/>
        <w:ind w:firstLine="300"/>
        <w:jc w:val="both"/>
      </w:pPr>
      <w:r>
        <w:rPr>
          <w:rFonts w:ascii="方正黑体_GBK" w:hAnsi="方正黑体_GBK" w:eastAsia="方正黑体_GBK" w:cs="宋体"/>
          <w:sz w:val="15"/>
          <w:szCs w:val="20"/>
        </w:rPr>
        <w:t>（四）估值原则</w:t>
      </w:r>
    </w:p>
    <w:p w14:paraId="165AE21A">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24F8E588">
      <w:pPr>
        <w:spacing w:line="200" w:lineRule="exact"/>
        <w:ind w:firstLine="300"/>
        <w:jc w:val="both"/>
      </w:pPr>
      <w:r>
        <w:rPr>
          <w:rFonts w:ascii="方正黑体_GBK" w:hAnsi="方正黑体_GBK" w:eastAsia="方正黑体_GBK" w:cs="宋体"/>
          <w:sz w:val="15"/>
          <w:szCs w:val="20"/>
        </w:rPr>
        <w:t>（五）估值方法</w:t>
      </w:r>
    </w:p>
    <w:p w14:paraId="7F3775D9">
      <w:pPr>
        <w:spacing w:line="200" w:lineRule="exact"/>
      </w:pPr>
      <w:r>
        <w:rPr>
          <w:rFonts w:ascii="方正黑体_GBK" w:hAnsi="方正黑体_GBK" w:eastAsia="方正黑体_GBK" w:cs="宋体"/>
          <w:sz w:val="15"/>
          <w:szCs w:val="20"/>
        </w:rPr>
        <w:t xml:space="preserve">  估值方法中列示的资产品种不代表管理人的实际投向，本理财计划投资范围以“投资范围”章节描述为准。</w:t>
      </w:r>
    </w:p>
    <w:p w14:paraId="68AE08B4">
      <w:pPr>
        <w:spacing w:line="200" w:lineRule="exact"/>
      </w:pPr>
      <w:r>
        <w:rPr>
          <w:rFonts w:ascii="方正黑体_GBK" w:hAnsi="方正黑体_GBK" w:eastAsia="方正黑体_GBK" w:cs="宋体"/>
          <w:sz w:val="15"/>
          <w:szCs w:val="20"/>
        </w:rPr>
        <w:t xml:space="preserve">  1.银行存款、回购等货币市场工具</w:t>
      </w:r>
    </w:p>
    <w:p w14:paraId="7F406592">
      <w:pPr>
        <w:spacing w:line="200" w:lineRule="exact"/>
      </w:pPr>
      <w:r>
        <w:rPr>
          <w:rFonts w:ascii="方正黑体_GBK" w:hAnsi="方正黑体_GBK" w:eastAsia="方正黑体_GBK" w:cs="宋体"/>
          <w:sz w:val="15"/>
          <w:szCs w:val="20"/>
        </w:rPr>
        <w:t xml:space="preserve">  以本金列示，按商定的利率在实际持有期间内逐日计提。</w:t>
      </w:r>
    </w:p>
    <w:p w14:paraId="7F19CBA0">
      <w:pPr>
        <w:spacing w:line="200" w:lineRule="exact"/>
      </w:pPr>
      <w:r>
        <w:rPr>
          <w:rFonts w:ascii="方正黑体_GBK" w:hAnsi="方正黑体_GBK" w:eastAsia="方正黑体_GBK" w:cs="宋体"/>
          <w:sz w:val="15"/>
          <w:szCs w:val="20"/>
        </w:rPr>
        <w:t xml:space="preserve">  2.债券类资产</w:t>
      </w:r>
    </w:p>
    <w:p w14:paraId="67BFDA2C">
      <w:pPr>
        <w:spacing w:line="200" w:lineRule="exact"/>
      </w:pPr>
      <w:r>
        <w:rPr>
          <w:rFonts w:ascii="方正黑体_GBK" w:hAnsi="方正黑体_GBK" w:eastAsia="方正黑体_GBK" w:cs="宋体"/>
          <w:sz w:val="15"/>
          <w:szCs w:val="20"/>
        </w:rPr>
        <w:t xml:space="preserve">  债券类资产采用摊余成本法估值，即计价对象以买入成本列示，按照票面利率或协议利率并考虑其买入时的溢价与折价，在剩余存续期内按照实际利率法摊销，每日计提损益。</w:t>
      </w:r>
    </w:p>
    <w:p w14:paraId="6B860993">
      <w:pPr>
        <w:spacing w:line="200" w:lineRule="exact"/>
      </w:pPr>
      <w:r>
        <w:rPr>
          <w:rFonts w:ascii="方正黑体_GBK" w:hAnsi="方正黑体_GBK" w:eastAsia="方正黑体_GBK" w:cs="宋体"/>
          <w:sz w:val="15"/>
          <w:szCs w:val="20"/>
        </w:rPr>
        <w:t xml:space="preserve">  3.证券投资基金</w:t>
      </w:r>
    </w:p>
    <w:p w14:paraId="722F7218">
      <w:pPr>
        <w:spacing w:line="200" w:lineRule="exact"/>
      </w:pPr>
      <w:r>
        <w:rPr>
          <w:rFonts w:ascii="方正黑体_GBK" w:hAnsi="方正黑体_GBK" w:eastAsia="方正黑体_GBK" w:cs="宋体"/>
          <w:sz w:val="15"/>
          <w:szCs w:val="20"/>
        </w:rPr>
        <w:t xml:space="preserve">  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53C5EF00">
      <w:pPr>
        <w:spacing w:line="200" w:lineRule="exact"/>
      </w:pPr>
      <w:r>
        <w:rPr>
          <w:rFonts w:ascii="方正黑体_GBK" w:hAnsi="方正黑体_GBK" w:eastAsia="方正黑体_GBK" w:cs="宋体"/>
          <w:sz w:val="15"/>
          <w:szCs w:val="20"/>
        </w:rPr>
        <w:t xml:space="preserve">  4.其他资产</w:t>
      </w:r>
    </w:p>
    <w:p w14:paraId="79FEDF71">
      <w:pPr>
        <w:spacing w:line="200" w:lineRule="exact"/>
      </w:pPr>
      <w:r>
        <w:rPr>
          <w:rFonts w:ascii="方正黑体_GBK" w:hAnsi="方正黑体_GBK" w:eastAsia="方正黑体_GBK" w:cs="宋体"/>
          <w:sz w:val="15"/>
          <w:szCs w:val="20"/>
        </w:rPr>
        <w:t xml:space="preserve">  资管计划、信托计划等可采用被委托机构提供的估值或计量报告；其他资产可参考《企业会计准则》以及相关监管政策的规定。</w:t>
      </w:r>
    </w:p>
    <w:p w14:paraId="10E40E46">
      <w:pPr>
        <w:spacing w:line="200" w:lineRule="exact"/>
      </w:pPr>
      <w:r>
        <w:rPr>
          <w:rFonts w:ascii="方正黑体_GBK" w:hAnsi="方正黑体_GBK" w:eastAsia="方正黑体_GBK" w:cs="宋体"/>
          <w:sz w:val="15"/>
          <w:szCs w:val="20"/>
        </w:rPr>
        <w:t xml:space="preserve">  5.影子定价</w:t>
      </w:r>
    </w:p>
    <w:p w14:paraId="634B6E95">
      <w:pPr>
        <w:spacing w:line="200" w:lineRule="exact"/>
      </w:pPr>
      <w:r>
        <w:rPr>
          <w:rFonts w:ascii="方正黑体_GBK" w:hAnsi="方正黑体_GBK" w:eastAsia="方正黑体_GBK" w:cs="宋体"/>
          <w:sz w:val="15"/>
          <w:szCs w:val="20"/>
        </w:rPr>
        <w:t xml:space="preserve">  为避免采用“摊余成本法”计算的产品资产净值与按市场利率和交易市价计算的产品资产净值发生重大偏离，产品管理人于每一估值日采用估值技术，对产品持有的估值对象进行重新评估，即“影子定价”，并按照监管要求监控估值偏离度，采取必要措施防止发生重大偏离。</w:t>
      </w:r>
    </w:p>
    <w:p w14:paraId="0C445EF2">
      <w:pPr>
        <w:spacing w:line="200" w:lineRule="exact"/>
      </w:pPr>
      <w:r>
        <w:rPr>
          <w:rFonts w:ascii="方正黑体_GBK" w:hAnsi="方正黑体_GBK" w:eastAsia="方正黑体_GBK" w:cs="宋体"/>
          <w:sz w:val="15"/>
          <w:szCs w:val="20"/>
        </w:rPr>
        <w:t xml:space="preserve">  当影子定价确定的产品资产净值与摊余成本法计算的资产净值正偏离度绝对值达到0.5%时，管理人将暂停接受认申购并在5个交易日内将正偏离度绝对值调整到0.5%以内。当负偏离度绝对值达到0.25%时，管理人将在5个交易日内将负偏离度绝对值调整到0.25%以内。当负偏离度绝对值达到0.5%时，管理人将采取相应措施，将负偏离度绝对值控制在0.5%以内。当负偏离度绝对值连续两个交易日超过0.5%时，管理人采用公允价值估值方法对持有投资组合的账面价值进行调整，或者采取暂停接受所有赎回申请并终止产品合同进行财产清算等措施。影子定价与摊余成本法确定的现金管理类产品资产净值的偏离度=(NAVs-NAVa)/NAVa。其中，NAVs为影子定价确定的现金管理类产品资产净值，NAVa为摊余成本法确定的现金管理类产品资产净值。</w:t>
      </w:r>
    </w:p>
    <w:p w14:paraId="544541CB">
      <w:pPr>
        <w:spacing w:line="200" w:lineRule="exact"/>
      </w:pPr>
      <w:r>
        <w:rPr>
          <w:rFonts w:ascii="方正黑体_GBK" w:hAnsi="方正黑体_GBK" w:eastAsia="方正黑体_GBK" w:cs="宋体"/>
          <w:sz w:val="15"/>
          <w:szCs w:val="20"/>
        </w:rPr>
        <w:t xml:space="preserve">  6.如果管理人或托管人认为按以上规定的方法对产品资产进行估值不能客观反映其公允价值的，可提出异议，管理人和托管人协商一致后，变更公允价值的确定方式，并从经管理人与托管人协商一致日起执行。</w:t>
      </w:r>
    </w:p>
    <w:p w14:paraId="6EEFA1F4">
      <w:pPr>
        <w:spacing w:line="200" w:lineRule="exact"/>
      </w:pPr>
      <w:r>
        <w:rPr>
          <w:rFonts w:ascii="方正黑体_GBK" w:hAnsi="方正黑体_GBK" w:eastAsia="方正黑体_GBK" w:cs="宋体"/>
          <w:sz w:val="15"/>
          <w:szCs w:val="20"/>
        </w:rPr>
        <w:t xml:space="preserve">  7.如有新增事项或变更事项，按国家最新规定或管理人最新的约定估值。</w:t>
      </w:r>
    </w:p>
    <w:p w14:paraId="6A866069">
      <w:pPr>
        <w:spacing w:line="200" w:lineRule="exact"/>
      </w:pPr>
      <w:r>
        <w:rPr>
          <w:rFonts w:ascii="方正黑体_GBK" w:hAnsi="方正黑体_GBK" w:eastAsia="方正黑体_GBK" w:cs="宋体"/>
          <w:sz w:val="18"/>
          <w:szCs w:val="20"/>
        </w:rPr>
        <w:t xml:space="preserve"> </w:t>
      </w:r>
      <w:r>
        <w:rPr>
          <w:rFonts w:ascii="方正黑体_GBK" w:hAnsi="方正黑体_GBK" w:eastAsia="方正黑体_GBK" w:cs="宋体"/>
          <w:sz w:val="15"/>
          <w:szCs w:val="20"/>
        </w:rPr>
        <w:t>开放式理财产品在前一估值日内，产品资产净值50%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3个交易日内告知投资者，并说明运用相关措施的原因、拟采取的应对安排等，投资者需重新进行资金安排。</w:t>
      </w:r>
    </w:p>
    <w:p w14:paraId="3386496C">
      <w:pPr>
        <w:spacing w:line="200" w:lineRule="exact"/>
        <w:ind w:firstLine="300"/>
        <w:jc w:val="both"/>
      </w:pPr>
      <w:r>
        <w:rPr>
          <w:rFonts w:ascii="方正黑体_GBK" w:hAnsi="方正黑体_GBK" w:eastAsia="方正黑体_GBK" w:cs="宋体"/>
          <w:sz w:val="15"/>
          <w:szCs w:val="20"/>
        </w:rPr>
        <w:t>（六）估值错误及暂停估值</w:t>
      </w:r>
    </w:p>
    <w:p w14:paraId="7728C4A0">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监管部门或理财产品合同认定其他情形的，理财产品管理人与托管人协商后可选择暂停估值。</w:t>
      </w:r>
    </w:p>
    <w:p w14:paraId="4668DEA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336728DD">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18BCE932">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4A367F9D">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01DBFFE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46B51A4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按日</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037B4B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3E722C2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48F59FD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6E41488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0152312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管理人应当在本理财产品的半年和年度报告中，披露本理财产品前10名投资者的类别、持有份额及占总份额的比例等信息。</w:t>
      </w:r>
    </w:p>
    <w:p w14:paraId="038C6A6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本理财产品存续期间，如出现单一投资者持有产品份额达到或者超过本理财产品总份额20%的情形，为保障其他投资者的权益，管理人应当在定期报告中披露该投资者的类别、持有份额及占比、持有份额变化情况及产品风险等信息，监管部门认定的特殊情形除外。</w:t>
      </w:r>
    </w:p>
    <w:p w14:paraId="40E38AF3">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0E9BF86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5CD9C82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0F6BCDB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3962EE1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0A68A0C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48BA36F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7AB452F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168F85C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2EC6C30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5E4D2F7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6CA107B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7EFCFDE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1FDA150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4B948707">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2F725A2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3A21BAD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730B24D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3254135D">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05D0897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37CB0F85">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02D0FCA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4D1FA80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476BEFE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0D2E861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B21EE6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0718A10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072D9183">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开放式、固定收益类、公募、净值型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D44F">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84C7C76"/>
    <w:rsid w:val="33433B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4ded3760"/>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b6b6b6cd"/>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ae8f747a"/>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13e456c6"/>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09de613"/>
    <w:qFormat/>
    <w:uiPriority w:val="0"/>
  </w:style>
  <w:style w:type="paragraph" w:customStyle="1" w:styleId="20">
    <w:name w:val="toc 1209b2f50"/>
    <w:basedOn w:val="15"/>
    <w:next w:val="1"/>
    <w:autoRedefine/>
    <w:uiPriority w:val="0"/>
  </w:style>
  <w:style w:type="paragraph" w:customStyle="1" w:styleId="21">
    <w:name w:val="toc 29b0af51b"/>
    <w:basedOn w:val="15"/>
    <w:next w:val="1"/>
    <w:autoRedefine/>
    <w:uiPriority w:val="0"/>
    <w:pPr>
      <w:ind w:left="420"/>
    </w:pPr>
  </w:style>
  <w:style w:type="paragraph" w:customStyle="1" w:styleId="22">
    <w:name w:val="toc 35b24615f"/>
    <w:basedOn w:val="15"/>
    <w:next w:val="1"/>
    <w:autoRedefine/>
    <w:uiPriority w:val="0"/>
    <w:pPr>
      <w:ind w:left="840"/>
    </w:pPr>
  </w:style>
  <w:style w:type="paragraph" w:customStyle="1" w:styleId="23">
    <w:name w:val="toc 43535f4ab"/>
    <w:basedOn w:val="15"/>
    <w:next w:val="1"/>
    <w:autoRedefine/>
    <w:qFormat/>
    <w:uiPriority w:val="0"/>
    <w:pPr>
      <w:ind w:left="1260"/>
    </w:pPr>
  </w:style>
  <w:style w:type="paragraph" w:customStyle="1" w:styleId="24">
    <w:name w:val="toc 52ba8a17a"/>
    <w:basedOn w:val="15"/>
    <w:next w:val="1"/>
    <w:autoRedefine/>
    <w:uiPriority w:val="0"/>
    <w:pPr>
      <w:ind w:left="1680"/>
    </w:pPr>
  </w:style>
  <w:style w:type="paragraph" w:customStyle="1" w:styleId="25">
    <w:name w:val="header7af28ddb"/>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f42fc798"/>
    <w:basedOn w:val="15"/>
    <w:qFormat/>
    <w:uiPriority w:val="0"/>
    <w:pPr>
      <w:tabs>
        <w:tab w:val="center" w:pos="4153"/>
        <w:tab w:val="right" w:pos="8307"/>
      </w:tabs>
      <w:adjustRightInd/>
      <w:snapToGrid w:val="0"/>
      <w:contextualSpacing w:val="0"/>
      <w:jc w:val="left"/>
    </w:pPr>
    <w:rPr>
      <w:sz w:val="18"/>
    </w:rPr>
  </w:style>
  <w:style w:type="character" w:customStyle="1" w:styleId="27">
    <w:name w:val="Strong4d2cb65d"/>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4d9b3fa"/>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d0a685a"/>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c6cac27e"/>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aa558d40"/>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4e13611d"/>
    <w:uiPriority w:val="0"/>
  </w:style>
  <w:style w:type="paragraph" w:customStyle="1" w:styleId="34">
    <w:name w:val="Normal Indent659ec01b"/>
    <w:basedOn w:val="29"/>
    <w:qFormat/>
    <w:uiPriority w:val="0"/>
    <w:pPr>
      <w:ind w:firstLine="200" w:firstLineChars="200"/>
    </w:pPr>
  </w:style>
  <w:style w:type="paragraph" w:customStyle="1" w:styleId="35">
    <w:name w:val="toc 500376235"/>
    <w:basedOn w:val="29"/>
    <w:next w:val="1"/>
    <w:uiPriority w:val="0"/>
    <w:pPr>
      <w:ind w:left="1680"/>
    </w:pPr>
  </w:style>
  <w:style w:type="paragraph" w:customStyle="1" w:styleId="36">
    <w:name w:val="toc 3f97c5981"/>
    <w:basedOn w:val="29"/>
    <w:next w:val="1"/>
    <w:uiPriority w:val="0"/>
    <w:pPr>
      <w:ind w:left="840"/>
    </w:pPr>
  </w:style>
  <w:style w:type="paragraph" w:customStyle="1" w:styleId="37">
    <w:name w:val="footer21a4b765"/>
    <w:basedOn w:val="29"/>
    <w:uiPriority w:val="0"/>
    <w:pPr>
      <w:tabs>
        <w:tab w:val="center" w:pos="4153"/>
        <w:tab w:val="right" w:pos="8307"/>
      </w:tabs>
      <w:adjustRightInd/>
      <w:snapToGrid w:val="0"/>
      <w:contextualSpacing w:val="0"/>
      <w:jc w:val="left"/>
    </w:pPr>
    <w:rPr>
      <w:sz w:val="18"/>
    </w:rPr>
  </w:style>
  <w:style w:type="paragraph" w:customStyle="1" w:styleId="38">
    <w:name w:val="header54fd5831"/>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6e614352"/>
    <w:basedOn w:val="29"/>
    <w:next w:val="1"/>
    <w:uiPriority w:val="0"/>
  </w:style>
  <w:style w:type="paragraph" w:customStyle="1" w:styleId="40">
    <w:name w:val="toc 4225e76d7"/>
    <w:basedOn w:val="29"/>
    <w:next w:val="1"/>
    <w:uiPriority w:val="0"/>
    <w:pPr>
      <w:ind w:left="1260"/>
    </w:pPr>
  </w:style>
  <w:style w:type="paragraph" w:customStyle="1" w:styleId="41">
    <w:name w:val="toc 27e720a73"/>
    <w:basedOn w:val="29"/>
    <w:next w:val="1"/>
    <w:uiPriority w:val="0"/>
    <w:pPr>
      <w:ind w:left="420"/>
    </w:pPr>
  </w:style>
  <w:style w:type="paragraph" w:customStyle="1" w:styleId="42">
    <w:name w:val="Normal (Web)4e903899"/>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38bd1c9238bd1c9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9d3d0c129d3d0c1"/>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29bac1af29bac1af"/>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c19610efc19610ef"/>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f3a1b1e6f3a1b1e6"/>
    <w:qFormat/>
    <w:uiPriority w:val="0"/>
  </w:style>
  <w:style w:type="paragraph" w:customStyle="1" w:styleId="49">
    <w:name w:val="引文目录1d4b3abe7d4b3abe7"/>
    <w:basedOn w:val="44"/>
    <w:next w:val="1"/>
    <w:qFormat/>
    <w:uiPriority w:val="0"/>
    <w:pPr>
      <w:ind w:left="200" w:leftChars="200"/>
    </w:pPr>
  </w:style>
  <w:style w:type="paragraph" w:customStyle="1" w:styleId="50">
    <w:name w:val="toc 5998a6ba5998a6ba5"/>
    <w:basedOn w:val="44"/>
    <w:next w:val="1"/>
    <w:uiPriority w:val="0"/>
    <w:pPr>
      <w:ind w:left="1680"/>
    </w:pPr>
  </w:style>
  <w:style w:type="paragraph" w:customStyle="1" w:styleId="51">
    <w:name w:val="toc 3c4562684c4562684"/>
    <w:basedOn w:val="44"/>
    <w:next w:val="1"/>
    <w:qFormat/>
    <w:uiPriority w:val="0"/>
    <w:pPr>
      <w:ind w:left="840"/>
    </w:pPr>
  </w:style>
  <w:style w:type="paragraph" w:customStyle="1" w:styleId="52">
    <w:name w:val="footera64ad3c5a64ad3c5"/>
    <w:basedOn w:val="44"/>
    <w:uiPriority w:val="0"/>
    <w:pPr>
      <w:tabs>
        <w:tab w:val="center" w:pos="4153"/>
        <w:tab w:val="right" w:pos="8307"/>
      </w:tabs>
      <w:adjustRightInd/>
      <w:snapToGrid w:val="0"/>
      <w:contextualSpacing w:val="0"/>
      <w:jc w:val="left"/>
    </w:pPr>
    <w:rPr>
      <w:sz w:val="18"/>
    </w:rPr>
  </w:style>
  <w:style w:type="paragraph" w:customStyle="1" w:styleId="53">
    <w:name w:val="header349a8f6f349a8f6f"/>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1cc26c4f1cc26c4f"/>
    <w:basedOn w:val="44"/>
    <w:next w:val="1"/>
    <w:uiPriority w:val="0"/>
  </w:style>
  <w:style w:type="paragraph" w:customStyle="1" w:styleId="55">
    <w:name w:val="toc 440818dc540818dc5"/>
    <w:basedOn w:val="44"/>
    <w:next w:val="1"/>
    <w:uiPriority w:val="0"/>
    <w:pPr>
      <w:ind w:left="1260"/>
    </w:pPr>
  </w:style>
  <w:style w:type="paragraph" w:customStyle="1" w:styleId="56">
    <w:name w:val="toc 2814b6f80814b6f80"/>
    <w:basedOn w:val="44"/>
    <w:next w:val="1"/>
    <w:uiPriority w:val="0"/>
    <w:pPr>
      <w:ind w:left="420"/>
    </w:pPr>
  </w:style>
  <w:style w:type="paragraph" w:customStyle="1" w:styleId="57">
    <w:name w:val="列出段落1ff659b09ff659b0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12</Pages>
  <Words>25042</Words>
  <Characters>26376</Characters>
  <Lines>81</Lines>
  <Paragraphs>27</Paragraphs>
  <TotalTime>9</TotalTime>
  <ScaleCrop>false</ScaleCrop>
  <LinksUpToDate>false</LinksUpToDate>
  <CharactersWithSpaces>26546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2024-11-08T00:44:14Z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BAF17AF1760B44DFBE8F40772C567252_13</vt:lpwstr>
  </property>
</Properties>
</file>