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开放式、固定收益类、公募、净值型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pPr>
        <w:spacing w:line="200" w:lineRule="exact"/>
      </w:pPr>
      <w:r>
        <w:rPr>
          <w:rFonts w:ascii="方正黑体_GBK" w:hAnsi="方正黑体_GBK" w:eastAsia="方正黑体_GBK" w:cs="宋体"/>
          <w:b/>
          <w:sz w:val="13"/>
          <w:szCs w:val="20"/>
        </w:rPr>
        <w:t xml:space="preserve">    1.债券类资产投资风险</w:t>
      </w:r>
    </w:p>
    <w:p>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ascii="方正黑体_GBK" w:hAnsi="方正黑体_GBK" w:eastAsia="方正黑体_GBK" w:cs="宋体"/>
          <w:b/>
          <w:sz w:val="13"/>
          <w:szCs w:val="20"/>
        </w:rPr>
        <w:t xml:space="preserve">    2.资产管理产品投资风险</w:t>
      </w:r>
    </w:p>
    <w:p>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类型：开放式、固定收益类、公募、净值型。</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10年</w:t>
      </w:r>
      <w:r>
        <w:rPr>
          <w:rFonts w:hint="eastAsia" w:ascii="方正黑体_GBK" w:hAnsi="方正黑体_GBK" w:eastAsia="方正黑体_GBK" w:cs="Times New Roman"/>
          <w:b/>
          <w:bCs w:val="0"/>
          <w:vanish w:val="0"/>
          <w:color w:val="3D3D3D"/>
          <w:kern w:val="0"/>
          <w:sz w:val="13"/>
          <w:szCs w:val="13"/>
        </w:rPr>
        <w:t>（若本理财产品被提前终止或延期终止，以实际到期日计算持有天数）</w:t>
      </w:r>
      <w:r>
        <w:rPr>
          <w:rFonts w:hint="eastAsia" w:ascii="方正黑体_GBK" w:hAnsi="方正黑体_GBK" w:eastAsia="方正黑体_GBK"/>
          <w:b/>
          <w:bCs w:val="0"/>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管理人不承诺本金保障，产品收益随投资表现变动，产品存在极低的本金损失风险</w:t>
      </w:r>
      <w:r>
        <w:rPr>
          <w:rFonts w:hint="eastAsia" w:ascii="方正黑体_GBK" w:hAnsi="方正黑体_GBK" w:eastAsia="方正黑体_GBK"/>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pPr>
        <w:rPr>
          <w:rFonts w:hint="eastAsia" w:ascii="方正黑体_GBK" w:hAnsi="方正黑体_GBK" w:eastAsia="方正黑体_GBK"/>
          <w:sz w:val="20"/>
          <w:szCs w:val="20"/>
          <w:lang w:val="en-US" w:eastAsia="zh-CN"/>
        </w:rPr>
      </w:pPr>
      <w:r>
        <w:rPr>
          <w:rFonts w:hint="eastAsia" w:ascii="方正黑体_GBK" w:hAnsi="方正黑体_GBK" w:eastAsia="方正黑体_GBK"/>
          <w:sz w:val="20"/>
          <w:szCs w:val="20"/>
          <w:lang w:val="en-US" w:eastAsia="zh-CN"/>
        </w:rPr>
        <w:br w:type="page"/>
      </w:r>
    </w:p>
    <w:p>
      <w:pPr>
        <w:autoSpaceDE w:val="0"/>
        <w:autoSpaceDN w:val="0"/>
        <w:adjustRightInd w:val="0"/>
        <w:jc w:val="left"/>
        <w:rPr>
          <w:rFonts w:ascii="宋体" w:hAnsi="宋体" w:cs="宋体"/>
          <w:color w:val="000000"/>
          <w:kern w:val="0"/>
          <w:sz w:val="28"/>
        </w:rPr>
      </w:pPr>
      <w:r>
        <w:rPr>
          <w:rFonts w:ascii="宋体" w:hAnsi="宋体" w:cs="宋体"/>
          <w:color w:val="000000"/>
          <w:kern w:val="0"/>
          <w:sz w:val="28"/>
        </w:rPr>
        <w:t>尊敬的客户：</w:t>
      </w:r>
    </w:p>
    <w:p>
      <w:pPr>
        <w:autoSpaceDE w:val="0"/>
        <w:autoSpaceDN w:val="0"/>
        <w:adjustRightInd w:val="0"/>
        <w:ind w:firstLine="560" w:firstLineChars="200"/>
        <w:jc w:val="left"/>
        <w:rPr>
          <w:rFonts w:ascii="宋体" w:hAnsi="宋体" w:cs="宋体"/>
          <w:color w:val="000000"/>
          <w:kern w:val="0"/>
          <w:sz w:val="28"/>
        </w:rPr>
      </w:pPr>
      <w:r>
        <w:rPr>
          <w:rFonts w:ascii="宋体" w:hAnsi="宋体" w:cs="宋体"/>
          <w:color w:val="000000"/>
          <w:kern w:val="0"/>
          <w:sz w:val="28"/>
        </w:rPr>
        <w:t>根据代销机构风险评级，本产品为</w:t>
      </w:r>
      <w:r>
        <w:rPr>
          <w:rFonts w:hint="eastAsia" w:ascii="宋体" w:hAnsi="宋体" w:cs="宋体"/>
          <w:b/>
          <w:color w:val="FF0000"/>
          <w:kern w:val="0"/>
          <w:sz w:val="28"/>
        </w:rPr>
        <w:t>低</w:t>
      </w:r>
      <w:r>
        <w:rPr>
          <w:rFonts w:ascii="宋体" w:hAnsi="宋体" w:cs="宋体"/>
          <w:b/>
          <w:color w:val="FF0000"/>
          <w:kern w:val="0"/>
          <w:sz w:val="28"/>
        </w:rPr>
        <w:t>风险</w:t>
      </w:r>
      <w:r>
        <w:rPr>
          <w:rFonts w:ascii="宋体" w:hAnsi="宋体" w:cs="宋体"/>
          <w:color w:val="000000"/>
          <w:kern w:val="0"/>
          <w:sz w:val="28"/>
        </w:rPr>
        <w:t>理财产品，适合本行风险承受能力为</w:t>
      </w:r>
      <w:r>
        <w:rPr>
          <w:rFonts w:hint="eastAsia" w:ascii="宋体" w:hAnsi="宋体" w:cs="宋体"/>
          <w:b/>
          <w:color w:val="FF0000"/>
          <w:kern w:val="0"/>
          <w:sz w:val="28"/>
        </w:rPr>
        <w:t>低</w:t>
      </w:r>
      <w:r>
        <w:rPr>
          <w:rFonts w:ascii="宋体" w:hAnsi="宋体" w:cs="宋体"/>
          <w:b/>
          <w:color w:val="FF0000"/>
          <w:kern w:val="0"/>
          <w:sz w:val="28"/>
        </w:rPr>
        <w:t>及以上</w:t>
      </w:r>
      <w:r>
        <w:rPr>
          <w:rFonts w:ascii="宋体" w:hAnsi="宋体" w:cs="宋体"/>
          <w:color w:val="000000"/>
          <w:kern w:val="0"/>
          <w:sz w:val="28"/>
        </w:rPr>
        <w:t>客户购买，请选择与您风险承受能力相匹配的理财产品。</w:t>
      </w:r>
    </w:p>
    <w:p>
      <w:pPr>
        <w:autoSpaceDE w:val="0"/>
        <w:autoSpaceDN w:val="0"/>
        <w:adjustRightInd w:val="0"/>
        <w:jc w:val="left"/>
        <w:rPr>
          <w:rFonts w:ascii="宋体" w:hAnsi="宋体" w:cs="宋体"/>
          <w:color w:val="000000"/>
          <w:kern w:val="0"/>
          <w:sz w:val="28"/>
        </w:rPr>
      </w:pPr>
      <w:r>
        <w:rPr>
          <w:rFonts w:ascii="宋体" w:hAnsi="宋体" w:cs="宋体"/>
          <w:color w:val="000000"/>
          <w:kern w:val="0"/>
          <w:sz w:val="28"/>
        </w:rPr>
        <w:t>（理财产品风险分级为：低、中低、中等、中高、高）。</w:t>
      </w:r>
    </w:p>
    <w:p>
      <w:pPr>
        <w:autoSpaceDE w:val="0"/>
        <w:autoSpaceDN w:val="0"/>
        <w:adjustRightInd w:val="0"/>
        <w:ind w:firstLine="560" w:firstLineChars="200"/>
        <w:jc w:val="left"/>
        <w:rPr>
          <w:rFonts w:ascii="宋体" w:hAnsi="宋体" w:cs="宋体"/>
          <w:color w:val="000000"/>
          <w:kern w:val="0"/>
          <w:sz w:val="28"/>
        </w:rPr>
      </w:pPr>
      <w:r>
        <w:rPr>
          <w:rFonts w:ascii="宋体" w:hAnsi="宋体" w:cs="宋体"/>
          <w:color w:val="FF0000"/>
          <w:kern w:val="0"/>
          <w:sz w:val="28"/>
        </w:rPr>
        <w:t>本产品由</w:t>
      </w:r>
      <w:r>
        <w:rPr>
          <w:rFonts w:hint="eastAsia" w:ascii="宋体" w:hAnsi="宋体" w:cs="宋体"/>
          <w:color w:val="FF0000"/>
          <w:kern w:val="0"/>
          <w:sz w:val="28"/>
        </w:rPr>
        <w:t>南银理财</w:t>
      </w:r>
      <w:r>
        <w:rPr>
          <w:rFonts w:ascii="宋体" w:hAnsi="宋体" w:cs="宋体"/>
          <w:color w:val="FF0000"/>
          <w:kern w:val="0"/>
          <w:sz w:val="28"/>
        </w:rPr>
        <w:t>有限责任公司发行与管理，代销机构不承担产品的投资、兑付和风险管理责任。</w:t>
      </w:r>
    </w:p>
    <w:p>
      <w:pPr>
        <w:autoSpaceDE w:val="0"/>
        <w:autoSpaceDN w:val="0"/>
        <w:adjustRightInd w:val="0"/>
        <w:ind w:firstLine="560" w:firstLineChars="200"/>
        <w:jc w:val="left"/>
        <w:rPr>
          <w:rFonts w:ascii="宋体" w:hAnsi="宋体" w:cs="宋体"/>
          <w:color w:val="000000"/>
          <w:kern w:val="0"/>
          <w:sz w:val="28"/>
        </w:rPr>
      </w:pPr>
    </w:p>
    <w:p>
      <w:pPr>
        <w:pStyle w:val="58"/>
        <w:spacing w:line="360" w:lineRule="auto"/>
        <w:jc w:val="right"/>
        <w:rPr>
          <w:rFonts w:hAnsi="宋体"/>
          <w:sz w:val="28"/>
        </w:rPr>
      </w:pPr>
      <w:r>
        <w:rPr>
          <w:rFonts w:hAnsi="宋体"/>
          <w:sz w:val="28"/>
        </w:rPr>
        <w:t>风险提示方：江苏紫金农村商业银行股份有限公司</w:t>
      </w:r>
    </w:p>
    <w:p/>
    <w:p>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roman"/>
    <w:pitch w:val="default"/>
    <w:sig w:usb0="00000000" w:usb1="00000000"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32A805C7"/>
    <w:rsid w:val="33433B59"/>
    <w:rsid w:val="383622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 w:type="character" w:styleId="14">
    <w:name w:val="Strong"/>
    <w:qFormat/>
    <w:uiPriority w:val="0"/>
    <w:rPr>
      <w:b/>
    </w:rPr>
  </w:style>
  <w:style w:type="paragraph" w:customStyle="1" w:styleId="15">
    <w:name w:val="Normal4ded3760"/>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b6b6b6cd"/>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ae8f747a"/>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13e456c6"/>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709de613"/>
    <w:uiPriority w:val="0"/>
  </w:style>
  <w:style w:type="paragraph" w:customStyle="1" w:styleId="20">
    <w:name w:val="toc 1209b2f50"/>
    <w:basedOn w:val="15"/>
    <w:next w:val="1"/>
    <w:uiPriority w:val="0"/>
  </w:style>
  <w:style w:type="paragraph" w:customStyle="1" w:styleId="21">
    <w:name w:val="toc 29b0af51b"/>
    <w:basedOn w:val="15"/>
    <w:next w:val="1"/>
    <w:uiPriority w:val="0"/>
    <w:pPr>
      <w:ind w:left="420"/>
    </w:pPr>
  </w:style>
  <w:style w:type="paragraph" w:customStyle="1" w:styleId="22">
    <w:name w:val="toc 35b24615f"/>
    <w:basedOn w:val="15"/>
    <w:next w:val="1"/>
    <w:uiPriority w:val="0"/>
    <w:pPr>
      <w:ind w:left="840"/>
    </w:pPr>
  </w:style>
  <w:style w:type="paragraph" w:customStyle="1" w:styleId="23">
    <w:name w:val="toc 43535f4ab"/>
    <w:basedOn w:val="15"/>
    <w:next w:val="1"/>
    <w:uiPriority w:val="0"/>
    <w:pPr>
      <w:ind w:left="1260"/>
    </w:pPr>
  </w:style>
  <w:style w:type="paragraph" w:customStyle="1" w:styleId="24">
    <w:name w:val="toc 52ba8a17a"/>
    <w:basedOn w:val="15"/>
    <w:next w:val="1"/>
    <w:uiPriority w:val="0"/>
    <w:pPr>
      <w:ind w:left="1680"/>
    </w:pPr>
  </w:style>
  <w:style w:type="paragraph" w:customStyle="1" w:styleId="25">
    <w:name w:val="header7af28ddb"/>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f42fc798"/>
    <w:basedOn w:val="15"/>
    <w:uiPriority w:val="0"/>
    <w:pPr>
      <w:tabs>
        <w:tab w:val="center" w:pos="4153"/>
        <w:tab w:val="right" w:pos="8307"/>
      </w:tabs>
      <w:adjustRightInd/>
      <w:snapToGrid w:val="0"/>
      <w:contextualSpacing w:val="0"/>
      <w:jc w:val="left"/>
    </w:pPr>
    <w:rPr>
      <w:sz w:val="18"/>
    </w:rPr>
  </w:style>
  <w:style w:type="character" w:customStyle="1" w:styleId="27">
    <w:name w:val="Strong4d2cb65d"/>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74d9b3fa"/>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fd0a685a"/>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c6cac27e"/>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aa558d40"/>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4e13611d"/>
    <w:uiPriority w:val="0"/>
  </w:style>
  <w:style w:type="paragraph" w:customStyle="1" w:styleId="34">
    <w:name w:val="Normal Indent659ec01b"/>
    <w:basedOn w:val="29"/>
    <w:uiPriority w:val="0"/>
    <w:pPr>
      <w:ind w:firstLine="200" w:firstLineChars="200"/>
    </w:pPr>
  </w:style>
  <w:style w:type="paragraph" w:customStyle="1" w:styleId="35">
    <w:name w:val="toc 500376235"/>
    <w:basedOn w:val="29"/>
    <w:next w:val="1"/>
    <w:uiPriority w:val="0"/>
    <w:pPr>
      <w:ind w:left="1680"/>
    </w:pPr>
  </w:style>
  <w:style w:type="paragraph" w:customStyle="1" w:styleId="36">
    <w:name w:val="toc 3f97c5981"/>
    <w:basedOn w:val="29"/>
    <w:next w:val="1"/>
    <w:uiPriority w:val="0"/>
    <w:pPr>
      <w:ind w:left="840"/>
    </w:pPr>
  </w:style>
  <w:style w:type="paragraph" w:customStyle="1" w:styleId="37">
    <w:name w:val="footer21a4b765"/>
    <w:basedOn w:val="29"/>
    <w:uiPriority w:val="0"/>
    <w:pPr>
      <w:tabs>
        <w:tab w:val="center" w:pos="4153"/>
        <w:tab w:val="right" w:pos="8307"/>
      </w:tabs>
      <w:adjustRightInd/>
      <w:snapToGrid w:val="0"/>
      <w:contextualSpacing w:val="0"/>
      <w:jc w:val="left"/>
    </w:pPr>
    <w:rPr>
      <w:sz w:val="18"/>
    </w:rPr>
  </w:style>
  <w:style w:type="paragraph" w:customStyle="1" w:styleId="38">
    <w:name w:val="header54fd5831"/>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6e614352"/>
    <w:basedOn w:val="29"/>
    <w:next w:val="1"/>
    <w:uiPriority w:val="0"/>
  </w:style>
  <w:style w:type="paragraph" w:customStyle="1" w:styleId="40">
    <w:name w:val="toc 4225e76d7"/>
    <w:basedOn w:val="29"/>
    <w:next w:val="1"/>
    <w:uiPriority w:val="0"/>
    <w:pPr>
      <w:ind w:left="1260"/>
    </w:pPr>
  </w:style>
  <w:style w:type="paragraph" w:customStyle="1" w:styleId="41">
    <w:name w:val="toc 27e720a73"/>
    <w:basedOn w:val="29"/>
    <w:next w:val="1"/>
    <w:uiPriority w:val="0"/>
    <w:pPr>
      <w:ind w:left="420"/>
    </w:pPr>
  </w:style>
  <w:style w:type="paragraph" w:customStyle="1" w:styleId="42">
    <w:name w:val="Normal (Web)4e903899"/>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38bd1c9238bd1c92"/>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29d3d0c129d3d0c1"/>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29bac1af29bac1af"/>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c19610efc19610ef"/>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f3a1b1e6f3a1b1e6"/>
    <w:uiPriority w:val="0"/>
  </w:style>
  <w:style w:type="paragraph" w:customStyle="1" w:styleId="49">
    <w:name w:val="引文目录1d4b3abe7d4b3abe7"/>
    <w:basedOn w:val="44"/>
    <w:next w:val="1"/>
    <w:uiPriority w:val="0"/>
    <w:pPr>
      <w:ind w:left="200" w:leftChars="200"/>
    </w:pPr>
  </w:style>
  <w:style w:type="paragraph" w:customStyle="1" w:styleId="50">
    <w:name w:val="toc 5998a6ba5998a6ba5"/>
    <w:basedOn w:val="44"/>
    <w:next w:val="1"/>
    <w:uiPriority w:val="0"/>
    <w:pPr>
      <w:ind w:left="1680"/>
    </w:pPr>
  </w:style>
  <w:style w:type="paragraph" w:customStyle="1" w:styleId="51">
    <w:name w:val="toc 3c4562684c4562684"/>
    <w:basedOn w:val="44"/>
    <w:next w:val="1"/>
    <w:uiPriority w:val="0"/>
    <w:pPr>
      <w:ind w:left="840"/>
    </w:pPr>
  </w:style>
  <w:style w:type="paragraph" w:customStyle="1" w:styleId="52">
    <w:name w:val="footera64ad3c5a64ad3c5"/>
    <w:basedOn w:val="44"/>
    <w:uiPriority w:val="0"/>
    <w:pPr>
      <w:tabs>
        <w:tab w:val="center" w:pos="4153"/>
        <w:tab w:val="right" w:pos="8307"/>
      </w:tabs>
      <w:adjustRightInd/>
      <w:snapToGrid w:val="0"/>
      <w:contextualSpacing w:val="0"/>
      <w:jc w:val="left"/>
    </w:pPr>
    <w:rPr>
      <w:sz w:val="18"/>
    </w:rPr>
  </w:style>
  <w:style w:type="paragraph" w:customStyle="1" w:styleId="53">
    <w:name w:val="header349a8f6f349a8f6f"/>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1cc26c4f1cc26c4f"/>
    <w:basedOn w:val="44"/>
    <w:next w:val="1"/>
    <w:uiPriority w:val="0"/>
  </w:style>
  <w:style w:type="paragraph" w:customStyle="1" w:styleId="55">
    <w:name w:val="toc 440818dc540818dc5"/>
    <w:basedOn w:val="44"/>
    <w:next w:val="1"/>
    <w:uiPriority w:val="0"/>
    <w:pPr>
      <w:ind w:left="1260"/>
    </w:pPr>
  </w:style>
  <w:style w:type="paragraph" w:customStyle="1" w:styleId="56">
    <w:name w:val="toc 2814b6f80814b6f80"/>
    <w:basedOn w:val="44"/>
    <w:next w:val="1"/>
    <w:uiPriority w:val="0"/>
    <w:pPr>
      <w:ind w:left="420"/>
    </w:pPr>
  </w:style>
  <w:style w:type="paragraph" w:customStyle="1" w:styleId="57">
    <w:name w:val="列出段落1ff659b09ff659b0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58">
    <w:name w:val="Default"/>
    <w:qFormat/>
    <w:uiPriority w:val="0"/>
    <w:pPr>
      <w:widowControl w:val="0"/>
      <w:autoSpaceDE w:val="0"/>
      <w:autoSpaceDN w:val="0"/>
      <w:adjustRightInd w:val="0"/>
    </w:pPr>
    <w:rPr>
      <w:rFonts w:ascii="宋体" w:hAnsi="等线"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25042</Words>
  <Characters>26376</Characters>
  <Lines>81</Lines>
  <Paragraphs>27</Paragraphs>
  <TotalTime>0</TotalTime>
  <ScaleCrop>false</ScaleCrop>
  <LinksUpToDate>false</LinksUpToDate>
  <CharactersWithSpaces>26546</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lenovo</cp:lastModifiedBy>
  <dcterms:modified xsi:type="dcterms:W3CDTF">2024-11-13T09:26:17Z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4877CE1A2B244C7EB78FD67CE7769660_13</vt:lpwstr>
  </property>
</Properties>
</file>