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FEC50">
      <w:pPr>
        <w:pStyle w:val="3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hint="eastAsia" w:ascii="方正黑体_GBK" w:hAnsi="方正黑体_GBK" w:eastAsia="方正黑体_GBK" w:cs="方正黑体_GBK"/>
          <w:b/>
          <w:bCs/>
          <w:caps w:val="0"/>
          <w:smallCaps w:val="0"/>
          <w:snapToGrid/>
          <w:vanish w:val="0"/>
          <w:color w:val="auto"/>
          <w:kern w:val="0"/>
          <w:sz w:val="24"/>
          <w:szCs w:val="24"/>
          <w:vertAlign w:val="baseline"/>
        </w:rPr>
      </w:pPr>
      <w:r>
        <w:rPr>
          <w:rFonts w:hint="eastAsia" w:ascii="方正黑体_GBK" w:hAnsi="方正黑体_GBK" w:eastAsia="方正黑体_GBK" w:cs="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cs="方正黑体_GBK"/>
          <w:b/>
          <w:bCs/>
          <w:caps w:val="0"/>
          <w:smallCaps w:val="0"/>
          <w:snapToGrid/>
          <w:vanish w:val="0"/>
          <w:color w:val="auto"/>
          <w:kern w:val="0"/>
          <w:sz w:val="24"/>
          <w:szCs w:val="24"/>
          <w:vertAlign w:val="baseline"/>
        </w:rPr>
        <w:t>产品说明书</w:t>
      </w:r>
    </w:p>
    <w:bookmarkEnd w:id="0"/>
    <w:p w14:paraId="47B50F61">
      <w:pPr>
        <w:pStyle w:val="3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hint="eastAsia" w:ascii="方正黑体_GBK" w:hAnsi="方正黑体_GBK" w:eastAsia="方正黑体_GBK" w:cs="方正黑体_GBK"/>
          <w:b/>
          <w:bCs/>
          <w:i/>
          <w:iCs/>
          <w:caps w:val="0"/>
          <w:smallCaps w:val="0"/>
          <w:snapToGrid/>
          <w:vanish w:val="0"/>
          <w:color w:val="auto"/>
          <w:kern w:val="0"/>
          <w:sz w:val="24"/>
          <w:szCs w:val="24"/>
          <w:u w:val="single"/>
          <w:vertAlign w:val="baseline"/>
        </w:rPr>
      </w:pPr>
      <w:r>
        <w:rPr>
          <w:rFonts w:hint="eastAsia" w:ascii="方正黑体_GBK" w:hAnsi="方正黑体_GBK" w:eastAsia="方正黑体_GBK" w:cs="方正黑体_GBK"/>
          <w:b/>
          <w:bCs/>
          <w:i/>
          <w:iCs/>
          <w:caps w:val="0"/>
          <w:smallCaps w:val="0"/>
          <w:snapToGrid/>
          <w:vanish w:val="0"/>
          <w:color w:val="auto"/>
          <w:kern w:val="0"/>
          <w:sz w:val="24"/>
          <w:szCs w:val="24"/>
          <w:u w:val="single"/>
          <w:vertAlign w:val="baseline"/>
        </w:rPr>
        <w:t>“理财非存款、产品有风险、投资须谨慎”！</w:t>
      </w:r>
    </w:p>
    <w:p w14:paraId="31186BB9">
      <w:pPr>
        <w:pStyle w:val="46"/>
        <w:keepNext w:val="0"/>
        <w:keepLines w:val="0"/>
        <w:pageBreakBefore w:val="0"/>
        <w:widowControl/>
        <w:suppressLineNumbers w:val="0"/>
        <w:suppressAutoHyphens w:val="0"/>
        <w:spacing w:line="200" w:lineRule="exact"/>
        <w:ind w:firstLine="0"/>
        <w:jc w:val="both"/>
        <w:textAlignment w:val="baseline"/>
        <w:rPr>
          <w:rFonts w:hint="eastAsia" w:ascii="方正黑体_GBK" w:hAnsi="方正黑体_GBK" w:eastAsia="方正黑体_GBK" w:cs="方正黑体_GBK"/>
          <w:b/>
          <w:bCs w:val="0"/>
          <w:caps w:val="0"/>
          <w:smallCaps w:val="0"/>
          <w:snapToGrid/>
          <w:vanish w:val="0"/>
          <w:color w:val="3D3D3D"/>
          <w:kern w:val="0"/>
          <w:sz w:val="15"/>
          <w:szCs w:val="15"/>
          <w:vertAlign w:val="baseline"/>
        </w:rPr>
      </w:pPr>
      <w:r>
        <w:rPr>
          <w:rFonts w:hint="eastAsia" w:ascii="方正黑体_GBK" w:hAnsi="方正黑体_GBK" w:eastAsia="方正黑体_GBK" w:cs="方正黑体_GBK"/>
          <w:b/>
          <w:bCs w:val="0"/>
          <w:caps w:val="0"/>
          <w:smallCaps w:val="0"/>
          <w:snapToGrid/>
          <w:vanish w:val="0"/>
          <w:color w:val="3D3D3D"/>
          <w:kern w:val="0"/>
          <w:sz w:val="15"/>
          <w:szCs w:val="15"/>
          <w:vertAlign w:val="baseline"/>
        </w:rPr>
        <w:t>第一条  产品基本要素</w:t>
      </w:r>
    </w:p>
    <w:tbl>
      <w:tblPr>
        <w:tblStyle w:val="15"/>
        <w:tblW w:w="10299"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1945"/>
        <w:gridCol w:w="8354"/>
      </w:tblGrid>
      <w:tr w14:paraId="10FEC69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2" w:space="0"/>
              <w:right w:val="single" w:color="auto" w:sz="4" w:space="0"/>
              <w:tl2br w:val="nil"/>
              <w:tr2bl w:val="nil"/>
            </w:tcBorders>
            <w:vAlign w:val="center"/>
          </w:tcPr>
          <w:p w14:paraId="14F0543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产品名称</w:t>
            </w:r>
          </w:p>
        </w:tc>
        <w:tc>
          <w:tcPr>
            <w:tcW w:w="8354" w:type="dxa"/>
            <w:tcBorders>
              <w:top w:val="single" w:color="auto" w:sz="4" w:space="0"/>
              <w:left w:val="nil"/>
              <w:bottom w:val="single" w:color="auto" w:sz="2" w:space="0"/>
              <w:right w:val="single" w:color="auto" w:sz="4" w:space="0"/>
              <w:tl2br w:val="nil"/>
              <w:tr2bl w:val="nil"/>
            </w:tcBorders>
            <w:vAlign w:val="center"/>
          </w:tcPr>
          <w:p w14:paraId="0D0DC9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南银理财珠联璧合悦稳（最低持有28天）公募人民币理财产品</w:t>
            </w:r>
          </w:p>
        </w:tc>
      </w:tr>
      <w:tr w14:paraId="15A1C4A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2" w:space="0"/>
              <w:left w:val="single" w:color="auto" w:sz="2" w:space="0"/>
              <w:bottom w:val="single" w:color="auto" w:sz="2" w:space="0"/>
              <w:right w:val="single" w:color="auto" w:sz="2" w:space="0"/>
            </w:tcBorders>
            <w:vAlign w:val="center"/>
          </w:tcPr>
          <w:p w14:paraId="32E2FD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产品类型</w:t>
            </w:r>
          </w:p>
        </w:tc>
        <w:tc>
          <w:tcPr>
            <w:tcW w:w="8354" w:type="dxa"/>
            <w:tcBorders>
              <w:top w:val="single" w:color="auto" w:sz="2" w:space="0"/>
              <w:left w:val="single" w:color="auto" w:sz="2" w:space="0"/>
              <w:bottom w:val="single" w:color="auto" w:sz="2" w:space="0"/>
              <w:right w:val="single" w:color="auto" w:sz="2" w:space="0"/>
            </w:tcBorders>
            <w:vAlign w:val="center"/>
          </w:tcPr>
          <w:p w14:paraId="32773B3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开放式、固定收益类、公募、净值型</w:t>
            </w:r>
          </w:p>
        </w:tc>
      </w:tr>
      <w:tr w14:paraId="2D087C0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2" w:space="0"/>
              <w:left w:val="single" w:color="auto" w:sz="2" w:space="0"/>
              <w:bottom w:val="single" w:color="auto" w:sz="2" w:space="0"/>
              <w:right w:val="single" w:color="auto" w:sz="2" w:space="0"/>
            </w:tcBorders>
            <w:vAlign w:val="center"/>
          </w:tcPr>
          <w:p w14:paraId="0626F02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募集方式</w:t>
            </w:r>
          </w:p>
        </w:tc>
        <w:tc>
          <w:tcPr>
            <w:tcW w:w="8354" w:type="dxa"/>
            <w:tcBorders>
              <w:top w:val="single" w:color="auto" w:sz="2" w:space="0"/>
              <w:left w:val="single" w:color="auto" w:sz="2" w:space="0"/>
              <w:bottom w:val="single" w:color="auto" w:sz="2" w:space="0"/>
              <w:right w:val="single" w:color="auto" w:sz="2" w:space="0"/>
            </w:tcBorders>
            <w:vAlign w:val="center"/>
          </w:tcPr>
          <w:p w14:paraId="25736A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公开募集</w:t>
            </w:r>
          </w:p>
        </w:tc>
      </w:tr>
      <w:tr w14:paraId="1D1DECA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2" w:space="0"/>
              <w:left w:val="single" w:color="auto" w:sz="4" w:space="0"/>
              <w:bottom w:val="single" w:color="auto" w:sz="4" w:space="0"/>
              <w:right w:val="single" w:color="auto" w:sz="4" w:space="0"/>
              <w:tl2br w:val="nil"/>
              <w:tr2bl w:val="nil"/>
            </w:tcBorders>
            <w:vAlign w:val="center"/>
          </w:tcPr>
          <w:p w14:paraId="7D2FB6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理财产品代码</w:t>
            </w:r>
          </w:p>
        </w:tc>
        <w:tc>
          <w:tcPr>
            <w:tcW w:w="8354" w:type="dxa"/>
            <w:tcBorders>
              <w:top w:val="single" w:color="auto" w:sz="2" w:space="0"/>
              <w:left w:val="nil"/>
              <w:bottom w:val="single" w:color="auto" w:sz="4" w:space="0"/>
              <w:right w:val="single" w:color="auto" w:sz="4" w:space="0"/>
              <w:tl2br w:val="nil"/>
              <w:tr2bl w:val="nil"/>
            </w:tcBorders>
            <w:vAlign w:val="center"/>
          </w:tcPr>
          <w:p w14:paraId="5E5A6FE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ZZ700322300921</w:t>
            </w:r>
          </w:p>
        </w:tc>
      </w:tr>
      <w:tr w14:paraId="0C7C8BC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43B40D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产品登记编码</w:t>
            </w:r>
          </w:p>
        </w:tc>
        <w:tc>
          <w:tcPr>
            <w:tcW w:w="8354" w:type="dxa"/>
            <w:tcBorders>
              <w:top w:val="single" w:color="auto" w:sz="4" w:space="0"/>
              <w:left w:val="nil"/>
              <w:bottom w:val="single" w:color="auto" w:sz="4" w:space="0"/>
              <w:right w:val="single" w:color="auto" w:sz="4" w:space="0"/>
              <w:tl2br w:val="nil"/>
              <w:tr2bl w:val="nil"/>
            </w:tcBorders>
            <w:vAlign w:val="center"/>
          </w:tcPr>
          <w:p w14:paraId="5BA6D8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Z7003223000077(投资者可依据该编码在中国理财网www.chinawealth.com.cn查询理财产品相关信息）</w:t>
            </w:r>
          </w:p>
        </w:tc>
      </w:tr>
      <w:tr w14:paraId="538C41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528D6DA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内部销售代码</w:t>
            </w:r>
          </w:p>
        </w:tc>
        <w:tc>
          <w:tcPr>
            <w:tcW w:w="8354" w:type="dxa"/>
            <w:tcBorders>
              <w:top w:val="single" w:color="auto" w:sz="4" w:space="0"/>
              <w:left w:val="nil"/>
              <w:bottom w:val="single" w:color="auto" w:sz="4" w:space="0"/>
              <w:right w:val="single" w:color="auto" w:sz="4" w:space="0"/>
              <w:tl2br w:val="nil"/>
              <w:tr2bl w:val="nil"/>
            </w:tcBorders>
            <w:vAlign w:val="center"/>
          </w:tcPr>
          <w:p w14:paraId="0EDBF08D">
            <w:pPr>
              <w:spacing w:line="200" w:lineRule="exact"/>
              <w:rPr>
                <w:rFonts w:hint="eastAsia" w:hAnsi="方正黑体_GBK" w:cs="方正黑体_GBK"/>
              </w:rPr>
            </w:pPr>
            <w:r>
              <w:rPr>
                <w:rFonts w:hint="eastAsia" w:ascii="方正黑体_GBK" w:hAnsi="方正黑体_GBK" w:eastAsia="方正黑体_GBK" w:cs="方正黑体_GBK"/>
                <w:sz w:val="18"/>
                <w:szCs w:val="18"/>
              </w:rPr>
              <w:t>A份额：A32009</w:t>
            </w:r>
          </w:p>
          <w:p w14:paraId="35E67E7A">
            <w:pPr>
              <w:spacing w:line="200" w:lineRule="exact"/>
              <w:rPr>
                <w:rFonts w:hint="eastAsia" w:hAnsi="方正黑体_GBK" w:cs="方正黑体_GBK"/>
              </w:rPr>
            </w:pPr>
            <w:r>
              <w:rPr>
                <w:rFonts w:hint="eastAsia" w:ascii="方正黑体_GBK" w:hAnsi="方正黑体_GBK" w:eastAsia="方正黑体_GBK" w:cs="方正黑体_GBK"/>
                <w:sz w:val="18"/>
                <w:szCs w:val="18"/>
              </w:rPr>
              <w:t>B份额：A32010</w:t>
            </w:r>
          </w:p>
          <w:p w14:paraId="59A4F271">
            <w:pPr>
              <w:spacing w:line="200" w:lineRule="exact"/>
              <w:rPr>
                <w:rFonts w:hint="eastAsia" w:hAnsi="方正黑体_GBK" w:cs="方正黑体_GBK"/>
              </w:rPr>
            </w:pPr>
            <w:r>
              <w:rPr>
                <w:rFonts w:hint="eastAsia" w:ascii="方正黑体_GBK" w:hAnsi="方正黑体_GBK" w:eastAsia="方正黑体_GBK" w:cs="方正黑体_GBK"/>
                <w:sz w:val="18"/>
                <w:szCs w:val="18"/>
              </w:rPr>
              <w:t>C份额：A32029</w:t>
            </w:r>
          </w:p>
          <w:p w14:paraId="1E40E2F5">
            <w:pPr>
              <w:spacing w:line="200" w:lineRule="exact"/>
              <w:rPr>
                <w:rFonts w:hint="eastAsia" w:hAnsi="方正黑体_GBK" w:cs="方正黑体_GBK"/>
              </w:rPr>
            </w:pPr>
            <w:r>
              <w:rPr>
                <w:rFonts w:hint="eastAsia" w:ascii="方正黑体_GBK" w:hAnsi="方正黑体_GBK" w:eastAsia="方正黑体_GBK" w:cs="方正黑体_GBK"/>
                <w:sz w:val="18"/>
                <w:szCs w:val="18"/>
              </w:rPr>
              <w:t>D份额：A32032</w:t>
            </w:r>
          </w:p>
          <w:p w14:paraId="3064B5A9">
            <w:pPr>
              <w:spacing w:line="200" w:lineRule="exact"/>
              <w:rPr>
                <w:rFonts w:hint="eastAsia" w:hAnsi="方正黑体_GBK" w:cs="方正黑体_GBK"/>
              </w:rPr>
            </w:pPr>
            <w:r>
              <w:rPr>
                <w:rFonts w:hint="eastAsia" w:ascii="方正黑体_GBK" w:hAnsi="方正黑体_GBK" w:eastAsia="方正黑体_GBK" w:cs="方正黑体_GBK"/>
                <w:b/>
                <w:sz w:val="18"/>
                <w:szCs w:val="18"/>
              </w:rPr>
              <w:t>注：本产品不同份额针对不同的销售机构及客群进行销售，设置有不同的销售费和管理费，具体客群划分标准以销售机构为准</w:t>
            </w:r>
          </w:p>
        </w:tc>
      </w:tr>
      <w:tr w14:paraId="34C83B3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3D1917EE">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理财期限</w:t>
            </w:r>
          </w:p>
        </w:tc>
        <w:tc>
          <w:tcPr>
            <w:tcW w:w="8354" w:type="dxa"/>
            <w:tcBorders>
              <w:top w:val="single" w:color="auto" w:sz="4" w:space="0"/>
              <w:left w:val="nil"/>
              <w:bottom w:val="single" w:color="auto" w:sz="4" w:space="0"/>
              <w:right w:val="single" w:color="auto" w:sz="4" w:space="0"/>
              <w:tl2br w:val="nil"/>
              <w:tr2bl w:val="nil"/>
            </w:tcBorders>
            <w:vAlign w:val="center"/>
          </w:tcPr>
          <w:p w14:paraId="6BC9E700">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sz w:val="18"/>
                <w:szCs w:val="18"/>
              </w:rPr>
              <w:t>10年</w:t>
            </w:r>
            <w:r>
              <w:rPr>
                <w:rFonts w:hint="eastAsia" w:ascii="方正黑体_GBK" w:hAnsi="方正黑体_GBK" w:eastAsia="方正黑体_GBK" w:cs="方正黑体_GBK"/>
                <w:kern w:val="0"/>
                <w:sz w:val="18"/>
                <w:szCs w:val="18"/>
                <w:lang w:val="en-US" w:eastAsia="zh-CN"/>
              </w:rPr>
              <w:t>（管理人有权提前终止或延期终止）</w:t>
            </w:r>
          </w:p>
        </w:tc>
      </w:tr>
      <w:tr w14:paraId="7CD4D16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2074AA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销售区域</w:t>
            </w:r>
          </w:p>
        </w:tc>
        <w:tc>
          <w:tcPr>
            <w:tcW w:w="8354" w:type="dxa"/>
            <w:tcBorders>
              <w:top w:val="single" w:color="auto" w:sz="4" w:space="0"/>
              <w:left w:val="nil"/>
              <w:bottom w:val="single" w:color="auto" w:sz="4" w:space="0"/>
              <w:right w:val="single" w:color="auto" w:sz="4" w:space="0"/>
              <w:tl2br w:val="nil"/>
              <w:tr2bl w:val="nil"/>
            </w:tcBorders>
            <w:vAlign w:val="center"/>
          </w:tcPr>
          <w:p w14:paraId="6E1A17F6">
            <w:pPr>
              <w:spacing w:line="200" w:lineRule="exact"/>
              <w:rPr>
                <w:rFonts w:hint="eastAsia" w:hAnsi="方正黑体_GBK" w:cs="方正黑体_GBK"/>
              </w:rPr>
            </w:pPr>
            <w:r>
              <w:rPr>
                <w:rFonts w:hint="eastAsia" w:ascii="方正黑体_GBK" w:hAnsi="方正黑体_GBK" w:eastAsia="方正黑体_GBK" w:cs="方正黑体_GBK"/>
                <w:sz w:val="18"/>
                <w:szCs w:val="18"/>
              </w:rPr>
              <w:t>全国</w:t>
            </w:r>
          </w:p>
        </w:tc>
      </w:tr>
      <w:tr w14:paraId="16838C6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3F6D4AF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币种</w:t>
            </w:r>
          </w:p>
        </w:tc>
        <w:tc>
          <w:tcPr>
            <w:tcW w:w="8354" w:type="dxa"/>
            <w:tcBorders>
              <w:top w:val="single" w:color="auto" w:sz="4" w:space="0"/>
              <w:left w:val="nil"/>
              <w:bottom w:val="single" w:color="auto" w:sz="4" w:space="0"/>
              <w:right w:val="single" w:color="auto" w:sz="4" w:space="0"/>
              <w:tl2br w:val="nil"/>
              <w:tr2bl w:val="nil"/>
            </w:tcBorders>
            <w:vAlign w:val="center"/>
          </w:tcPr>
          <w:p w14:paraId="0DE65AC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kern w:val="0"/>
                <w:sz w:val="18"/>
                <w:szCs w:val="18"/>
              </w:rPr>
              <w:t>人民币</w:t>
            </w:r>
          </w:p>
        </w:tc>
      </w:tr>
      <w:tr w14:paraId="6F56356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6CF4F2B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产品规模</w:t>
            </w:r>
          </w:p>
        </w:tc>
        <w:tc>
          <w:tcPr>
            <w:tcW w:w="8354" w:type="dxa"/>
            <w:tcBorders>
              <w:top w:val="single" w:color="auto" w:sz="4" w:space="0"/>
              <w:left w:val="nil"/>
              <w:bottom w:val="single" w:color="auto" w:sz="4" w:space="0"/>
              <w:right w:val="single" w:color="auto" w:sz="4" w:space="0"/>
              <w:tl2br w:val="nil"/>
              <w:tr2bl w:val="nil"/>
            </w:tcBorders>
            <w:vAlign w:val="center"/>
          </w:tcPr>
          <w:p w14:paraId="48EA03D3">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本理财产品规模上限为1000亿元。理财产品管理人有权对上述规模上限根据实际业务需求进行调整。</w:t>
            </w:r>
          </w:p>
        </w:tc>
      </w:tr>
      <w:tr w14:paraId="02A1627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3D64AD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风险等级</w:t>
            </w:r>
          </w:p>
        </w:tc>
        <w:tc>
          <w:tcPr>
            <w:tcW w:w="8354" w:type="dxa"/>
            <w:tcBorders>
              <w:top w:val="single" w:color="auto" w:sz="4" w:space="0"/>
              <w:left w:val="nil"/>
              <w:bottom w:val="single" w:color="auto" w:sz="4" w:space="0"/>
              <w:right w:val="single" w:color="auto" w:sz="4" w:space="0"/>
              <w:tl2br w:val="nil"/>
              <w:tr2bl w:val="nil"/>
            </w:tcBorders>
            <w:vAlign w:val="center"/>
          </w:tcPr>
          <w:p w14:paraId="46E18664">
            <w:pPr>
              <w:spacing w:line="200" w:lineRule="exact"/>
              <w:rPr>
                <w:rFonts w:hint="eastAsia" w:hAnsi="方正黑体_GBK" w:cs="方正黑体_GBK"/>
              </w:rPr>
            </w:pPr>
            <w:r>
              <w:rPr>
                <w:rFonts w:hint="eastAsia" w:ascii="方正黑体_GBK" w:hAnsi="方正黑体_GBK" w:eastAsia="方正黑体_GBK" w:cs="方正黑体_GBK"/>
                <w:sz w:val="18"/>
                <w:szCs w:val="18"/>
              </w:rPr>
              <w:t>根据理财产品管理人对理财产品的内部风险评估，本理财产品风险等级为</w:t>
            </w:r>
            <w:r>
              <w:rPr>
                <w:rFonts w:hint="eastAsia" w:ascii="方正黑体_GBK" w:hAnsi="方正黑体_GBK" w:eastAsia="方正黑体_GBK" w:cs="方正黑体_GBK"/>
                <w:b/>
                <w:sz w:val="18"/>
                <w:szCs w:val="18"/>
              </w:rPr>
              <w:t>中低风险</w:t>
            </w:r>
            <w:r>
              <w:rPr>
                <w:rFonts w:hint="eastAsia" w:ascii="方正黑体_GBK" w:hAnsi="方正黑体_GBK" w:eastAsia="方正黑体_GBK" w:cs="方正黑体_GBK"/>
                <w:sz w:val="18"/>
                <w:szCs w:val="18"/>
              </w:rPr>
              <w:t>（本风险等级为管理人内部风险评估结果，仅供参考）。</w:t>
            </w:r>
          </w:p>
          <w:p w14:paraId="5E30E85A">
            <w:pPr>
              <w:spacing w:line="200" w:lineRule="exact"/>
              <w:rPr>
                <w:rFonts w:hint="eastAsia" w:hAnsi="方正黑体_GBK" w:cs="方正黑体_GBK"/>
              </w:rPr>
            </w:pPr>
            <w:r>
              <w:rPr>
                <w:rFonts w:hint="eastAsia" w:ascii="方正黑体_GBK" w:hAnsi="方正黑体_GBK" w:eastAsia="方正黑体_GBK" w:cs="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5D28334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7556C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发行对象</w:t>
            </w:r>
          </w:p>
        </w:tc>
        <w:tc>
          <w:tcPr>
            <w:tcW w:w="8354" w:type="dxa"/>
            <w:tcBorders>
              <w:top w:val="single" w:color="auto" w:sz="4" w:space="0"/>
              <w:left w:val="nil"/>
              <w:bottom w:val="single" w:color="auto" w:sz="4" w:space="0"/>
              <w:right w:val="single" w:color="auto" w:sz="4" w:space="0"/>
              <w:tl2br w:val="nil"/>
              <w:tr2bl w:val="nil"/>
            </w:tcBorders>
            <w:vAlign w:val="center"/>
          </w:tcPr>
          <w:p w14:paraId="40F6813B">
            <w:pPr>
              <w:spacing w:line="200" w:lineRule="exact"/>
              <w:rPr>
                <w:rFonts w:hint="eastAsia" w:hAnsi="方正黑体_GBK" w:cs="方正黑体_GBK"/>
              </w:rPr>
            </w:pPr>
            <w:r>
              <w:rPr>
                <w:rFonts w:hint="eastAsia" w:ascii="方正黑体_GBK" w:hAnsi="方正黑体_GBK" w:eastAsia="方正黑体_GBK" w:cs="方正黑体_GBK"/>
                <w:color w:val="000000"/>
                <w:sz w:val="18"/>
                <w:szCs w:val="18"/>
              </w:rPr>
              <w:t>符合相关法律法规、监管规定要求的，经销售机构的风险承受能力评估体系评定为适合的个人和机构投资者。</w:t>
            </w:r>
          </w:p>
          <w:p w14:paraId="4350B357">
            <w:pPr>
              <w:spacing w:line="200" w:lineRule="exact"/>
              <w:rPr>
                <w:rFonts w:hint="eastAsia" w:hAnsi="方正黑体_GBK" w:cs="方正黑体_GBK"/>
              </w:rPr>
            </w:pPr>
            <w:r>
              <w:rPr>
                <w:rFonts w:hint="eastAsia" w:ascii="方正黑体_GBK" w:hAnsi="方正黑体_GBK" w:eastAsia="方正黑体_GBK" w:cs="方正黑体_GBK"/>
                <w:sz w:val="18"/>
                <w:szCs w:val="18"/>
              </w:rPr>
              <w:t>A份额：面向所有销售机构的所有客户销售</w:t>
            </w:r>
          </w:p>
          <w:p w14:paraId="0DD7A51F">
            <w:pPr>
              <w:spacing w:line="200" w:lineRule="exact"/>
              <w:rPr>
                <w:rFonts w:hint="eastAsia" w:hAnsi="方正黑体_GBK" w:cs="方正黑体_GBK"/>
              </w:rPr>
            </w:pPr>
            <w:r>
              <w:rPr>
                <w:rFonts w:hint="eastAsia" w:ascii="方正黑体_GBK" w:hAnsi="方正黑体_GBK" w:eastAsia="方正黑体_GBK" w:cs="方正黑体_GBK"/>
                <w:sz w:val="18"/>
                <w:szCs w:val="18"/>
              </w:rPr>
              <w:t>B份额：面向南京银行私行客户、钻石客户、新晋私行客户、新晋钻石客户及南京银行认定的其他符合标准的客户销售</w:t>
            </w:r>
          </w:p>
          <w:p w14:paraId="55E96290">
            <w:pPr>
              <w:spacing w:line="200" w:lineRule="exact"/>
              <w:rPr>
                <w:rFonts w:hint="eastAsia" w:hAnsi="方正黑体_GBK" w:cs="方正黑体_GBK"/>
              </w:rPr>
            </w:pPr>
            <w:r>
              <w:rPr>
                <w:rFonts w:hint="eastAsia" w:ascii="方正黑体_GBK" w:hAnsi="方正黑体_GBK" w:eastAsia="方正黑体_GBK" w:cs="方正黑体_GBK"/>
                <w:sz w:val="18"/>
                <w:szCs w:val="18"/>
              </w:rPr>
              <w:t>C份额：面向网商银行客户</w:t>
            </w:r>
          </w:p>
          <w:p w14:paraId="735D822A">
            <w:pPr>
              <w:spacing w:line="200" w:lineRule="exact"/>
              <w:rPr>
                <w:rFonts w:hint="eastAsia" w:hAnsi="方正黑体_GBK" w:cs="方正黑体_GBK"/>
              </w:rPr>
            </w:pPr>
            <w:r>
              <w:rPr>
                <w:rFonts w:hint="eastAsia" w:ascii="方正黑体_GBK" w:hAnsi="方正黑体_GBK" w:eastAsia="方正黑体_GBK" w:cs="方正黑体_GBK"/>
                <w:sz w:val="18"/>
                <w:szCs w:val="18"/>
              </w:rPr>
              <w:t>D份额：南京银行股份有限公司特邀新资金客户</w:t>
            </w:r>
          </w:p>
          <w:p w14:paraId="3CED4C39">
            <w:pPr>
              <w:spacing w:line="200" w:lineRule="exact"/>
              <w:rPr>
                <w:rFonts w:hint="eastAsia" w:hAnsi="方正黑体_GBK" w:cs="方正黑体_GBK"/>
              </w:rPr>
            </w:pPr>
            <w:r>
              <w:rPr>
                <w:rFonts w:hint="eastAsia" w:ascii="方正黑体_GBK" w:hAnsi="方正黑体_GBK" w:eastAsia="方正黑体_GBK" w:cs="方正黑体_GBK"/>
                <w:b/>
                <w:sz w:val="18"/>
                <w:szCs w:val="18"/>
              </w:rPr>
              <w:t>注：本产品不同份额针对不同的销售机构及客群进行销售，设置有不同的销售费和管理费，具体客群划分标准以销售机构为准</w:t>
            </w:r>
          </w:p>
        </w:tc>
      </w:tr>
      <w:tr w14:paraId="10FD8C3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A4E0DD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投资起点金额、递增金额</w:t>
            </w:r>
          </w:p>
        </w:tc>
        <w:tc>
          <w:tcPr>
            <w:tcW w:w="8354" w:type="dxa"/>
            <w:tcBorders>
              <w:top w:val="single" w:color="auto" w:sz="4" w:space="0"/>
              <w:left w:val="nil"/>
              <w:bottom w:val="single" w:color="auto" w:sz="4" w:space="0"/>
              <w:right w:val="single" w:color="auto" w:sz="4" w:space="0"/>
              <w:tl2br w:val="nil"/>
              <w:tr2bl w:val="nil"/>
            </w:tcBorders>
            <w:vAlign w:val="center"/>
          </w:tcPr>
          <w:p w14:paraId="0D011E1E">
            <w:pPr>
              <w:spacing w:line="200" w:lineRule="exact"/>
              <w:rPr>
                <w:rFonts w:hint="eastAsia" w:hAnsi="方正黑体_GBK" w:cs="方正黑体_GBK"/>
              </w:rPr>
            </w:pPr>
            <w:r>
              <w:rPr>
                <w:rFonts w:hint="eastAsia" w:ascii="方正黑体_GBK" w:hAnsi="方正黑体_GBK" w:eastAsia="方正黑体_GBK" w:cs="方正黑体_GBK"/>
                <w:sz w:val="18"/>
                <w:szCs w:val="18"/>
              </w:rPr>
              <w:t>A份额/B份额/C份额：</w:t>
            </w:r>
          </w:p>
          <w:p w14:paraId="3EC0E187">
            <w:pPr>
              <w:spacing w:line="200" w:lineRule="exact"/>
              <w:rPr>
                <w:rFonts w:hint="eastAsia" w:hAnsi="方正黑体_GBK" w:cs="方正黑体_GBK"/>
              </w:rPr>
            </w:pPr>
            <w:r>
              <w:rPr>
                <w:rFonts w:hint="eastAsia" w:ascii="方正黑体_GBK" w:hAnsi="方正黑体_GBK" w:eastAsia="方正黑体_GBK" w:cs="方正黑体_GBK"/>
                <w:sz w:val="18"/>
                <w:szCs w:val="18"/>
              </w:rPr>
              <w:t>个人投资者投资起点金额1元人民币，以1元的整数倍递增；</w:t>
            </w:r>
          </w:p>
          <w:p w14:paraId="3EBDF46C">
            <w:pPr>
              <w:spacing w:line="200" w:lineRule="exact"/>
              <w:rPr>
                <w:rFonts w:hint="eastAsia" w:hAnsi="方正黑体_GBK" w:cs="方正黑体_GBK"/>
              </w:rPr>
            </w:pPr>
            <w:r>
              <w:rPr>
                <w:rFonts w:hint="eastAsia" w:ascii="方正黑体_GBK" w:hAnsi="方正黑体_GBK" w:eastAsia="方正黑体_GBK" w:cs="方正黑体_GBK"/>
                <w:sz w:val="18"/>
                <w:szCs w:val="18"/>
              </w:rPr>
              <w:t>机构投资者投资起点金额1元人民币，以1元的整数倍递增；</w:t>
            </w:r>
          </w:p>
          <w:p w14:paraId="52CD9890">
            <w:pPr>
              <w:spacing w:line="200" w:lineRule="exact"/>
              <w:rPr>
                <w:rFonts w:hint="eastAsia" w:hAnsi="方正黑体_GBK" w:cs="方正黑体_GBK"/>
              </w:rPr>
            </w:pPr>
            <w:r>
              <w:rPr>
                <w:rFonts w:hint="eastAsia" w:ascii="方正黑体_GBK" w:hAnsi="方正黑体_GBK" w:eastAsia="方正黑体_GBK" w:cs="方正黑体_GBK"/>
                <w:sz w:val="18"/>
                <w:szCs w:val="18"/>
              </w:rPr>
              <w:t>D份额：</w:t>
            </w:r>
          </w:p>
          <w:p w14:paraId="672F3BD9">
            <w:pPr>
              <w:spacing w:line="200" w:lineRule="exact"/>
              <w:rPr>
                <w:rFonts w:hint="eastAsia" w:hAnsi="方正黑体_GBK" w:cs="方正黑体_GBK"/>
              </w:rPr>
            </w:pPr>
            <w:r>
              <w:rPr>
                <w:rFonts w:hint="eastAsia" w:ascii="方正黑体_GBK" w:hAnsi="方正黑体_GBK" w:eastAsia="方正黑体_GBK" w:cs="方正黑体_GBK"/>
                <w:sz w:val="18"/>
                <w:szCs w:val="18"/>
              </w:rPr>
              <w:t>个人投资者投资起点金额1元人民币，以1元的整数倍递增；</w:t>
            </w:r>
          </w:p>
          <w:p w14:paraId="30487E94">
            <w:pPr>
              <w:spacing w:line="200" w:lineRule="exact"/>
              <w:rPr>
                <w:rFonts w:hint="eastAsia" w:hAnsi="方正黑体_GBK" w:cs="方正黑体_GBK"/>
              </w:rPr>
            </w:pPr>
            <w:r>
              <w:rPr>
                <w:rFonts w:hint="eastAsia" w:ascii="方正黑体_GBK" w:hAnsi="方正黑体_GBK" w:eastAsia="方正黑体_GBK" w:cs="方正黑体_GBK"/>
                <w:sz w:val="18"/>
                <w:szCs w:val="18"/>
              </w:rPr>
              <w:t>机构投资者投资起点金额100万元人民币，以1元的整数倍递增；</w:t>
            </w:r>
          </w:p>
          <w:p w14:paraId="11223599">
            <w:pPr>
              <w:spacing w:line="200" w:lineRule="exact"/>
              <w:rPr>
                <w:rFonts w:hint="eastAsia" w:hAnsi="方正黑体_GBK" w:cs="方正黑体_GBK"/>
              </w:rPr>
            </w:pPr>
            <w:r>
              <w:rPr>
                <w:rFonts w:hint="eastAsia" w:ascii="方正黑体_GBK" w:hAnsi="方正黑体_GBK" w:eastAsia="方正黑体_GBK" w:cs="方正黑体_GBK"/>
                <w:sz w:val="18"/>
                <w:szCs w:val="18"/>
              </w:rPr>
              <w:t>后续在符合监管政策规定的条件下，理财产品管理人有权对上述投资起点金额和递增金额进行调整,并在调整日前至少3个工作日进行信息披露。</w:t>
            </w:r>
          </w:p>
          <w:p w14:paraId="2670EA1C">
            <w:pPr>
              <w:spacing w:line="200" w:lineRule="exact"/>
              <w:rPr>
                <w:rFonts w:hint="eastAsia" w:hAnsi="方正黑体_GBK" w:cs="方正黑体_GBK"/>
              </w:rPr>
            </w:pPr>
            <w:r>
              <w:rPr>
                <w:rFonts w:hint="eastAsia" w:ascii="方正黑体_GBK" w:hAnsi="方正黑体_GBK" w:eastAsia="方正黑体_GBK" w:cs="方正黑体_GBK"/>
                <w:sz w:val="18"/>
                <w:szCs w:val="18"/>
              </w:rPr>
              <w:t>代销机构可根据其销售需要对投资起点金额、递增金额进行重新设定，投资者通过代销机构购买本理财产品的，以该代销机构最终披露的投资起点金额、递增金额为准。</w:t>
            </w:r>
          </w:p>
        </w:tc>
      </w:tr>
      <w:tr w14:paraId="044320F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449E60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单个投资者持有金额上限</w:t>
            </w:r>
          </w:p>
        </w:tc>
        <w:tc>
          <w:tcPr>
            <w:tcW w:w="8354" w:type="dxa"/>
            <w:tcBorders>
              <w:top w:val="single" w:color="auto" w:sz="4" w:space="0"/>
              <w:left w:val="nil"/>
              <w:bottom w:val="single" w:color="auto" w:sz="4" w:space="0"/>
              <w:right w:val="single" w:color="auto" w:sz="4" w:space="0"/>
              <w:tl2br w:val="nil"/>
              <w:tr2bl w:val="nil"/>
            </w:tcBorders>
            <w:vAlign w:val="center"/>
          </w:tcPr>
          <w:p w14:paraId="122E9489">
            <w:pPr>
              <w:spacing w:line="200" w:lineRule="exact"/>
              <w:rPr>
                <w:rFonts w:hint="eastAsia" w:hAnsi="方正黑体_GBK" w:cs="方正黑体_GBK"/>
              </w:rPr>
            </w:pPr>
            <w:r>
              <w:rPr>
                <w:rFonts w:hint="eastAsia" w:ascii="方正黑体_GBK" w:hAnsi="方正黑体_GBK" w:eastAsia="方正黑体_GBK" w:cs="方正黑体_GBK"/>
                <w:sz w:val="18"/>
                <w:szCs w:val="18"/>
              </w:rPr>
              <w:t>A/B/C份额：</w:t>
            </w:r>
          </w:p>
          <w:p w14:paraId="1BA7A37E">
            <w:pPr>
              <w:spacing w:line="200" w:lineRule="exact"/>
              <w:rPr>
                <w:rFonts w:hint="eastAsia" w:hAnsi="方正黑体_GBK" w:cs="方正黑体_GBK"/>
              </w:rPr>
            </w:pPr>
            <w:r>
              <w:rPr>
                <w:rFonts w:hint="eastAsia" w:ascii="方正黑体_GBK" w:hAnsi="方正黑体_GBK" w:eastAsia="方正黑体_GBK" w:cs="方正黑体_GBK"/>
                <w:sz w:val="18"/>
                <w:szCs w:val="18"/>
              </w:rPr>
              <w:t>个人投资者：最高持有金额1亿；</w:t>
            </w:r>
          </w:p>
          <w:p w14:paraId="4A3E1E9C">
            <w:pPr>
              <w:spacing w:line="200" w:lineRule="exact"/>
              <w:rPr>
                <w:rFonts w:hint="eastAsia" w:hAnsi="方正黑体_GBK" w:cs="方正黑体_GBK"/>
              </w:rPr>
            </w:pPr>
            <w:r>
              <w:rPr>
                <w:rFonts w:hint="eastAsia" w:ascii="方正黑体_GBK" w:hAnsi="方正黑体_GBK" w:eastAsia="方正黑体_GBK" w:cs="方正黑体_GBK"/>
                <w:sz w:val="18"/>
                <w:szCs w:val="18"/>
              </w:rPr>
              <w:t>机构投资者：最高持有金额1亿；</w:t>
            </w:r>
          </w:p>
          <w:p w14:paraId="5C342273">
            <w:pPr>
              <w:spacing w:line="200" w:lineRule="exact"/>
              <w:rPr>
                <w:rFonts w:hint="eastAsia" w:ascii="方正黑体_GBK" w:hAnsi="方正黑体_GBK" w:eastAsia="方正黑体_GBK" w:cs="方正黑体_GBK"/>
                <w:sz w:val="18"/>
                <w:szCs w:val="18"/>
              </w:rPr>
            </w:pPr>
            <w:r>
              <w:rPr>
                <w:rFonts w:hint="eastAsia" w:ascii="方正黑体_GBK" w:hAnsi="方正黑体_GBK" w:eastAsia="方正黑体_GBK" w:cs="方正黑体_GBK"/>
                <w:sz w:val="18"/>
                <w:szCs w:val="18"/>
              </w:rPr>
              <w:t>D份额：</w:t>
            </w:r>
          </w:p>
          <w:p w14:paraId="2797BC69">
            <w:pPr>
              <w:spacing w:line="200" w:lineRule="exact"/>
              <w:rPr>
                <w:rFonts w:hint="eastAsia" w:ascii="方正黑体_GBK" w:hAnsi="方正黑体_GBK" w:eastAsia="方正黑体_GBK" w:cs="方正黑体_GBK"/>
                <w:sz w:val="18"/>
                <w:szCs w:val="18"/>
              </w:rPr>
            </w:pPr>
            <w:r>
              <w:rPr>
                <w:rFonts w:hint="eastAsia" w:ascii="方正黑体_GBK" w:hAnsi="方正黑体_GBK" w:eastAsia="方正黑体_GBK" w:cs="方正黑体_GBK"/>
                <w:sz w:val="18"/>
                <w:szCs w:val="18"/>
              </w:rPr>
              <w:t>个人投资者：暂不设置</w:t>
            </w:r>
            <w:r>
              <w:rPr>
                <w:rFonts w:hint="eastAsia" w:ascii="方正黑体_GBK" w:hAnsi="方正黑体_GBK" w:eastAsia="方正黑体_GBK" w:cs="方正黑体_GBK"/>
                <w:caps w:val="0"/>
                <w:smallCaps w:val="0"/>
                <w:snapToGrid/>
                <w:vanish w:val="0"/>
                <w:color w:val="auto"/>
                <w:kern w:val="0"/>
                <w:sz w:val="18"/>
                <w:szCs w:val="18"/>
                <w:vertAlign w:val="baseline"/>
              </w:rPr>
              <w:t>单个投资者持有金额上限；</w:t>
            </w:r>
          </w:p>
          <w:p w14:paraId="725CFDD8">
            <w:pPr>
              <w:spacing w:line="200" w:lineRule="exact"/>
              <w:rPr>
                <w:rFonts w:hint="eastAsia" w:hAnsi="方正黑体_GBK" w:cs="方正黑体_GBK"/>
              </w:rPr>
            </w:pPr>
            <w:r>
              <w:rPr>
                <w:rFonts w:hint="eastAsia" w:ascii="方正黑体_GBK" w:hAnsi="方正黑体_GBK" w:eastAsia="方正黑体_GBK" w:cs="方正黑体_GBK"/>
                <w:sz w:val="18"/>
                <w:szCs w:val="18"/>
              </w:rPr>
              <w:t>机构投资者：最高持有金额3亿；</w:t>
            </w:r>
          </w:p>
          <w:p w14:paraId="16447690">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注：1.管理人有权对上述单个投资者持有金额上限进行调整或取消，并在调整或取消前至少3个工作日公告。</w:t>
            </w:r>
          </w:p>
          <w:p w14:paraId="0ECC0D33">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2D6E1F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4EA179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单一投资者持有比例上限</w:t>
            </w:r>
          </w:p>
        </w:tc>
        <w:tc>
          <w:tcPr>
            <w:tcW w:w="8354" w:type="dxa"/>
            <w:tcBorders>
              <w:top w:val="single" w:color="auto" w:sz="4" w:space="0"/>
              <w:left w:val="nil"/>
              <w:bottom w:val="single" w:color="auto" w:sz="4" w:space="0"/>
              <w:right w:val="single" w:color="auto" w:sz="4" w:space="0"/>
              <w:tl2br w:val="nil"/>
              <w:tr2bl w:val="nil"/>
            </w:tcBorders>
            <w:vAlign w:val="center"/>
          </w:tcPr>
          <w:p w14:paraId="2DB741D2">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本理财产品单一投资者持有的份额（含已确认和待确认的份额）不得超过本理财产品总份额的50%，管理人有权拒绝导致投资者持有份额突破前述50%比例限制的认申购申请。</w:t>
            </w:r>
          </w:p>
          <w:p w14:paraId="4462A2B8">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非因管理人主观因素导致突破上述50%比例限制的，在单一投资者持有比例降至50%以下之前，管理人不再接受该投资者对本理财产品的认申购申请。</w:t>
            </w:r>
          </w:p>
        </w:tc>
      </w:tr>
      <w:tr w14:paraId="4F7938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633DD943">
            <w:pPr>
              <w:keepNext w:val="0"/>
              <w:keepLines w:val="0"/>
              <w:pageBreakBefore w:val="0"/>
              <w:widowControl/>
              <w:suppressLineNumbers w:val="0"/>
              <w:suppressAutoHyphens w:val="0"/>
              <w:spacing w:line="200" w:lineRule="exact"/>
              <w:ind w:left="0" w:firstLine="0"/>
              <w:jc w:val="left"/>
              <w:rPr>
                <w:rFonts w:hint="eastAsia" w:ascii="方正黑体_GBK" w:hAnsi="方正黑体_GBK" w:eastAsia="方正黑体_GBK" w:cs="方正黑体_GBK"/>
                <w:kern w:val="0"/>
                <w:sz w:val="18"/>
                <w:szCs w:val="18"/>
              </w:rPr>
            </w:pPr>
            <w:r>
              <w:rPr>
                <w:rFonts w:hint="eastAsia" w:ascii="方正黑体_GBK" w:hAnsi="方正黑体_GBK" w:eastAsia="方正黑体_GBK" w:cs="方正黑体_GBK"/>
                <w:kern w:val="0"/>
                <w:sz w:val="18"/>
                <w:szCs w:val="18"/>
              </w:rPr>
              <w:t>单日单户赎回份额上限</w:t>
            </w:r>
          </w:p>
        </w:tc>
        <w:tc>
          <w:tcPr>
            <w:tcW w:w="8354" w:type="dxa"/>
            <w:tcBorders>
              <w:top w:val="single" w:color="auto" w:sz="4" w:space="0"/>
              <w:left w:val="nil"/>
              <w:bottom w:val="single" w:color="auto" w:sz="4" w:space="0"/>
              <w:right w:val="single" w:color="auto" w:sz="4" w:space="0"/>
              <w:tl2br w:val="nil"/>
              <w:tr2bl w:val="nil"/>
            </w:tcBorders>
            <w:vAlign w:val="center"/>
          </w:tcPr>
          <w:p w14:paraId="40E5BA94">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单日单户赎回份额上限，是指单个投资者在最近一个产品开放日17：00（不含）至下一产品开放日17：00（含）之间发起的净赎回总份额上限。</w:t>
            </w:r>
          </w:p>
          <w:p w14:paraId="09861C35">
            <w:pPr>
              <w:spacing w:line="200" w:lineRule="exact"/>
              <w:rPr>
                <w:rFonts w:hint="eastAsia" w:hAnsi="方正黑体_GBK" w:cs="方正黑体_GBK"/>
              </w:rPr>
            </w:pPr>
            <w:r>
              <w:rPr>
                <w:rFonts w:hint="eastAsia" w:ascii="方正黑体_GBK" w:hAnsi="方正黑体_GBK" w:eastAsia="方正黑体_GBK" w:cs="方正黑体_GBK"/>
                <w:sz w:val="18"/>
                <w:szCs w:val="18"/>
              </w:rPr>
              <w:t>A/B/C份额：</w:t>
            </w:r>
          </w:p>
          <w:p w14:paraId="751B4C4C">
            <w:pPr>
              <w:spacing w:line="200" w:lineRule="exact"/>
              <w:rPr>
                <w:rFonts w:hint="eastAsia" w:hAnsi="方正黑体_GBK" w:cs="方正黑体_GBK"/>
              </w:rPr>
            </w:pPr>
            <w:r>
              <w:rPr>
                <w:rFonts w:hint="eastAsia" w:ascii="方正黑体_GBK" w:hAnsi="方正黑体_GBK" w:eastAsia="方正黑体_GBK" w:cs="方正黑体_GBK"/>
                <w:sz w:val="18"/>
                <w:szCs w:val="18"/>
              </w:rPr>
              <w:t>个人投资者：单日单户赎回份额上限为1亿份；</w:t>
            </w:r>
          </w:p>
          <w:p w14:paraId="05F8E1AE">
            <w:pPr>
              <w:spacing w:line="200" w:lineRule="exact"/>
              <w:rPr>
                <w:rFonts w:hint="eastAsia" w:hAnsi="方正黑体_GBK" w:cs="方正黑体_GBK"/>
              </w:rPr>
            </w:pPr>
            <w:r>
              <w:rPr>
                <w:rFonts w:hint="eastAsia" w:ascii="方正黑体_GBK" w:hAnsi="方正黑体_GBK" w:eastAsia="方正黑体_GBK" w:cs="方正黑体_GBK"/>
                <w:sz w:val="18"/>
                <w:szCs w:val="18"/>
              </w:rPr>
              <w:t>机构投资者：单日单户赎回份额上限为1亿份；</w:t>
            </w:r>
          </w:p>
          <w:p w14:paraId="4294BF65">
            <w:pPr>
              <w:spacing w:line="200" w:lineRule="exact"/>
              <w:rPr>
                <w:rFonts w:hint="eastAsia" w:ascii="方正黑体_GBK" w:hAnsi="方正黑体_GBK" w:eastAsia="方正黑体_GBK" w:cs="方正黑体_GBK"/>
                <w:sz w:val="18"/>
                <w:szCs w:val="18"/>
              </w:rPr>
            </w:pPr>
            <w:r>
              <w:rPr>
                <w:rFonts w:hint="eastAsia" w:ascii="方正黑体_GBK" w:hAnsi="方正黑体_GBK" w:eastAsia="方正黑体_GBK" w:cs="方正黑体_GBK"/>
                <w:sz w:val="18"/>
                <w:szCs w:val="18"/>
              </w:rPr>
              <w:t>D份额：</w:t>
            </w:r>
          </w:p>
          <w:p w14:paraId="0C21A61A">
            <w:pPr>
              <w:spacing w:line="200" w:lineRule="exact"/>
              <w:rPr>
                <w:rFonts w:hint="eastAsia" w:hAnsi="方正黑体_GBK" w:cs="方正黑体_GBK"/>
              </w:rPr>
            </w:pPr>
            <w:r>
              <w:rPr>
                <w:rFonts w:hint="eastAsia" w:ascii="方正黑体_GBK" w:hAnsi="方正黑体_GBK" w:eastAsia="方正黑体_GBK" w:cs="方正黑体_GBK"/>
                <w:sz w:val="18"/>
                <w:szCs w:val="18"/>
              </w:rPr>
              <w:t>个人投资者：暂不设</w:t>
            </w:r>
            <w:r>
              <w:rPr>
                <w:rFonts w:hint="eastAsia" w:ascii="方正黑体_GBK" w:hAnsi="方正黑体_GBK" w:eastAsia="方正黑体_GBK" w:cs="方正黑体_GBK"/>
                <w:kern w:val="0"/>
                <w:sz w:val="18"/>
                <w:szCs w:val="18"/>
              </w:rPr>
              <w:t>单日单户赎回份额上限</w:t>
            </w:r>
            <w:r>
              <w:rPr>
                <w:rFonts w:hint="eastAsia" w:ascii="方正黑体_GBK" w:hAnsi="方正黑体_GBK" w:eastAsia="方正黑体_GBK" w:cs="方正黑体_GBK"/>
                <w:caps w:val="0"/>
                <w:smallCaps w:val="0"/>
                <w:snapToGrid/>
                <w:vanish w:val="0"/>
                <w:color w:val="auto"/>
                <w:kern w:val="0"/>
                <w:sz w:val="18"/>
                <w:szCs w:val="18"/>
                <w:vertAlign w:val="baseline"/>
              </w:rPr>
              <w:t>；</w:t>
            </w:r>
          </w:p>
          <w:p w14:paraId="2C8EAB90">
            <w:pPr>
              <w:spacing w:line="200" w:lineRule="exact"/>
              <w:rPr>
                <w:rFonts w:hint="eastAsia" w:hAnsi="方正黑体_GBK" w:cs="方正黑体_GBK"/>
              </w:rPr>
            </w:pPr>
            <w:r>
              <w:rPr>
                <w:rFonts w:hint="eastAsia" w:ascii="方正黑体_GBK" w:hAnsi="方正黑体_GBK" w:eastAsia="方正黑体_GBK" w:cs="方正黑体_GBK"/>
                <w:sz w:val="18"/>
                <w:szCs w:val="18"/>
              </w:rPr>
              <w:t>机构投资者：单日单户赎回份额上限为1亿份；</w:t>
            </w:r>
          </w:p>
          <w:p w14:paraId="3A5D115C">
            <w:pPr>
              <w:spacing w:line="200" w:lineRule="exact"/>
              <w:rPr>
                <w:rFonts w:hint="eastAsia" w:hAnsi="方正黑体_GBK" w:cs="方正黑体_GBK"/>
              </w:rPr>
            </w:pPr>
            <w:r>
              <w:rPr>
                <w:rFonts w:hint="eastAsia" w:ascii="方正黑体_GBK" w:hAnsi="方正黑体_GBK" w:eastAsia="方正黑体_GBK" w:cs="方正黑体_GBK"/>
                <w:sz w:val="18"/>
                <w:szCs w:val="18"/>
              </w:rPr>
              <w:t>注：1.该单日单户赎回份额上限管理人有权进行调整或取消，并在调整或取消前至少3个工作日公告。</w:t>
            </w:r>
          </w:p>
          <w:p w14:paraId="6065E685">
            <w:pPr>
              <w:spacing w:line="200" w:lineRule="exact"/>
              <w:rPr>
                <w:rFonts w:hint="eastAsia" w:hAnsi="方正黑体_GBK" w:cs="方正黑体_GBK"/>
              </w:rPr>
            </w:pPr>
            <w:r>
              <w:rPr>
                <w:rFonts w:hint="eastAsia" w:ascii="方正黑体_GBK" w:hAnsi="方正黑体_GBK" w:eastAsia="方正黑体_GBK" w:cs="方正黑体_GBK"/>
                <w:b/>
                <w:sz w:val="18"/>
                <w:szCs w:val="18"/>
              </w:rPr>
              <w:t>2.当投资者发起的最近一笔赎回申请超过投资者单日单户赎回份额上限时，销售机构或管理人有权拒绝投资者该笔赎回申请，投资者需重新进行资金安排。</w:t>
            </w:r>
          </w:p>
        </w:tc>
      </w:tr>
      <w:tr w14:paraId="0B72B2A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48554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募集期</w:t>
            </w:r>
          </w:p>
        </w:tc>
        <w:tc>
          <w:tcPr>
            <w:tcW w:w="8354" w:type="dxa"/>
            <w:tcBorders>
              <w:top w:val="single" w:color="auto" w:sz="4" w:space="0"/>
              <w:left w:val="nil"/>
              <w:bottom w:val="single" w:color="auto" w:sz="4" w:space="0"/>
              <w:right w:val="single" w:color="auto" w:sz="4" w:space="0"/>
              <w:tl2br w:val="nil"/>
              <w:tr2bl w:val="nil"/>
            </w:tcBorders>
            <w:vAlign w:val="center"/>
          </w:tcPr>
          <w:p w14:paraId="4D858CAF">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2023年04月18日 09:00—2023年04月24日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5AA8CF0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0F3D1619">
            <w:pPr>
              <w:keepNext w:val="0"/>
              <w:keepLines w:val="0"/>
              <w:pageBreakBefore w:val="0"/>
              <w:widowControl/>
              <w:suppressLineNumbers w:val="0"/>
              <w:suppressAutoHyphens w:val="0"/>
              <w:spacing w:line="200" w:lineRule="exact"/>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认购份额计算</w:t>
            </w:r>
          </w:p>
        </w:tc>
        <w:tc>
          <w:tcPr>
            <w:tcW w:w="8354" w:type="dxa"/>
            <w:tcBorders>
              <w:top w:val="single" w:color="auto" w:sz="4" w:space="0"/>
              <w:left w:val="nil"/>
              <w:bottom w:val="single" w:color="auto" w:sz="4" w:space="0"/>
              <w:right w:val="single" w:color="auto" w:sz="4" w:space="0"/>
              <w:tl2br w:val="nil"/>
              <w:tr2bl w:val="nil"/>
            </w:tcBorders>
            <w:vAlign w:val="center"/>
          </w:tcPr>
          <w:p w14:paraId="5ED5DD71">
            <w:pPr>
              <w:rPr>
                <w:rFonts w:hint="eastAsia" w:hAnsi="方正黑体_GBK" w:cs="方正黑体_GBK"/>
              </w:rPr>
            </w:pPr>
            <w:r>
              <w:rPr>
                <w:rFonts w:hint="eastAsia" w:ascii="方正黑体_GBK" w:hAnsi="方正黑体_GBK" w:eastAsia="方正黑体_GBK" w:cs="方正黑体_GBK"/>
                <w:sz w:val="18"/>
                <w:szCs w:val="18"/>
              </w:rPr>
              <w:t>认购份额=确认认购金额/1。（认购份额以去尾法保留两位小数）</w:t>
            </w:r>
          </w:p>
        </w:tc>
      </w:tr>
      <w:tr w14:paraId="3FEC0E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6CD6DE8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认购确认日</w:t>
            </w:r>
          </w:p>
        </w:tc>
        <w:tc>
          <w:tcPr>
            <w:tcW w:w="8354" w:type="dxa"/>
            <w:tcBorders>
              <w:top w:val="single" w:color="auto" w:sz="4" w:space="0"/>
              <w:left w:val="nil"/>
              <w:bottom w:val="single" w:color="auto" w:sz="4" w:space="0"/>
              <w:right w:val="single" w:color="auto" w:sz="4" w:space="0"/>
              <w:tl2br w:val="nil"/>
              <w:tr2bl w:val="nil"/>
            </w:tcBorders>
            <w:vAlign w:val="center"/>
          </w:tcPr>
          <w:p w14:paraId="70EB641E">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方正黑体_GBK" w:hAnsi="方正黑体_GBK" w:eastAsia="方正黑体_GBK" w:cs="方正黑体_GBK"/>
                <w:color w:val="000000"/>
                <w:kern w:val="0"/>
                <w:sz w:val="18"/>
                <w:szCs w:val="18"/>
              </w:rPr>
            </w:pPr>
            <w:r>
              <w:rPr>
                <w:rFonts w:hint="eastAsia" w:ascii="方正黑体_GBK" w:hAnsi="方正黑体_GBK" w:eastAsia="方正黑体_GBK" w:cs="方正黑体_GBK"/>
                <w:color w:val="000000"/>
                <w:kern w:val="0"/>
                <w:sz w:val="18"/>
                <w:szCs w:val="18"/>
              </w:rPr>
              <w:t>同产品成立日</w:t>
            </w:r>
          </w:p>
        </w:tc>
      </w:tr>
      <w:tr w14:paraId="57DCBEC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487474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产品成立日</w:t>
            </w:r>
          </w:p>
        </w:tc>
        <w:tc>
          <w:tcPr>
            <w:tcW w:w="8354" w:type="dxa"/>
            <w:tcBorders>
              <w:top w:val="single" w:color="auto" w:sz="4" w:space="0"/>
              <w:left w:val="nil"/>
              <w:bottom w:val="single" w:color="auto" w:sz="4" w:space="0"/>
              <w:right w:val="single" w:color="auto" w:sz="4" w:space="0"/>
              <w:tl2br w:val="nil"/>
              <w:tr2bl w:val="nil"/>
            </w:tcBorders>
            <w:vAlign w:val="center"/>
          </w:tcPr>
          <w:p w14:paraId="23954139">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hAnsi="方正黑体_GBK" w:cs="方正黑体_GBK"/>
              </w:rPr>
            </w:pPr>
            <w:r>
              <w:rPr>
                <w:rFonts w:hint="eastAsia" w:ascii="方正黑体_GBK" w:hAnsi="方正黑体_GBK" w:eastAsia="方正黑体_GBK" w:cs="方正黑体_GBK"/>
                <w:kern w:val="0"/>
                <w:sz w:val="18"/>
                <w:szCs w:val="18"/>
              </w:rPr>
              <w:t>2023年04月25日</w:t>
            </w:r>
          </w:p>
        </w:tc>
      </w:tr>
      <w:tr w14:paraId="4DBF2F2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7941616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产品存续期</w:t>
            </w:r>
          </w:p>
        </w:tc>
        <w:tc>
          <w:tcPr>
            <w:tcW w:w="8354" w:type="dxa"/>
            <w:tcBorders>
              <w:top w:val="single" w:color="auto" w:sz="4" w:space="0"/>
              <w:left w:val="nil"/>
              <w:bottom w:val="single" w:color="auto" w:sz="4" w:space="0"/>
              <w:right w:val="single" w:color="auto" w:sz="4" w:space="0"/>
              <w:tl2br w:val="nil"/>
              <w:tr2bl w:val="nil"/>
            </w:tcBorders>
            <w:vAlign w:val="center"/>
          </w:tcPr>
          <w:p w14:paraId="292C1F99">
            <w:pPr>
              <w:spacing w:line="200" w:lineRule="exact"/>
              <w:rPr>
                <w:rFonts w:hint="eastAsia" w:hAnsi="方正黑体_GBK" w:cs="方正黑体_GBK"/>
              </w:rPr>
            </w:pPr>
            <w:r>
              <w:rPr>
                <w:rFonts w:hint="eastAsia" w:ascii="方正黑体_GBK" w:hAnsi="方正黑体_GBK" w:eastAsia="方正黑体_GBK" w:cs="方正黑体_GBK"/>
                <w:sz w:val="18"/>
                <w:szCs w:val="18"/>
              </w:rPr>
              <w:t>2023年04月25日—实际到期日（若本理财产品未被提前终止或延期终止，则实际到期日即为名义到期日，存续期限10年；若本理财产品被提前终止或延期终止，则实际到期日为提前终止日或延期终止日。</w:t>
            </w:r>
            <w:r>
              <w:rPr>
                <w:rFonts w:hint="eastAsia" w:ascii="方正黑体_GBK" w:hAnsi="方正黑体_GBK" w:eastAsia="方正黑体_GBK" w:cs="方正黑体_GBK"/>
                <w:b/>
                <w:sz w:val="18"/>
                <w:szCs w:val="18"/>
              </w:rPr>
              <w:t>理财产品管理人有权根据市场变化情况调整产品存续期，届时管理人将调整相关日期并进行信息披露。）</w:t>
            </w:r>
          </w:p>
        </w:tc>
      </w:tr>
      <w:tr w14:paraId="5B71AE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07D4B3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名义到期日</w:t>
            </w:r>
          </w:p>
        </w:tc>
        <w:tc>
          <w:tcPr>
            <w:tcW w:w="8354" w:type="dxa"/>
            <w:tcBorders>
              <w:top w:val="single" w:color="auto" w:sz="4" w:space="0"/>
              <w:left w:val="nil"/>
              <w:bottom w:val="single" w:color="auto" w:sz="4" w:space="0"/>
              <w:right w:val="single" w:color="auto" w:sz="4" w:space="0"/>
              <w:tl2br w:val="nil"/>
              <w:tr2bl w:val="nil"/>
            </w:tcBorders>
            <w:vAlign w:val="center"/>
          </w:tcPr>
          <w:p w14:paraId="488C42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2033年04月28日</w:t>
            </w:r>
            <w:r>
              <w:rPr>
                <w:rFonts w:hint="eastAsia" w:ascii="方正黑体_GBK" w:hAnsi="方正黑体_GBK" w:eastAsia="方正黑体_GBK" w:cs="方正黑体_GBK"/>
                <w:b/>
                <w:bCs/>
                <w:caps w:val="0"/>
                <w:smallCaps w:val="0"/>
                <w:snapToGrid/>
                <w:vanish w:val="0"/>
                <w:color w:val="auto"/>
                <w:kern w:val="0"/>
                <w:sz w:val="18"/>
                <w:szCs w:val="18"/>
                <w:vertAlign w:val="baseline"/>
              </w:rPr>
              <w:t>（如遇国家法定节假日，管理人可结合国家法定节假日安排进行调整，并进行信息披露）</w:t>
            </w:r>
          </w:p>
        </w:tc>
      </w:tr>
      <w:tr w14:paraId="7B80FF0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51771B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申购规则</w:t>
            </w:r>
          </w:p>
        </w:tc>
        <w:tc>
          <w:tcPr>
            <w:tcW w:w="8354" w:type="dxa"/>
            <w:tcBorders>
              <w:top w:val="single" w:color="auto" w:sz="4" w:space="0"/>
              <w:left w:val="nil"/>
              <w:bottom w:val="single" w:color="auto" w:sz="4" w:space="0"/>
              <w:right w:val="single" w:color="auto" w:sz="4" w:space="0"/>
              <w:tl2br w:val="nil"/>
              <w:tr2bl w:val="nil"/>
            </w:tcBorders>
            <w:vAlign w:val="center"/>
          </w:tcPr>
          <w:p w14:paraId="3E1780DB">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产品开放日17:00（含）前的申购于当日受理，其他时间的申购于下一产品开放日受理。</w:t>
            </w:r>
            <w:r>
              <w:rPr>
                <w:rFonts w:hint="eastAsia" w:ascii="方正黑体_GBK" w:hAnsi="方正黑体_GBK" w:eastAsia="方正黑体_GBK" w:cs="方正黑体_GBK"/>
                <w:sz w:val="18"/>
                <w:szCs w:val="18"/>
              </w:rPr>
              <w:t>上述申购规则如下（系统批处理时间内无法操作）：</w:t>
            </w:r>
          </w:p>
          <w:tbl>
            <w:tblPr>
              <w:tblStyle w:val="15"/>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00"/>
              <w:gridCol w:w="1600"/>
              <w:gridCol w:w="1600"/>
            </w:tblGrid>
            <w:tr w14:paraId="0DE04A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600" w:type="dxa"/>
                </w:tcPr>
                <w:p w14:paraId="7C36B014">
                  <w:pPr>
                    <w:rPr>
                      <w:rFonts w:hint="eastAsia" w:hAnsi="方正黑体_GBK" w:cs="方正黑体_GBK"/>
                    </w:rPr>
                  </w:pPr>
                  <w:r>
                    <w:rPr>
                      <w:rFonts w:hint="eastAsia" w:ascii="方正黑体_GBK" w:hAnsi="方正黑体_GBK" w:eastAsia="方正黑体_GBK" w:cs="方正黑体_GBK"/>
                      <w:sz w:val="18"/>
                      <w:szCs w:val="18"/>
                    </w:rPr>
                    <w:t>申购时间</w:t>
                  </w:r>
                </w:p>
              </w:tc>
              <w:tc>
                <w:tcPr>
                  <w:tcW w:w="1600" w:type="dxa"/>
                </w:tcPr>
                <w:p w14:paraId="2C9BB50C">
                  <w:pPr>
                    <w:rPr>
                      <w:rFonts w:hint="eastAsia" w:hAnsi="方正黑体_GBK" w:cs="方正黑体_GBK"/>
                    </w:rPr>
                  </w:pPr>
                  <w:r>
                    <w:rPr>
                      <w:rFonts w:hint="eastAsia" w:ascii="方正黑体_GBK" w:hAnsi="方正黑体_GBK" w:eastAsia="方正黑体_GBK" w:cs="方正黑体_GBK"/>
                      <w:sz w:val="18"/>
                      <w:szCs w:val="18"/>
                    </w:rPr>
                    <w:t>申购受理日</w:t>
                  </w:r>
                </w:p>
              </w:tc>
              <w:tc>
                <w:tcPr>
                  <w:tcW w:w="1600" w:type="dxa"/>
                </w:tcPr>
                <w:p w14:paraId="143017DE">
                  <w:pPr>
                    <w:rPr>
                      <w:rFonts w:hint="eastAsia" w:hAnsi="方正黑体_GBK" w:cs="方正黑体_GBK"/>
                    </w:rPr>
                  </w:pPr>
                  <w:r>
                    <w:rPr>
                      <w:rFonts w:hint="eastAsia" w:ascii="方正黑体_GBK" w:hAnsi="方正黑体_GBK" w:eastAsia="方正黑体_GBK" w:cs="方正黑体_GBK"/>
                      <w:sz w:val="18"/>
                      <w:szCs w:val="18"/>
                    </w:rPr>
                    <w:t>份额运作起始日</w:t>
                  </w:r>
                </w:p>
              </w:tc>
            </w:tr>
            <w:tr w14:paraId="2A29CDA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600" w:type="dxa"/>
                </w:tcPr>
                <w:p w14:paraId="212FBDED">
                  <w:pPr>
                    <w:rPr>
                      <w:rFonts w:hint="eastAsia" w:hAnsi="方正黑体_GBK" w:cs="方正黑体_GBK"/>
                    </w:rPr>
                  </w:pPr>
                  <w:r>
                    <w:rPr>
                      <w:rFonts w:hint="eastAsia" w:ascii="方正黑体_GBK" w:hAnsi="方正黑体_GBK" w:eastAsia="方正黑体_GBK" w:cs="方正黑体_GBK"/>
                      <w:sz w:val="18"/>
                      <w:szCs w:val="18"/>
                    </w:rPr>
                    <w:t>产品开放日：0:00-17:00（含）</w:t>
                  </w:r>
                </w:p>
              </w:tc>
              <w:tc>
                <w:tcPr>
                  <w:tcW w:w="1600" w:type="dxa"/>
                </w:tcPr>
                <w:p w14:paraId="48D26406">
                  <w:pPr>
                    <w:rPr>
                      <w:rFonts w:hint="eastAsia" w:hAnsi="方正黑体_GBK" w:cs="方正黑体_GBK"/>
                    </w:rPr>
                  </w:pPr>
                  <w:r>
                    <w:rPr>
                      <w:rFonts w:hint="eastAsia" w:ascii="方正黑体_GBK" w:hAnsi="方正黑体_GBK" w:eastAsia="方正黑体_GBK" w:cs="方正黑体_GBK"/>
                      <w:sz w:val="18"/>
                      <w:szCs w:val="18"/>
                    </w:rPr>
                    <w:t>当日</w:t>
                  </w:r>
                </w:p>
              </w:tc>
              <w:tc>
                <w:tcPr>
                  <w:tcW w:w="1600" w:type="dxa"/>
                </w:tcPr>
                <w:p w14:paraId="093AD673">
                  <w:pPr>
                    <w:rPr>
                      <w:rFonts w:hint="eastAsia" w:hAnsi="方正黑体_GBK" w:cs="方正黑体_GBK"/>
                    </w:rPr>
                  </w:pPr>
                  <w:r>
                    <w:rPr>
                      <w:rFonts w:hint="eastAsia" w:ascii="方正黑体_GBK" w:hAnsi="方正黑体_GBK" w:eastAsia="方正黑体_GBK" w:cs="方正黑体_GBK"/>
                      <w:sz w:val="18"/>
                      <w:szCs w:val="18"/>
                    </w:rPr>
                    <w:t>申购受理日下一产品开放日</w:t>
                  </w:r>
                </w:p>
              </w:tc>
            </w:tr>
            <w:tr w14:paraId="067949C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600" w:type="dxa"/>
                </w:tcPr>
                <w:p w14:paraId="595A3F56">
                  <w:pPr>
                    <w:rPr>
                      <w:rFonts w:hint="eastAsia" w:hAnsi="方正黑体_GBK" w:cs="方正黑体_GBK"/>
                    </w:rPr>
                  </w:pPr>
                  <w:r>
                    <w:rPr>
                      <w:rFonts w:hint="eastAsia" w:ascii="方正黑体_GBK" w:hAnsi="方正黑体_GBK" w:eastAsia="方正黑体_GBK" w:cs="方正黑体_GBK"/>
                      <w:sz w:val="18"/>
                      <w:szCs w:val="18"/>
                    </w:rPr>
                    <w:t>产品开放日：17:00（不含）-24:00或非产品开放日</w:t>
                  </w:r>
                </w:p>
              </w:tc>
              <w:tc>
                <w:tcPr>
                  <w:tcW w:w="1600" w:type="dxa"/>
                </w:tcPr>
                <w:p w14:paraId="524A9C15">
                  <w:pPr>
                    <w:rPr>
                      <w:rFonts w:hint="eastAsia" w:hAnsi="方正黑体_GBK" w:cs="方正黑体_GBK"/>
                    </w:rPr>
                  </w:pPr>
                  <w:r>
                    <w:rPr>
                      <w:rFonts w:hint="eastAsia" w:ascii="方正黑体_GBK" w:hAnsi="方正黑体_GBK" w:eastAsia="方正黑体_GBK" w:cs="方正黑体_GBK"/>
                      <w:sz w:val="18"/>
                      <w:szCs w:val="18"/>
                    </w:rPr>
                    <w:t>下一产品开放日</w:t>
                  </w:r>
                </w:p>
              </w:tc>
              <w:tc>
                <w:tcPr>
                  <w:tcW w:w="1600" w:type="dxa"/>
                </w:tcPr>
                <w:p w14:paraId="452A6A1F">
                  <w:pPr>
                    <w:rPr>
                      <w:rFonts w:hint="eastAsia" w:hAnsi="方正黑体_GBK" w:cs="方正黑体_GBK"/>
                    </w:rPr>
                  </w:pPr>
                  <w:r>
                    <w:rPr>
                      <w:rFonts w:hint="eastAsia" w:ascii="方正黑体_GBK" w:hAnsi="方正黑体_GBK" w:eastAsia="方正黑体_GBK" w:cs="方正黑体_GBK"/>
                      <w:sz w:val="18"/>
                      <w:szCs w:val="18"/>
                    </w:rPr>
                    <w:t>申购受理日下一产品开放日</w:t>
                  </w:r>
                </w:p>
              </w:tc>
            </w:tr>
          </w:tbl>
          <w:p w14:paraId="2DA055A8">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代销机构可根据其销售需要重新设定申购时间，投资者通过代销机构购买本理财产品的，以该代销机构最终披露的申购时间和规则为准，但需当日受理的申购申请截止时间不得超过当日17:00。</w:t>
            </w:r>
          </w:p>
          <w:p w14:paraId="771B86DD">
            <w:pPr>
              <w:spacing w:line="200" w:lineRule="exact"/>
              <w:rPr>
                <w:rFonts w:hint="eastAsia" w:hAnsi="方正黑体_GBK" w:cs="方正黑体_GBK"/>
              </w:rPr>
            </w:pPr>
          </w:p>
          <w:p w14:paraId="17B28B21">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注</w:t>
            </w:r>
            <w:r>
              <w:rPr>
                <w:rFonts w:hint="eastAsia" w:ascii="方正黑体_GBK" w:hAnsi="方正黑体_GBK" w:eastAsia="方正黑体_GBK" w:cs="方正黑体_GBK"/>
                <w:sz w:val="18"/>
                <w:szCs w:val="18"/>
              </w:rPr>
              <w:t>：</w:t>
            </w:r>
          </w:p>
          <w:p w14:paraId="380FE7E3">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1.在销售机构支持的前提下，申购受理日17:00（含）前可以撤销申购申请。</w:t>
            </w:r>
          </w:p>
          <w:p w14:paraId="7EF574F1">
            <w:pPr>
              <w:spacing w:line="200" w:lineRule="exact"/>
              <w:rPr>
                <w:rFonts w:hint="eastAsia" w:hAnsi="方正黑体_GBK" w:cs="方正黑体_GBK"/>
              </w:rPr>
            </w:pPr>
            <w:r>
              <w:rPr>
                <w:rFonts w:hint="eastAsia" w:ascii="方正黑体_GBK" w:hAnsi="方正黑体_GBK" w:eastAsia="方正黑体_GBK" w:cs="方正黑体_GBK"/>
                <w:sz w:val="18"/>
                <w:szCs w:val="18"/>
              </w:rPr>
              <w:t>2.产品开放日为产品存续期内每周一至周五（指工作日），但不包括国家法定节假日、休息日和南银理财公告暂停开放的日期。</w:t>
            </w:r>
            <w:r>
              <w:rPr>
                <w:rFonts w:hint="eastAsia" w:ascii="方正黑体_GBK" w:hAnsi="方正黑体_GBK" w:eastAsia="方正黑体_GBK" w:cs="方正黑体_GBK"/>
                <w:b/>
                <w:sz w:val="18"/>
                <w:szCs w:val="18"/>
              </w:rPr>
              <w:t>系统批处理时间无法进行任何操作，届时系统将相应提示，系统批处理时间预计在0：00至3：00之间，如遇特殊情况延迟，敬请投资者注意。</w:t>
            </w:r>
          </w:p>
        </w:tc>
      </w:tr>
      <w:tr w14:paraId="35BC8F9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AD6EC1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申购开放日和确认日</w:t>
            </w:r>
          </w:p>
        </w:tc>
        <w:tc>
          <w:tcPr>
            <w:tcW w:w="8354" w:type="dxa"/>
            <w:tcBorders>
              <w:top w:val="single" w:color="auto" w:sz="4" w:space="0"/>
              <w:left w:val="nil"/>
              <w:bottom w:val="single" w:color="auto" w:sz="4" w:space="0"/>
              <w:right w:val="single" w:color="auto" w:sz="4" w:space="0"/>
              <w:tl2br w:val="nil"/>
              <w:tr2bl w:val="nil"/>
            </w:tcBorders>
            <w:vAlign w:val="center"/>
          </w:tcPr>
          <w:p w14:paraId="3189D6C0">
            <w:pPr>
              <w:spacing w:line="200" w:lineRule="exact"/>
              <w:rPr>
                <w:rFonts w:hint="eastAsia" w:hAnsi="方正黑体_GBK" w:cs="方正黑体_GBK"/>
              </w:rPr>
            </w:pPr>
            <w:r>
              <w:rPr>
                <w:rFonts w:hint="eastAsia" w:ascii="方正黑体_GBK" w:hAnsi="方正黑体_GBK" w:eastAsia="方正黑体_GBK" w:cs="方正黑体_GBK"/>
                <w:sz w:val="18"/>
                <w:szCs w:val="18"/>
              </w:rPr>
              <w:t>产品封闭期后的每周一至周五（指工作日），但不包括国家法定节假日、休息日和管理人、代销机构公告暂停开放的日期。</w:t>
            </w:r>
          </w:p>
        </w:tc>
      </w:tr>
      <w:tr w14:paraId="5D2A342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7D43AFD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赎回开放日和确认日</w:t>
            </w:r>
          </w:p>
        </w:tc>
        <w:tc>
          <w:tcPr>
            <w:tcW w:w="8354" w:type="dxa"/>
            <w:tcBorders>
              <w:top w:val="single" w:color="auto" w:sz="4" w:space="0"/>
              <w:left w:val="nil"/>
              <w:bottom w:val="single" w:color="auto" w:sz="4" w:space="0"/>
              <w:right w:val="single" w:color="auto" w:sz="4" w:space="0"/>
              <w:tl2br w:val="nil"/>
              <w:tr2bl w:val="nil"/>
            </w:tcBorders>
            <w:vAlign w:val="center"/>
          </w:tcPr>
          <w:p w14:paraId="173AE6F0">
            <w:pPr>
              <w:spacing w:line="200" w:lineRule="exact"/>
              <w:rPr>
                <w:rFonts w:hint="eastAsia" w:hAnsi="方正黑体_GBK" w:cs="方正黑体_GBK"/>
              </w:rPr>
            </w:pPr>
            <w:r>
              <w:rPr>
                <w:rFonts w:hint="eastAsia" w:ascii="方正黑体_GBK" w:hAnsi="方正黑体_GBK" w:eastAsia="方正黑体_GBK" w:cs="方正黑体_GBK"/>
                <w:sz w:val="18"/>
                <w:szCs w:val="18"/>
              </w:rPr>
              <w:t>产品封闭期后的每周一至周五（指工作日），但不包括国家法定节假日、休息日和管理人、代销机构公告暂停开放的日期。</w:t>
            </w:r>
          </w:p>
        </w:tc>
      </w:tr>
      <w:tr w14:paraId="3E75F88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55E4A5D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申购份额计算</w:t>
            </w:r>
          </w:p>
        </w:tc>
        <w:tc>
          <w:tcPr>
            <w:tcW w:w="8354" w:type="dxa"/>
            <w:tcBorders>
              <w:top w:val="single" w:color="auto" w:sz="4" w:space="0"/>
              <w:left w:val="nil"/>
              <w:bottom w:val="single" w:color="auto" w:sz="4" w:space="0"/>
              <w:right w:val="single" w:color="auto" w:sz="4" w:space="0"/>
              <w:tl2br w:val="nil"/>
              <w:tr2bl w:val="nil"/>
            </w:tcBorders>
            <w:vAlign w:val="center"/>
          </w:tcPr>
          <w:p w14:paraId="6259A97D">
            <w:pPr>
              <w:rPr>
                <w:rFonts w:hint="eastAsia" w:hAnsi="方正黑体_GBK" w:cs="方正黑体_GBK"/>
              </w:rPr>
            </w:pPr>
            <w:r>
              <w:rPr>
                <w:rFonts w:hint="eastAsia" w:ascii="方正黑体_GBK" w:hAnsi="方正黑体_GBK" w:eastAsia="方正黑体_GBK" w:cs="方正黑体_GBK"/>
                <w:sz w:val="18"/>
                <w:szCs w:val="18"/>
              </w:rPr>
              <w:t>申购份额=申购金额/申购确认日产品单位净值（申购确认日为申购受理日当日）（申购份额按去尾法保留两位小数）。</w:t>
            </w:r>
          </w:p>
        </w:tc>
      </w:tr>
      <w:tr w14:paraId="58078F7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3410A4E1">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赎回规则</w:t>
            </w:r>
          </w:p>
        </w:tc>
        <w:tc>
          <w:tcPr>
            <w:tcW w:w="8354" w:type="dxa"/>
            <w:tcBorders>
              <w:top w:val="single" w:color="auto" w:sz="4" w:space="0"/>
              <w:left w:val="nil"/>
              <w:bottom w:val="single" w:color="auto" w:sz="4" w:space="0"/>
              <w:right w:val="single" w:color="auto" w:sz="4" w:space="0"/>
              <w:tl2br w:val="nil"/>
              <w:tr2bl w:val="nil"/>
            </w:tcBorders>
            <w:vAlign w:val="center"/>
          </w:tcPr>
          <w:p w14:paraId="1508C565">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持有期28天以内的份额不可提出赎回申请。</w:t>
            </w:r>
          </w:p>
          <w:p w14:paraId="1F8F7F3B">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持有满28天及以上的份额可在之后的每个产品开放日提出赎回申请，非巨额赎回时，产品开放日17:00（含）前的赎回于当日受理，其他时间的赎回于下一产品开放日受理，赎回款项将于份额运作终止日后5个工作日内到账</w:t>
            </w:r>
            <w:r>
              <w:rPr>
                <w:rFonts w:hint="eastAsia" w:ascii="方正黑体_GBK" w:hAnsi="方正黑体_GBK" w:eastAsia="方正黑体_GBK" w:cs="方正黑体_GBK"/>
                <w:sz w:val="18"/>
                <w:szCs w:val="18"/>
              </w:rPr>
              <w:t>。上述赎回规则如下（系统批处理时间内无法操作）：</w:t>
            </w:r>
          </w:p>
          <w:tbl>
            <w:tblPr>
              <w:tblStyle w:val="15"/>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12"/>
              <w:gridCol w:w="1312"/>
              <w:gridCol w:w="1312"/>
              <w:gridCol w:w="1312"/>
            </w:tblGrid>
            <w:tr w14:paraId="741080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312" w:type="dxa"/>
                </w:tcPr>
                <w:p w14:paraId="1606DE8C">
                  <w:pPr>
                    <w:rPr>
                      <w:rFonts w:hint="eastAsia" w:hAnsi="方正黑体_GBK" w:cs="方正黑体_GBK"/>
                    </w:rPr>
                  </w:pPr>
                  <w:r>
                    <w:rPr>
                      <w:rFonts w:hint="eastAsia" w:ascii="方正黑体_GBK" w:hAnsi="方正黑体_GBK" w:eastAsia="方正黑体_GBK" w:cs="方正黑体_GBK"/>
                      <w:sz w:val="18"/>
                      <w:szCs w:val="18"/>
                    </w:rPr>
                    <w:t>赎回时间</w:t>
                  </w:r>
                </w:p>
              </w:tc>
              <w:tc>
                <w:tcPr>
                  <w:tcW w:w="1312" w:type="dxa"/>
                </w:tcPr>
                <w:p w14:paraId="6B72F142">
                  <w:pPr>
                    <w:rPr>
                      <w:rFonts w:hint="eastAsia" w:hAnsi="方正黑体_GBK" w:cs="方正黑体_GBK"/>
                    </w:rPr>
                  </w:pPr>
                  <w:r>
                    <w:rPr>
                      <w:rFonts w:hint="eastAsia" w:ascii="方正黑体_GBK" w:hAnsi="方正黑体_GBK" w:eastAsia="方正黑体_GBK" w:cs="方正黑体_GBK"/>
                      <w:sz w:val="18"/>
                      <w:szCs w:val="18"/>
                    </w:rPr>
                    <w:t>赎回受理日</w:t>
                  </w:r>
                </w:p>
              </w:tc>
              <w:tc>
                <w:tcPr>
                  <w:tcW w:w="1312" w:type="dxa"/>
                </w:tcPr>
                <w:p w14:paraId="215C55C6">
                  <w:pPr>
                    <w:rPr>
                      <w:rFonts w:hint="eastAsia" w:hAnsi="方正黑体_GBK" w:cs="方正黑体_GBK"/>
                    </w:rPr>
                  </w:pPr>
                  <w:r>
                    <w:rPr>
                      <w:rFonts w:hint="eastAsia" w:ascii="方正黑体_GBK" w:hAnsi="方正黑体_GBK" w:eastAsia="方正黑体_GBK" w:cs="方正黑体_GBK"/>
                      <w:sz w:val="18"/>
                      <w:szCs w:val="18"/>
                    </w:rPr>
                    <w:t>份额运作终止日</w:t>
                  </w:r>
                </w:p>
              </w:tc>
              <w:tc>
                <w:tcPr>
                  <w:tcW w:w="1312" w:type="dxa"/>
                </w:tcPr>
                <w:p w14:paraId="1B3B2FA6">
                  <w:pPr>
                    <w:rPr>
                      <w:rFonts w:hint="eastAsia" w:hAnsi="方正黑体_GBK" w:cs="方正黑体_GBK"/>
                    </w:rPr>
                  </w:pPr>
                  <w:r>
                    <w:rPr>
                      <w:rFonts w:hint="eastAsia" w:ascii="方正黑体_GBK" w:hAnsi="方正黑体_GBK" w:eastAsia="方正黑体_GBK" w:cs="方正黑体_GBK"/>
                      <w:sz w:val="18"/>
                      <w:szCs w:val="18"/>
                    </w:rPr>
                    <w:t>资金到账日</w:t>
                  </w:r>
                </w:p>
              </w:tc>
            </w:tr>
            <w:tr w14:paraId="566792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312" w:type="dxa"/>
                </w:tcPr>
                <w:p w14:paraId="6DD3DEBA">
                  <w:pPr>
                    <w:rPr>
                      <w:rFonts w:hint="eastAsia" w:hAnsi="方正黑体_GBK" w:cs="方正黑体_GBK"/>
                    </w:rPr>
                  </w:pPr>
                  <w:r>
                    <w:rPr>
                      <w:rFonts w:hint="eastAsia" w:ascii="方正黑体_GBK" w:hAnsi="方正黑体_GBK" w:eastAsia="方正黑体_GBK" w:cs="方正黑体_GBK"/>
                      <w:sz w:val="18"/>
                      <w:szCs w:val="18"/>
                    </w:rPr>
                    <w:t>份额持有满28天后的产品开放日：0:00-17:00（含）</w:t>
                  </w:r>
                </w:p>
              </w:tc>
              <w:tc>
                <w:tcPr>
                  <w:tcW w:w="1312" w:type="dxa"/>
                </w:tcPr>
                <w:p w14:paraId="158F83AB">
                  <w:pPr>
                    <w:rPr>
                      <w:rFonts w:hint="eastAsia" w:hAnsi="方正黑体_GBK" w:cs="方正黑体_GBK"/>
                    </w:rPr>
                  </w:pPr>
                  <w:r>
                    <w:rPr>
                      <w:rFonts w:hint="eastAsia" w:ascii="方正黑体_GBK" w:hAnsi="方正黑体_GBK" w:eastAsia="方正黑体_GBK" w:cs="方正黑体_GBK"/>
                      <w:sz w:val="18"/>
                      <w:szCs w:val="18"/>
                    </w:rPr>
                    <w:t>当日</w:t>
                  </w:r>
                </w:p>
              </w:tc>
              <w:tc>
                <w:tcPr>
                  <w:tcW w:w="1312" w:type="dxa"/>
                </w:tcPr>
                <w:p w14:paraId="7566EA34">
                  <w:pPr>
                    <w:rPr>
                      <w:rFonts w:hint="eastAsia" w:hAnsi="方正黑体_GBK" w:cs="方正黑体_GBK"/>
                    </w:rPr>
                  </w:pPr>
                  <w:r>
                    <w:rPr>
                      <w:rFonts w:hint="eastAsia" w:ascii="方正黑体_GBK" w:hAnsi="方正黑体_GBK" w:eastAsia="方正黑体_GBK" w:cs="方正黑体_GBK"/>
                      <w:sz w:val="18"/>
                      <w:szCs w:val="18"/>
                    </w:rPr>
                    <w:t>赎回受理日下一产品开放日</w:t>
                  </w:r>
                </w:p>
              </w:tc>
              <w:tc>
                <w:tcPr>
                  <w:tcW w:w="1312" w:type="dxa"/>
                  <w:vMerge w:val="restart"/>
                </w:tcPr>
                <w:p w14:paraId="1153A9F0">
                  <w:pPr>
                    <w:rPr>
                      <w:rFonts w:hint="eastAsia" w:hAnsi="方正黑体_GBK" w:cs="方正黑体_GBK"/>
                    </w:rPr>
                  </w:pPr>
                  <w:r>
                    <w:rPr>
                      <w:rFonts w:hint="eastAsia" w:ascii="方正黑体_GBK" w:hAnsi="方正黑体_GBK" w:eastAsia="方正黑体_GBK" w:cs="方正黑体_GBK"/>
                      <w:sz w:val="18"/>
                      <w:szCs w:val="18"/>
                    </w:rPr>
                    <w:t>份额运作终止日后5个工作日内</w:t>
                  </w:r>
                </w:p>
              </w:tc>
            </w:tr>
            <w:tr w14:paraId="3A1C2F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312" w:type="dxa"/>
                </w:tcPr>
                <w:p w14:paraId="67BCB29B">
                  <w:pPr>
                    <w:rPr>
                      <w:rFonts w:hint="eastAsia" w:hAnsi="方正黑体_GBK" w:cs="方正黑体_GBK"/>
                    </w:rPr>
                  </w:pPr>
                  <w:r>
                    <w:rPr>
                      <w:rFonts w:hint="eastAsia" w:ascii="方正黑体_GBK" w:hAnsi="方正黑体_GBK" w:eastAsia="方正黑体_GBK" w:cs="方正黑体_GBK"/>
                      <w:sz w:val="18"/>
                      <w:szCs w:val="18"/>
                    </w:rPr>
                    <w:t>份额持有满28天后的产品开放日：17:00（不含）-24:00或非产品开放日</w:t>
                  </w:r>
                </w:p>
              </w:tc>
              <w:tc>
                <w:tcPr>
                  <w:tcW w:w="1312" w:type="dxa"/>
                </w:tcPr>
                <w:p w14:paraId="71B22D2B">
                  <w:pPr>
                    <w:rPr>
                      <w:rFonts w:hint="eastAsia" w:hAnsi="方正黑体_GBK" w:cs="方正黑体_GBK"/>
                    </w:rPr>
                  </w:pPr>
                  <w:r>
                    <w:rPr>
                      <w:rFonts w:hint="eastAsia" w:ascii="方正黑体_GBK" w:hAnsi="方正黑体_GBK" w:eastAsia="方正黑体_GBK" w:cs="方正黑体_GBK"/>
                      <w:sz w:val="18"/>
                      <w:szCs w:val="18"/>
                    </w:rPr>
                    <w:t>下一产品开放日</w:t>
                  </w:r>
                </w:p>
              </w:tc>
              <w:tc>
                <w:tcPr>
                  <w:tcW w:w="1312" w:type="dxa"/>
                </w:tcPr>
                <w:p w14:paraId="77C3DC2A">
                  <w:pPr>
                    <w:rPr>
                      <w:rFonts w:hint="eastAsia" w:hAnsi="方正黑体_GBK" w:cs="方正黑体_GBK"/>
                    </w:rPr>
                  </w:pPr>
                  <w:r>
                    <w:rPr>
                      <w:rFonts w:hint="eastAsia" w:ascii="方正黑体_GBK" w:hAnsi="方正黑体_GBK" w:eastAsia="方正黑体_GBK" w:cs="方正黑体_GBK"/>
                      <w:sz w:val="18"/>
                      <w:szCs w:val="18"/>
                    </w:rPr>
                    <w:t>赎回受理日下一产品开放日</w:t>
                  </w:r>
                </w:p>
              </w:tc>
              <w:tc>
                <w:tcPr>
                  <w:tcW w:w="1312" w:type="dxa"/>
                  <w:vMerge w:val="continue"/>
                </w:tcPr>
                <w:p w14:paraId="0F3AD416">
                  <w:pPr>
                    <w:rPr>
                      <w:rFonts w:hint="eastAsia" w:hAnsi="方正黑体_GBK" w:cs="方正黑体_GBK"/>
                    </w:rPr>
                  </w:pPr>
                </w:p>
              </w:tc>
            </w:tr>
          </w:tbl>
          <w:p w14:paraId="6845A20E">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代销机构可根据其销售需要重新设定赎回时间，投资者通过代销机构购买本理财产品的，以该代销机构最终披露的赎回时间和规则为准，但需当日受理的赎回申请截止时间不得超过当日17:00。</w:t>
            </w:r>
          </w:p>
          <w:p w14:paraId="71EF968E">
            <w:pPr>
              <w:spacing w:line="200" w:lineRule="exact"/>
              <w:jc w:val="left"/>
              <w:rPr>
                <w:rFonts w:hint="eastAsia" w:hAnsi="方正黑体_GBK" w:cs="方正黑体_GBK"/>
              </w:rPr>
            </w:pPr>
          </w:p>
          <w:p w14:paraId="3C01D3B8">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注：</w:t>
            </w:r>
          </w:p>
          <w:p w14:paraId="0B17EDF6">
            <w:pPr>
              <w:spacing w:line="200" w:lineRule="exact"/>
              <w:rPr>
                <w:rFonts w:hint="eastAsia" w:hAnsi="方正黑体_GBK" w:cs="方正黑体_GBK"/>
              </w:rPr>
            </w:pPr>
            <w:r>
              <w:rPr>
                <w:rFonts w:hint="eastAsia" w:ascii="方正黑体_GBK" w:hAnsi="方正黑体_GBK" w:eastAsia="方正黑体_GBK" w:cs="方正黑体_GBK"/>
                <w:sz w:val="18"/>
                <w:szCs w:val="18"/>
              </w:rPr>
              <w:t>1.</w:t>
            </w:r>
            <w:r>
              <w:rPr>
                <w:rFonts w:hint="eastAsia" w:ascii="方正黑体_GBK" w:hAnsi="方正黑体_GBK" w:eastAsia="方正黑体_GBK" w:cs="方正黑体_GBK"/>
                <w:b/>
                <w:sz w:val="18"/>
                <w:szCs w:val="18"/>
              </w:rPr>
              <w:t>如投资者多次认申购本理财产品，其中持有满28天及以上的份额可提出赎回申请，持有期28天以内的份额不可提出赎回申请。</w:t>
            </w:r>
          </w:p>
          <w:p w14:paraId="07B8F220">
            <w:pPr>
              <w:spacing w:line="200" w:lineRule="exact"/>
              <w:rPr>
                <w:rFonts w:hint="eastAsia" w:hAnsi="方正黑体_GBK" w:cs="方正黑体_GBK"/>
              </w:rPr>
            </w:pPr>
            <w:r>
              <w:rPr>
                <w:rFonts w:hint="eastAsia" w:ascii="方正黑体_GBK" w:hAnsi="方正黑体_GBK" w:eastAsia="方正黑体_GBK" w:cs="方正黑体_GBK"/>
                <w:color w:val="000000"/>
                <w:sz w:val="18"/>
                <w:szCs w:val="18"/>
              </w:rPr>
              <w:t>2.</w:t>
            </w:r>
            <w:r>
              <w:rPr>
                <w:rFonts w:hint="eastAsia" w:ascii="方正黑体_GBK" w:hAnsi="方正黑体_GBK" w:eastAsia="方正黑体_GBK" w:cs="方正黑体_GBK"/>
                <w:b/>
                <w:sz w:val="18"/>
                <w:szCs w:val="18"/>
              </w:rPr>
              <w:t>单个投资者的赎回遵循“先进先出”原则，即单个投资者先认/申购的份额先被赎回。</w:t>
            </w:r>
          </w:p>
          <w:p w14:paraId="252A3C03">
            <w:pPr>
              <w:spacing w:line="200" w:lineRule="exact"/>
              <w:rPr>
                <w:rFonts w:hint="eastAsia" w:hAnsi="方正黑体_GBK" w:cs="方正黑体_GBK"/>
              </w:rPr>
            </w:pPr>
            <w:r>
              <w:rPr>
                <w:rFonts w:hint="eastAsia" w:ascii="方正黑体_GBK" w:hAnsi="方正黑体_GBK" w:eastAsia="方正黑体_GBK" w:cs="方正黑体_GBK"/>
                <w:b/>
                <w:sz w:val="18"/>
                <w:szCs w:val="18"/>
              </w:rPr>
              <w:t>3.在销售机构支持的前提下，赎回受理日17:00（含）前可以撤销赎回申请。</w:t>
            </w:r>
          </w:p>
          <w:p w14:paraId="278F6BCB">
            <w:pPr>
              <w:spacing w:line="200" w:lineRule="exact"/>
              <w:jc w:val="left"/>
              <w:rPr>
                <w:rFonts w:hint="eastAsia" w:hAnsi="方正黑体_GBK" w:cs="方正黑体_GBK"/>
              </w:rPr>
            </w:pPr>
            <w:r>
              <w:rPr>
                <w:rFonts w:hint="eastAsia" w:ascii="方正黑体_GBK" w:hAnsi="方正黑体_GBK" w:eastAsia="方正黑体_GBK" w:cs="方正黑体_GBK"/>
                <w:b/>
                <w:sz w:val="18"/>
                <w:szCs w:val="18"/>
              </w:rPr>
              <w:t>4.</w:t>
            </w:r>
            <w:r>
              <w:rPr>
                <w:rFonts w:hint="eastAsia" w:ascii="方正黑体_GBK" w:hAnsi="方正黑体_GBK" w:eastAsia="方正黑体_GBK" w:cs="方正黑体_GBK"/>
                <w:sz w:val="18"/>
                <w:szCs w:val="18"/>
              </w:rPr>
              <w:t>产品开放日为产品存续期内每周一至周五（指工作日），但不包括国家法定节假日、休息日和南银理财公告暂停开放的日期。</w:t>
            </w:r>
            <w:r>
              <w:rPr>
                <w:rFonts w:hint="eastAsia" w:ascii="方正黑体_GBK" w:hAnsi="方正黑体_GBK" w:eastAsia="方正黑体_GBK" w:cs="方正黑体_GBK"/>
                <w:b/>
                <w:sz w:val="18"/>
                <w:szCs w:val="18"/>
              </w:rPr>
              <w:t>系统批处理时间无法进行任何操作，届时系统将相应提示，系统批处理时间预计在0：00至3：00之间，如遇特殊情况延迟，敬请投资者注意。</w:t>
            </w:r>
          </w:p>
          <w:p w14:paraId="32D2A5A6">
            <w:pPr>
              <w:spacing w:line="200" w:lineRule="exact"/>
              <w:rPr>
                <w:rFonts w:hint="eastAsia" w:hAnsi="方正黑体_GBK" w:cs="方正黑体_GBK"/>
              </w:rPr>
            </w:pPr>
            <w:r>
              <w:rPr>
                <w:rFonts w:hint="eastAsia" w:ascii="方正黑体_GBK" w:hAnsi="方正黑体_GBK" w:eastAsia="方正黑体_GBK" w:cs="方正黑体_GBK"/>
                <w:b/>
                <w:sz w:val="18"/>
                <w:szCs w:val="18"/>
              </w:rPr>
              <w:t>5.份额运作终止日至资金到账日间赎回款项不计任何收益。</w:t>
            </w:r>
          </w:p>
        </w:tc>
      </w:tr>
      <w:tr w14:paraId="6AF6A9C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62AB600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赎回金额计算</w:t>
            </w:r>
          </w:p>
        </w:tc>
        <w:tc>
          <w:tcPr>
            <w:tcW w:w="8354" w:type="dxa"/>
            <w:tcBorders>
              <w:top w:val="single" w:color="auto" w:sz="4" w:space="0"/>
              <w:left w:val="nil"/>
              <w:bottom w:val="single" w:color="auto" w:sz="4" w:space="0"/>
              <w:right w:val="single" w:color="auto" w:sz="4" w:space="0"/>
              <w:tl2br w:val="nil"/>
              <w:tr2bl w:val="nil"/>
            </w:tcBorders>
            <w:vAlign w:val="center"/>
          </w:tcPr>
          <w:p w14:paraId="3ABEBF05">
            <w:pPr>
              <w:spacing w:line="200" w:lineRule="exact"/>
              <w:rPr>
                <w:rFonts w:hint="eastAsia" w:hAnsi="方正黑体_GBK" w:cs="方正黑体_GBK"/>
              </w:rPr>
            </w:pPr>
            <w:r>
              <w:rPr>
                <w:rFonts w:hint="eastAsia" w:ascii="方正黑体_GBK" w:hAnsi="方正黑体_GBK" w:eastAsia="方正黑体_GBK" w:cs="方正黑体_GBK"/>
                <w:sz w:val="18"/>
                <w:szCs w:val="18"/>
              </w:rPr>
              <w:t>赎回金额=赎回份额×赎回确认日产品单位净值（赎回确认日为赎回受理日当日）（赎回金额按去尾法保留两位小数）产品的赎回费、业绩报酬等费用（如有）将从赎回金额中扣除。</w:t>
            </w:r>
          </w:p>
        </w:tc>
      </w:tr>
      <w:tr w14:paraId="7AAB3F0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30194E5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kern w:val="0"/>
                <w:sz w:val="18"/>
                <w:szCs w:val="18"/>
              </w:rPr>
              <w:t>到期兑付金额计算</w:t>
            </w:r>
          </w:p>
        </w:tc>
        <w:tc>
          <w:tcPr>
            <w:tcW w:w="8354" w:type="dxa"/>
            <w:tcBorders>
              <w:top w:val="single" w:color="auto" w:sz="4" w:space="0"/>
              <w:left w:val="nil"/>
              <w:bottom w:val="single" w:color="auto" w:sz="4" w:space="0"/>
              <w:right w:val="single" w:color="auto" w:sz="4" w:space="0"/>
              <w:tl2br w:val="nil"/>
              <w:tr2bl w:val="nil"/>
            </w:tcBorders>
            <w:vAlign w:val="center"/>
          </w:tcPr>
          <w:p w14:paraId="2B0DC355">
            <w:pPr>
              <w:spacing w:line="200" w:lineRule="exact"/>
              <w:rPr>
                <w:rFonts w:hint="eastAsia" w:hAnsi="方正黑体_GBK" w:cs="方正黑体_GBK"/>
              </w:rPr>
            </w:pPr>
            <w:r>
              <w:rPr>
                <w:rFonts w:hint="eastAsia" w:ascii="方正黑体_GBK" w:hAnsi="方正黑体_GBK" w:eastAsia="方正黑体_GBK" w:cs="方正黑体_GBK"/>
                <w:color w:val="000000"/>
                <w:sz w:val="18"/>
                <w:szCs w:val="18"/>
              </w:rPr>
              <w:t>到期兑付金额=到期时持有份额×P。 P为期末理财产品单位净值。（已扣除相关费用，到期兑付金额以去尾法保留两位小数）</w:t>
            </w:r>
          </w:p>
        </w:tc>
      </w:tr>
      <w:tr w14:paraId="62842F2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4B03FF78">
            <w:pPr>
              <w:keepNext w:val="0"/>
              <w:keepLines w:val="0"/>
              <w:pageBreakBefore w:val="0"/>
              <w:widowControl/>
              <w:suppressLineNumbers w:val="0"/>
              <w:suppressAutoHyphens w:val="0"/>
              <w:spacing w:line="200" w:lineRule="exact"/>
              <w:jc w:val="left"/>
              <w:rPr>
                <w:rFonts w:hint="eastAsia" w:ascii="方正黑体_GBK" w:hAnsi="方正黑体_GBK" w:eastAsia="方正黑体_GBK" w:cs="方正黑体_GBK"/>
                <w:color w:val="000000"/>
                <w:kern w:val="0"/>
                <w:sz w:val="18"/>
                <w:szCs w:val="18"/>
              </w:rPr>
            </w:pPr>
            <w:r>
              <w:rPr>
                <w:rFonts w:hint="eastAsia" w:ascii="方正黑体_GBK" w:hAnsi="方正黑体_GBK" w:eastAsia="方正黑体_GBK" w:cs="方正黑体_GBK"/>
                <w:color w:val="000000"/>
                <w:kern w:val="0"/>
                <w:sz w:val="18"/>
                <w:szCs w:val="18"/>
              </w:rPr>
              <w:t>份额最低持有期</w:t>
            </w:r>
          </w:p>
        </w:tc>
        <w:tc>
          <w:tcPr>
            <w:tcW w:w="8354" w:type="dxa"/>
            <w:tcBorders>
              <w:top w:val="single" w:color="auto" w:sz="4" w:space="0"/>
              <w:left w:val="nil"/>
              <w:bottom w:val="single" w:color="auto" w:sz="4" w:space="0"/>
              <w:right w:val="single" w:color="auto" w:sz="4" w:space="0"/>
              <w:tl2br w:val="nil"/>
              <w:tr2bl w:val="nil"/>
            </w:tcBorders>
            <w:vAlign w:val="center"/>
          </w:tcPr>
          <w:p w14:paraId="635285B9">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28天</w:t>
            </w:r>
          </w:p>
          <w:p w14:paraId="401B0771">
            <w:pPr>
              <w:spacing w:line="200" w:lineRule="exact"/>
              <w:rPr>
                <w:rFonts w:hint="eastAsia" w:hAnsi="方正黑体_GBK" w:cs="方正黑体_GBK"/>
              </w:rPr>
            </w:pPr>
            <w:r>
              <w:rPr>
                <w:rFonts w:hint="eastAsia" w:ascii="方正黑体_GBK" w:hAnsi="方正黑体_GBK" w:eastAsia="方正黑体_GBK" w:cs="方正黑体_GBK"/>
                <w:sz w:val="18"/>
                <w:szCs w:val="18"/>
              </w:rPr>
              <w:t>（认购份额从成立日起最低持有期为28天，2023年05月21日及之前不可提出赎回申请；申购份额从份额运作起始日起最低持有期为28天，28天以内不可提出赎回申请。）</w:t>
            </w:r>
          </w:p>
        </w:tc>
      </w:tr>
      <w:tr w14:paraId="17D684D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55B8F3F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收益分配</w:t>
            </w:r>
          </w:p>
        </w:tc>
        <w:tc>
          <w:tcPr>
            <w:tcW w:w="8354" w:type="dxa"/>
            <w:tcBorders>
              <w:top w:val="single" w:color="auto" w:sz="4" w:space="0"/>
              <w:left w:val="nil"/>
              <w:bottom w:val="single" w:color="auto" w:sz="4" w:space="0"/>
              <w:right w:val="single" w:color="auto" w:sz="4" w:space="0"/>
              <w:tl2br w:val="nil"/>
              <w:tr2bl w:val="nil"/>
            </w:tcBorders>
            <w:vAlign w:val="center"/>
          </w:tcPr>
          <w:p w14:paraId="57229F8B">
            <w:pPr>
              <w:spacing w:line="200" w:lineRule="exact"/>
              <w:rPr>
                <w:rFonts w:hint="eastAsia" w:hAnsi="方正黑体_GBK" w:cs="方正黑体_GBK"/>
              </w:rPr>
            </w:pPr>
            <w:r>
              <w:rPr>
                <w:rFonts w:hint="eastAsia" w:ascii="方正黑体_GBK" w:hAnsi="方正黑体_GBK" w:eastAsia="方正黑体_GBK" w:cs="方正黑体_GBK"/>
                <w:sz w:val="18"/>
                <w:szCs w:val="18"/>
              </w:rPr>
              <w:t>当理财产品单位净值不低于1时，管理人可以根据实际情况进行收益分配，分配方式为现金分红，具体分配方案以信息披露为准（分配后理财产品净值不低于1）。</w:t>
            </w:r>
          </w:p>
          <w:p w14:paraId="0D66AD70">
            <w:pPr>
              <w:spacing w:line="200" w:lineRule="exact"/>
              <w:rPr>
                <w:rFonts w:hint="eastAsia" w:hAnsi="方正黑体_GBK" w:cs="方正黑体_GBK"/>
              </w:rPr>
            </w:pPr>
            <w:r>
              <w:rPr>
                <w:rFonts w:hint="eastAsia" w:ascii="方正黑体_GBK" w:hAnsi="方正黑体_GBK" w:eastAsia="方正黑体_GBK" w:cs="方正黑体_GBK"/>
                <w:sz w:val="18"/>
                <w:szCs w:val="18"/>
              </w:rPr>
              <w:t>产品到期后，理财产品管理人和代销机构将根据理财资金所投资资产实际运作情况向投资者分配到期款项。</w:t>
            </w:r>
          </w:p>
        </w:tc>
      </w:tr>
      <w:tr w14:paraId="3F68862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6D1C4D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资金到账日</w:t>
            </w:r>
          </w:p>
        </w:tc>
        <w:tc>
          <w:tcPr>
            <w:tcW w:w="8354" w:type="dxa"/>
            <w:tcBorders>
              <w:top w:val="single" w:color="auto" w:sz="4" w:space="0"/>
              <w:left w:val="nil"/>
              <w:bottom w:val="single" w:color="auto" w:sz="4" w:space="0"/>
              <w:right w:val="single" w:color="auto" w:sz="4" w:space="0"/>
              <w:tl2br w:val="nil"/>
              <w:tr2bl w:val="nil"/>
            </w:tcBorders>
            <w:vAlign w:val="center"/>
          </w:tcPr>
          <w:p w14:paraId="40722587">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14:paraId="72C17EAC">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分红权益登记日指管理人确认投资者所持份额是否享受本次分红的日期。</w:t>
            </w:r>
          </w:p>
        </w:tc>
      </w:tr>
      <w:tr w14:paraId="78FFFCE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502AF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投资范围</w:t>
            </w:r>
          </w:p>
        </w:tc>
        <w:tc>
          <w:tcPr>
            <w:tcW w:w="8354" w:type="dxa"/>
            <w:tcBorders>
              <w:top w:val="single" w:color="auto" w:sz="4" w:space="0"/>
              <w:left w:val="nil"/>
              <w:bottom w:val="single" w:color="auto" w:sz="4" w:space="0"/>
              <w:right w:val="single" w:color="auto" w:sz="4" w:space="0"/>
              <w:tl2br w:val="nil"/>
              <w:tr2bl w:val="nil"/>
            </w:tcBorders>
            <w:vAlign w:val="center"/>
          </w:tcPr>
          <w:p w14:paraId="6C2D296F">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本理财产品募集的资金投资于以下金融资产和金融工具，包括但不限于：</w:t>
            </w:r>
          </w:p>
          <w:p w14:paraId="6DAFF9B5">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1.现金、银行存款、银行承兑汇票、同业存款、大额存单、同业存单、债券回购、货币基金等货币市场工具；</w:t>
            </w:r>
          </w:p>
          <w:p w14:paraId="1C14A948">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22BE0A6B">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3.公开募集基础设施证券投资基金等符合监管要求的公募证券投资基金；</w:t>
            </w:r>
          </w:p>
          <w:p w14:paraId="2F71875C">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4.投资范围为上述资产的信托计划、资产管理计划等资产管理产品；</w:t>
            </w:r>
          </w:p>
          <w:p w14:paraId="6DCB5374">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5.法律法规或监管机构允许投资的符合本理财产品投资性质的其他金融工具；</w:t>
            </w:r>
          </w:p>
          <w:p w14:paraId="024AE741">
            <w:pPr>
              <w:spacing w:line="200" w:lineRule="exact"/>
              <w:rPr>
                <w:rFonts w:hint="eastAsia" w:hAnsi="方正黑体_GBK" w:cs="方正黑体_GBK"/>
              </w:rPr>
            </w:pPr>
            <w:r>
              <w:rPr>
                <w:rFonts w:hint="eastAsia" w:ascii="方正黑体_GBK" w:hAnsi="方正黑体_GBK" w:eastAsia="方正黑体_GBK" w:cs="方正黑体_GBK"/>
                <w:sz w:val="18"/>
                <w:szCs w:val="18"/>
              </w:rPr>
              <w:t>6.如存在法律法规或监管机构以后允许投资的其他品种或法律法规或监管政策出现调整，管理人在履行本理财产品销售文件规定的适当程序后，有权调整以上品种。</w:t>
            </w:r>
          </w:p>
        </w:tc>
      </w:tr>
      <w:tr w14:paraId="42C662E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311409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投资比例</w:t>
            </w:r>
          </w:p>
        </w:tc>
        <w:tc>
          <w:tcPr>
            <w:tcW w:w="8354" w:type="dxa"/>
            <w:tcBorders>
              <w:top w:val="single" w:color="auto" w:sz="4" w:space="0"/>
              <w:left w:val="nil"/>
              <w:bottom w:val="single" w:color="auto" w:sz="4" w:space="0"/>
              <w:right w:val="single" w:color="auto" w:sz="4" w:space="0"/>
              <w:tl2br w:val="nil"/>
              <w:tr2bl w:val="nil"/>
            </w:tcBorders>
            <w:vAlign w:val="center"/>
          </w:tcPr>
          <w:p w14:paraId="27CB5604">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本理财产品投资于固定收益类资产的比例不低于本理财产品总资产的80%。</w:t>
            </w:r>
          </w:p>
          <w:p w14:paraId="1C9452BE">
            <w:pPr>
              <w:spacing w:line="200" w:lineRule="exact"/>
              <w:rPr>
                <w:rFonts w:hint="eastAsia" w:hAnsi="方正黑体_GBK" w:cs="方正黑体_GBK"/>
              </w:rPr>
            </w:pPr>
            <w:r>
              <w:rPr>
                <w:rFonts w:hint="eastAsia" w:ascii="方正黑体_GBK" w:hAnsi="方正黑体_GBK" w:eastAsia="方正黑体_GBK" w:cs="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4BEF1EC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672868C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投资策略</w:t>
            </w:r>
          </w:p>
        </w:tc>
        <w:tc>
          <w:tcPr>
            <w:tcW w:w="8354" w:type="dxa"/>
            <w:tcBorders>
              <w:top w:val="single" w:color="auto" w:sz="4" w:space="0"/>
              <w:left w:val="nil"/>
              <w:bottom w:val="single" w:color="auto" w:sz="4" w:space="0"/>
              <w:right w:val="single" w:color="auto" w:sz="4" w:space="0"/>
              <w:tl2br w:val="nil"/>
              <w:tr2bl w:val="nil"/>
            </w:tcBorders>
            <w:vAlign w:val="center"/>
          </w:tcPr>
          <w:p w14:paraId="6E81F406">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14:paraId="6466C2B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63D68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bCs/>
                <w:caps w:val="0"/>
                <w:smallCaps w:val="0"/>
                <w:snapToGrid/>
                <w:vanish w:val="0"/>
                <w:color w:val="auto"/>
                <w:kern w:val="0"/>
                <w:sz w:val="18"/>
                <w:szCs w:val="18"/>
                <w:vertAlign w:val="baseline"/>
              </w:rPr>
              <w:t>业绩比较基准</w:t>
            </w:r>
          </w:p>
        </w:tc>
        <w:tc>
          <w:tcPr>
            <w:tcW w:w="8354" w:type="dxa"/>
            <w:tcBorders>
              <w:top w:val="single" w:color="auto" w:sz="4" w:space="0"/>
              <w:left w:val="nil"/>
              <w:bottom w:val="single" w:color="auto" w:sz="4" w:space="0"/>
              <w:right w:val="single" w:color="auto" w:sz="4" w:space="0"/>
              <w:tl2br w:val="nil"/>
              <w:tr2bl w:val="nil"/>
            </w:tcBorders>
            <w:vAlign w:val="center"/>
          </w:tcPr>
          <w:p w14:paraId="7DA8E431">
            <w:pPr>
              <w:spacing w:line="200" w:lineRule="exact"/>
              <w:rPr>
                <w:rFonts w:hint="eastAsia" w:hAnsi="方正黑体_GBK" w:cs="方正黑体_GBK"/>
              </w:rPr>
            </w:pPr>
            <w:r>
              <w:rPr>
                <w:rFonts w:hint="eastAsia" w:ascii="方正黑体_GBK" w:hAnsi="方正黑体_GBK" w:eastAsia="方正黑体_GBK" w:cs="方正黑体_GBK"/>
                <w:sz w:val="18"/>
                <w:szCs w:val="18"/>
              </w:rPr>
              <w:t>A份额：业绩比较基准为年化2.</w:t>
            </w:r>
            <w:r>
              <w:rPr>
                <w:rFonts w:hint="eastAsia" w:hAnsi="方正黑体_GBK" w:cs="方正黑体_GBK"/>
                <w:sz w:val="18"/>
                <w:szCs w:val="18"/>
                <w:lang w:val="en-US" w:eastAsia="zh-CN"/>
              </w:rPr>
              <w:t>1</w:t>
            </w:r>
            <w:r>
              <w:rPr>
                <w:rFonts w:hint="eastAsia" w:ascii="方正黑体_GBK" w:hAnsi="方正黑体_GBK" w:eastAsia="方正黑体_GBK" w:cs="方正黑体_GBK"/>
                <w:sz w:val="18"/>
                <w:szCs w:val="18"/>
              </w:rPr>
              <w:t>5%-</w:t>
            </w:r>
            <w:r>
              <w:rPr>
                <w:rFonts w:hint="eastAsia" w:hAnsi="方正黑体_GBK" w:cs="方正黑体_GBK"/>
                <w:sz w:val="18"/>
                <w:szCs w:val="18"/>
                <w:lang w:val="en-US" w:eastAsia="zh-CN"/>
              </w:rPr>
              <w:t>2.7</w:t>
            </w:r>
            <w:r>
              <w:rPr>
                <w:rFonts w:hint="eastAsia" w:ascii="方正黑体_GBK" w:hAnsi="方正黑体_GBK" w:eastAsia="方正黑体_GBK" w:cs="方正黑体_GBK"/>
                <w:sz w:val="18"/>
                <w:szCs w:val="18"/>
              </w:rPr>
              <w:t>% 。</w:t>
            </w:r>
          </w:p>
          <w:p w14:paraId="6F695F35">
            <w:pPr>
              <w:spacing w:line="200" w:lineRule="exact"/>
              <w:rPr>
                <w:rFonts w:hint="eastAsia" w:hAnsi="方正黑体_GBK" w:cs="方正黑体_GBK"/>
              </w:rPr>
            </w:pPr>
            <w:r>
              <w:rPr>
                <w:rFonts w:hint="eastAsia" w:ascii="方正黑体_GBK" w:hAnsi="方正黑体_GBK" w:eastAsia="方正黑体_GBK" w:cs="方正黑体_GBK"/>
                <w:sz w:val="18"/>
                <w:szCs w:val="18"/>
              </w:rPr>
              <w:t>B份额：业绩比较基准为年化2.</w:t>
            </w:r>
            <w:r>
              <w:rPr>
                <w:rFonts w:hint="eastAsia" w:hAnsi="方正黑体_GBK" w:cs="方正黑体_GBK"/>
                <w:sz w:val="18"/>
                <w:szCs w:val="18"/>
                <w:lang w:val="en-US" w:eastAsia="zh-CN"/>
              </w:rPr>
              <w:t>1</w:t>
            </w:r>
            <w:r>
              <w:rPr>
                <w:rFonts w:hint="eastAsia" w:ascii="方正黑体_GBK" w:hAnsi="方正黑体_GBK" w:eastAsia="方正黑体_GBK" w:cs="方正黑体_GBK"/>
                <w:sz w:val="18"/>
                <w:szCs w:val="18"/>
              </w:rPr>
              <w:t>5%-</w:t>
            </w:r>
            <w:r>
              <w:rPr>
                <w:rFonts w:hint="eastAsia" w:hAnsi="方正黑体_GBK" w:cs="方正黑体_GBK"/>
                <w:sz w:val="18"/>
                <w:szCs w:val="18"/>
                <w:lang w:val="en-US" w:eastAsia="zh-CN"/>
              </w:rPr>
              <w:t>2.7</w:t>
            </w:r>
            <w:r>
              <w:rPr>
                <w:rFonts w:hint="eastAsia" w:ascii="方正黑体_GBK" w:hAnsi="方正黑体_GBK" w:eastAsia="方正黑体_GBK" w:cs="方正黑体_GBK"/>
                <w:sz w:val="18"/>
                <w:szCs w:val="18"/>
              </w:rPr>
              <w:t>% 。</w:t>
            </w:r>
          </w:p>
          <w:p w14:paraId="5FB59FB0">
            <w:pPr>
              <w:spacing w:line="200" w:lineRule="exact"/>
              <w:rPr>
                <w:rFonts w:hint="eastAsia" w:hAnsi="方正黑体_GBK" w:cs="方正黑体_GBK"/>
              </w:rPr>
            </w:pPr>
            <w:r>
              <w:rPr>
                <w:rFonts w:hint="eastAsia" w:ascii="方正黑体_GBK" w:hAnsi="方正黑体_GBK" w:eastAsia="方正黑体_GBK" w:cs="方正黑体_GBK"/>
                <w:sz w:val="18"/>
                <w:szCs w:val="18"/>
              </w:rPr>
              <w:t>C份额：业绩比较基准为年化2.</w:t>
            </w:r>
            <w:r>
              <w:rPr>
                <w:rFonts w:hint="eastAsia" w:hAnsi="方正黑体_GBK" w:cs="方正黑体_GBK"/>
                <w:sz w:val="18"/>
                <w:szCs w:val="18"/>
                <w:lang w:val="en-US" w:eastAsia="zh-CN"/>
              </w:rPr>
              <w:t>1</w:t>
            </w:r>
            <w:r>
              <w:rPr>
                <w:rFonts w:hint="eastAsia" w:ascii="方正黑体_GBK" w:hAnsi="方正黑体_GBK" w:eastAsia="方正黑体_GBK" w:cs="方正黑体_GBK"/>
                <w:sz w:val="18"/>
                <w:szCs w:val="18"/>
              </w:rPr>
              <w:t>5%-</w:t>
            </w:r>
            <w:r>
              <w:rPr>
                <w:rFonts w:hint="eastAsia" w:hAnsi="方正黑体_GBK" w:cs="方正黑体_GBK"/>
                <w:sz w:val="18"/>
                <w:szCs w:val="18"/>
                <w:lang w:val="en-US" w:eastAsia="zh-CN"/>
              </w:rPr>
              <w:t>2.7</w:t>
            </w:r>
            <w:r>
              <w:rPr>
                <w:rFonts w:hint="eastAsia" w:ascii="方正黑体_GBK" w:hAnsi="方正黑体_GBK" w:eastAsia="方正黑体_GBK" w:cs="方正黑体_GBK"/>
                <w:sz w:val="18"/>
                <w:szCs w:val="18"/>
              </w:rPr>
              <w:t>% 。</w:t>
            </w:r>
          </w:p>
          <w:p w14:paraId="75B1C7F8">
            <w:pPr>
              <w:spacing w:line="200" w:lineRule="exact"/>
              <w:rPr>
                <w:rFonts w:hint="eastAsia" w:hAnsi="方正黑体_GBK" w:cs="方正黑体_GBK"/>
              </w:rPr>
            </w:pPr>
            <w:r>
              <w:rPr>
                <w:rFonts w:hint="eastAsia" w:ascii="方正黑体_GBK" w:hAnsi="方正黑体_GBK" w:eastAsia="方正黑体_GBK" w:cs="方正黑体_GBK"/>
                <w:sz w:val="18"/>
                <w:szCs w:val="18"/>
              </w:rPr>
              <w:t>D份额：业绩比较基准为年化2.</w:t>
            </w:r>
            <w:r>
              <w:rPr>
                <w:rFonts w:hint="eastAsia" w:hAnsi="方正黑体_GBK" w:cs="方正黑体_GBK"/>
                <w:sz w:val="18"/>
                <w:szCs w:val="18"/>
                <w:lang w:val="en-US" w:eastAsia="zh-CN"/>
              </w:rPr>
              <w:t>1</w:t>
            </w:r>
            <w:r>
              <w:rPr>
                <w:rFonts w:hint="eastAsia" w:ascii="方正黑体_GBK" w:hAnsi="方正黑体_GBK" w:eastAsia="方正黑体_GBK" w:cs="方正黑体_GBK"/>
                <w:sz w:val="18"/>
                <w:szCs w:val="18"/>
              </w:rPr>
              <w:t>5%-</w:t>
            </w:r>
            <w:r>
              <w:rPr>
                <w:rFonts w:hint="eastAsia" w:hAnsi="方正黑体_GBK" w:cs="方正黑体_GBK"/>
                <w:sz w:val="18"/>
                <w:szCs w:val="18"/>
                <w:lang w:val="en-US" w:eastAsia="zh-CN"/>
              </w:rPr>
              <w:t>2.7</w:t>
            </w:r>
            <w:r>
              <w:rPr>
                <w:rFonts w:hint="eastAsia" w:ascii="方正黑体_GBK" w:hAnsi="方正黑体_GBK" w:eastAsia="方正黑体_GBK" w:cs="方正黑体_GBK"/>
                <w:sz w:val="18"/>
                <w:szCs w:val="18"/>
              </w:rPr>
              <w:t>% 。</w:t>
            </w:r>
          </w:p>
          <w:p w14:paraId="64D3AF54">
            <w:pPr>
              <w:spacing w:line="200" w:lineRule="exact"/>
              <w:jc w:val="left"/>
              <w:rPr>
                <w:rFonts w:hint="eastAsia" w:ascii="方正黑体_GBK" w:hAnsi="方正黑体_GBK" w:eastAsia="方正黑体_GBK" w:cs="方正黑体_GBK"/>
                <w:sz w:val="18"/>
                <w:szCs w:val="18"/>
              </w:rPr>
            </w:pPr>
            <w:r>
              <w:rPr>
                <w:rFonts w:hint="eastAsia" w:ascii="宋体" w:hAnsi="宋体" w:cs="宋体"/>
                <w:kern w:val="0"/>
                <w:sz w:val="18"/>
                <w:szCs w:val="18"/>
              </w:rPr>
              <w:t>本理财产品业绩比较基准是管理人基于过往投资经验、对产品存续期拟投资标的和相应投资市场波动的预判设定的投资目标。本理财产品投资于固定收益类资产的比例不低于</w:t>
            </w:r>
            <w:r>
              <w:rPr>
                <w:rFonts w:ascii="宋体" w:hAnsi="宋体" w:cs="宋体"/>
                <w:kern w:val="0"/>
                <w:sz w:val="18"/>
                <w:szCs w:val="18"/>
              </w:rPr>
              <w:t>80</w:t>
            </w:r>
            <w:r>
              <w:rPr>
                <w:rFonts w:hint="eastAsia" w:ascii="宋体" w:hAnsi="宋体" w:cs="宋体"/>
                <w:kern w:val="0"/>
                <w:sz w:val="18"/>
                <w:szCs w:val="18"/>
              </w:rPr>
              <w:t>%。结合债券市场的收益和波动水平预判，在本理财产品约定的投资策略基础上，管理人设定了本理财产品投资周期内的业绩比较基准。</w:t>
            </w:r>
          </w:p>
          <w:p w14:paraId="6767A258">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注：管理人可根据市场情况对业绩比较基准进行适当调整，如有调整，将至少于调整前3个工作日公布调整方案。</w:t>
            </w:r>
          </w:p>
          <w:p w14:paraId="5479311A">
            <w:pPr>
              <w:spacing w:line="200" w:lineRule="exact"/>
              <w:rPr>
                <w:rFonts w:hint="eastAsia" w:hAnsi="方正黑体_GBK" w:cs="方正黑体_GBK"/>
              </w:rPr>
            </w:pPr>
            <w:r>
              <w:rPr>
                <w:rFonts w:hint="eastAsia" w:ascii="方正黑体_GBK" w:hAnsi="方正黑体_GBK" w:eastAsia="方正黑体_GBK" w:cs="方正黑体_GBK"/>
                <w:b/>
                <w:sz w:val="18"/>
                <w:szCs w:val="18"/>
              </w:rPr>
              <w:t>本理财产品为净值型理财产品，业绩比较基准不是预期收益率，不代表产品的未来表现和实际收益，不构成对产品收益的承诺。</w:t>
            </w:r>
          </w:p>
        </w:tc>
      </w:tr>
      <w:tr w14:paraId="19146AA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07E193A2">
            <w:pPr>
              <w:keepNext w:val="0"/>
              <w:keepLines w:val="0"/>
              <w:pageBreakBefore w:val="0"/>
              <w:widowControl/>
              <w:suppressLineNumbers w:val="0"/>
              <w:suppressAutoHyphens w:val="0"/>
              <w:spacing w:line="200" w:lineRule="exact"/>
              <w:jc w:val="left"/>
              <w:rPr>
                <w:rFonts w:hint="eastAsia" w:ascii="方正黑体_GBK" w:hAnsi="方正黑体_GBK" w:eastAsia="方正黑体_GBK" w:cs="方正黑体_GBK"/>
                <w:bCs/>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产品费用</w:t>
            </w:r>
          </w:p>
        </w:tc>
        <w:tc>
          <w:tcPr>
            <w:tcW w:w="8354" w:type="dxa"/>
            <w:tcBorders>
              <w:top w:val="single" w:color="auto" w:sz="4" w:space="0"/>
              <w:left w:val="nil"/>
              <w:bottom w:val="single" w:color="auto" w:sz="4" w:space="0"/>
              <w:right w:val="single" w:color="auto" w:sz="4" w:space="0"/>
              <w:tl2br w:val="nil"/>
              <w:tr2bl w:val="nil"/>
            </w:tcBorders>
            <w:vAlign w:val="center"/>
          </w:tcPr>
          <w:p w14:paraId="5A393A6F">
            <w:pPr>
              <w:spacing w:line="200" w:lineRule="exact"/>
              <w:rPr>
                <w:rFonts w:hint="eastAsia" w:hAnsi="方正黑体_GBK" w:cs="方正黑体_GBK"/>
              </w:rPr>
            </w:pPr>
            <w:r>
              <w:rPr>
                <w:rFonts w:hint="eastAsia" w:ascii="方正黑体_GBK" w:hAnsi="方正黑体_GBK" w:eastAsia="方正黑体_GBK" w:cs="方正黑体_GBK"/>
                <w:b/>
                <w:sz w:val="18"/>
                <w:szCs w:val="18"/>
              </w:rPr>
              <w:t>认/申购费：本理财产品暂不收取认/申购费。</w:t>
            </w:r>
          </w:p>
          <w:p w14:paraId="46874996">
            <w:pPr>
              <w:spacing w:line="200" w:lineRule="exact"/>
              <w:rPr>
                <w:rFonts w:hint="eastAsia" w:hAnsi="方正黑体_GBK" w:cs="方正黑体_GBK"/>
              </w:rPr>
            </w:pPr>
            <w:r>
              <w:rPr>
                <w:rFonts w:hint="eastAsia" w:ascii="方正黑体_GBK" w:hAnsi="方正黑体_GBK" w:eastAsia="方正黑体_GBK" w:cs="方正黑体_GBK"/>
                <w:b/>
                <w:sz w:val="18"/>
                <w:szCs w:val="18"/>
              </w:rPr>
              <w:t>赎回费：本理财产品暂不收取赎回费。</w:t>
            </w:r>
          </w:p>
          <w:p w14:paraId="78BDF0A8">
            <w:pPr>
              <w:spacing w:line="200" w:lineRule="exact"/>
              <w:rPr>
                <w:rFonts w:hint="eastAsia" w:hAnsi="方正黑体_GBK" w:cs="方正黑体_GBK"/>
              </w:rPr>
            </w:pPr>
            <w:r>
              <w:rPr>
                <w:rFonts w:hint="eastAsia" w:ascii="方正黑体_GBK" w:hAnsi="方正黑体_GBK" w:eastAsia="方正黑体_GBK" w:cs="方正黑体_GBK"/>
                <w:b/>
                <w:sz w:val="18"/>
                <w:szCs w:val="18"/>
              </w:rPr>
              <w:t>销售费：本理财产品按前一日理财产品资产净值收取销售费，按日计提。</w:t>
            </w:r>
          </w:p>
          <w:p w14:paraId="0D71AC3C">
            <w:pPr>
              <w:spacing w:line="200" w:lineRule="exact"/>
              <w:rPr>
                <w:rFonts w:hint="eastAsia" w:hAnsi="方正黑体_GBK" w:cs="方正黑体_GBK"/>
              </w:rPr>
            </w:pPr>
            <w:r>
              <w:rPr>
                <w:rFonts w:hint="eastAsia" w:ascii="方正黑体_GBK" w:hAnsi="方正黑体_GBK" w:eastAsia="方正黑体_GBK" w:cs="方正黑体_GBK"/>
                <w:b/>
                <w:sz w:val="18"/>
                <w:szCs w:val="18"/>
              </w:rPr>
              <w:t>A份额：销售费年化0.2%</w:t>
            </w:r>
          </w:p>
          <w:p w14:paraId="599CCC78">
            <w:pPr>
              <w:spacing w:line="200" w:lineRule="exact"/>
              <w:rPr>
                <w:rFonts w:hint="eastAsia" w:hAnsi="方正黑体_GBK" w:cs="方正黑体_GBK"/>
              </w:rPr>
            </w:pPr>
            <w:r>
              <w:rPr>
                <w:rFonts w:hint="eastAsia" w:ascii="方正黑体_GBK" w:hAnsi="方正黑体_GBK" w:eastAsia="方正黑体_GBK" w:cs="方正黑体_GBK"/>
                <w:b/>
                <w:sz w:val="18"/>
                <w:szCs w:val="18"/>
              </w:rPr>
              <w:t>B份额：销售费年化0.2%</w:t>
            </w:r>
          </w:p>
          <w:p w14:paraId="6AD36DCA">
            <w:pPr>
              <w:spacing w:line="200" w:lineRule="exact"/>
              <w:rPr>
                <w:rFonts w:hint="eastAsia" w:hAnsi="方正黑体_GBK" w:cs="方正黑体_GBK"/>
              </w:rPr>
            </w:pPr>
            <w:r>
              <w:rPr>
                <w:rFonts w:hint="eastAsia" w:ascii="方正黑体_GBK" w:hAnsi="方正黑体_GBK" w:eastAsia="方正黑体_GBK" w:cs="方正黑体_GBK"/>
                <w:b/>
                <w:sz w:val="18"/>
                <w:szCs w:val="18"/>
              </w:rPr>
              <w:t>C份额：销售费年化0.4%</w:t>
            </w:r>
          </w:p>
          <w:p w14:paraId="138B31F6">
            <w:pPr>
              <w:spacing w:line="200" w:lineRule="exact"/>
              <w:rPr>
                <w:rFonts w:hint="eastAsia" w:hAnsi="方正黑体_GBK" w:cs="方正黑体_GBK"/>
              </w:rPr>
            </w:pPr>
            <w:r>
              <w:rPr>
                <w:rFonts w:hint="eastAsia" w:ascii="方正黑体_GBK" w:hAnsi="方正黑体_GBK" w:eastAsia="方正黑体_GBK" w:cs="方正黑体_GBK"/>
                <w:b/>
                <w:sz w:val="18"/>
                <w:szCs w:val="18"/>
              </w:rPr>
              <w:t>D份额：销售费年化0.2%</w:t>
            </w:r>
          </w:p>
          <w:p w14:paraId="28F55D53">
            <w:pPr>
              <w:spacing w:line="200" w:lineRule="exact"/>
              <w:rPr>
                <w:rFonts w:hint="eastAsia" w:hAnsi="方正黑体_GBK" w:cs="方正黑体_GBK"/>
              </w:rPr>
            </w:pPr>
            <w:r>
              <w:rPr>
                <w:rFonts w:hint="eastAsia" w:ascii="方正黑体_GBK" w:hAnsi="方正黑体_GBK" w:eastAsia="方正黑体_GBK" w:cs="方正黑体_GBK"/>
                <w:b/>
                <w:sz w:val="18"/>
                <w:szCs w:val="18"/>
              </w:rPr>
              <w:t>每日计提的销售费=前一日理财产品资产净值×年化销售费率÷365</w:t>
            </w:r>
          </w:p>
          <w:p w14:paraId="6E698B9C">
            <w:pPr>
              <w:spacing w:line="200" w:lineRule="exact"/>
              <w:rPr>
                <w:rFonts w:hint="eastAsia" w:hAnsi="方正黑体_GBK" w:cs="方正黑体_GBK"/>
              </w:rPr>
            </w:pPr>
            <w:r>
              <w:rPr>
                <w:rFonts w:hint="eastAsia" w:ascii="方正黑体_GBK" w:hAnsi="方正黑体_GBK" w:eastAsia="方正黑体_GBK" w:cs="方正黑体_GBK"/>
                <w:b/>
                <w:sz w:val="18"/>
                <w:szCs w:val="18"/>
              </w:rPr>
              <w:t>固定管理费：本理财产品按前一日理财产品资产净值收取固定管理费，按日计提。</w:t>
            </w:r>
          </w:p>
          <w:p w14:paraId="6F5339C3">
            <w:pPr>
              <w:spacing w:line="200" w:lineRule="exact"/>
              <w:rPr>
                <w:rFonts w:hint="eastAsia" w:hAnsi="方正黑体_GBK" w:cs="方正黑体_GBK"/>
              </w:rPr>
            </w:pPr>
            <w:r>
              <w:rPr>
                <w:rFonts w:hint="eastAsia" w:ascii="方正黑体_GBK" w:hAnsi="方正黑体_GBK" w:eastAsia="方正黑体_GBK" w:cs="方正黑体_GBK"/>
                <w:b/>
                <w:sz w:val="18"/>
                <w:szCs w:val="18"/>
              </w:rPr>
              <w:t>A份额：固定管理费年化0.4%</w:t>
            </w:r>
          </w:p>
          <w:p w14:paraId="697BF999">
            <w:pPr>
              <w:spacing w:line="200" w:lineRule="exact"/>
              <w:rPr>
                <w:rFonts w:hint="eastAsia" w:hAnsi="方正黑体_GBK" w:cs="方正黑体_GBK"/>
              </w:rPr>
            </w:pPr>
            <w:r>
              <w:rPr>
                <w:rFonts w:hint="eastAsia" w:ascii="方正黑体_GBK" w:hAnsi="方正黑体_GBK" w:eastAsia="方正黑体_GBK" w:cs="方正黑体_GBK"/>
                <w:b/>
                <w:sz w:val="18"/>
                <w:szCs w:val="18"/>
              </w:rPr>
              <w:t>B份额：固定管理费年化0.4%</w:t>
            </w:r>
          </w:p>
          <w:p w14:paraId="1CA0E26C">
            <w:pPr>
              <w:spacing w:line="200" w:lineRule="exact"/>
              <w:rPr>
                <w:rFonts w:hint="eastAsia" w:hAnsi="方正黑体_GBK" w:cs="方正黑体_GBK"/>
              </w:rPr>
            </w:pPr>
            <w:r>
              <w:rPr>
                <w:rFonts w:hint="eastAsia" w:ascii="方正黑体_GBK" w:hAnsi="方正黑体_GBK" w:eastAsia="方正黑体_GBK" w:cs="方正黑体_GBK"/>
                <w:b/>
                <w:sz w:val="18"/>
                <w:szCs w:val="18"/>
              </w:rPr>
              <w:t>C份额：固定管理费年化0.4%</w:t>
            </w:r>
          </w:p>
          <w:p w14:paraId="22F5949F">
            <w:pPr>
              <w:spacing w:line="200" w:lineRule="exact"/>
              <w:rPr>
                <w:rFonts w:hint="eastAsia" w:hAnsi="方正黑体_GBK" w:cs="方正黑体_GBK"/>
              </w:rPr>
            </w:pPr>
            <w:r>
              <w:rPr>
                <w:rFonts w:hint="eastAsia" w:ascii="方正黑体_GBK" w:hAnsi="方正黑体_GBK" w:eastAsia="方正黑体_GBK" w:cs="方正黑体_GBK"/>
                <w:b/>
                <w:sz w:val="18"/>
                <w:szCs w:val="18"/>
              </w:rPr>
              <w:t>D份额：固定管理费年化0.5%</w:t>
            </w:r>
          </w:p>
          <w:p w14:paraId="170B337E">
            <w:pPr>
              <w:spacing w:line="200" w:lineRule="exact"/>
              <w:rPr>
                <w:rFonts w:hint="eastAsia" w:hAnsi="方正黑体_GBK" w:cs="方正黑体_GBK"/>
              </w:rPr>
            </w:pPr>
            <w:r>
              <w:rPr>
                <w:rFonts w:hint="eastAsia" w:ascii="方正黑体_GBK" w:hAnsi="方正黑体_GBK" w:eastAsia="方正黑体_GBK" w:cs="方正黑体_GBK"/>
                <w:b/>
                <w:sz w:val="18"/>
                <w:szCs w:val="18"/>
              </w:rPr>
              <w:t>每日计提的固定管理费=前一日理财产品资产净值×年化固定管理费率÷365</w:t>
            </w:r>
          </w:p>
          <w:p w14:paraId="7A4E6FEB">
            <w:pPr>
              <w:spacing w:line="200" w:lineRule="exact"/>
              <w:rPr>
                <w:rFonts w:hint="eastAsia" w:hAnsi="方正黑体_GBK" w:cs="方正黑体_GBK"/>
              </w:rPr>
            </w:pPr>
            <w:r>
              <w:rPr>
                <w:rFonts w:hint="eastAsia" w:ascii="方正黑体_GBK" w:hAnsi="方正黑体_GBK" w:eastAsia="方正黑体_GBK" w:cs="方正黑体_GBK"/>
                <w:b/>
                <w:sz w:val="18"/>
                <w:szCs w:val="18"/>
              </w:rPr>
              <w:t>托管费：本理财产品按前一日理财产品资产净值收取年化0.02%的托管费，按日计提。</w:t>
            </w:r>
          </w:p>
          <w:p w14:paraId="61129527">
            <w:pPr>
              <w:spacing w:line="200" w:lineRule="exact"/>
              <w:rPr>
                <w:rFonts w:hint="eastAsia" w:hAnsi="方正黑体_GBK" w:cs="方正黑体_GBK"/>
              </w:rPr>
            </w:pPr>
            <w:r>
              <w:rPr>
                <w:rFonts w:hint="eastAsia" w:ascii="方正黑体_GBK" w:hAnsi="方正黑体_GBK" w:eastAsia="方正黑体_GBK" w:cs="方正黑体_GBK"/>
                <w:b/>
                <w:sz w:val="18"/>
                <w:szCs w:val="18"/>
              </w:rPr>
              <w:t>每日计提的托管费=前一日理财产品资产净值×年化托管费率÷365</w:t>
            </w:r>
          </w:p>
          <w:p w14:paraId="67A11196">
            <w:pPr>
              <w:spacing w:line="200" w:lineRule="exact"/>
              <w:rPr>
                <w:rFonts w:hint="eastAsia" w:hAnsi="方正黑体_GBK" w:cs="方正黑体_GBK"/>
              </w:rPr>
            </w:pPr>
            <w:r>
              <w:rPr>
                <w:rFonts w:hint="eastAsia" w:ascii="方正黑体_GBK" w:hAnsi="方正黑体_GBK" w:eastAsia="方正黑体_GBK" w:cs="方正黑体_GBK"/>
                <w:b/>
                <w:sz w:val="18"/>
                <w:szCs w:val="18"/>
              </w:rPr>
              <w:t>业绩报酬：本理财产品暂不收取业绩报酬。</w:t>
            </w:r>
          </w:p>
          <w:p w14:paraId="4C574936">
            <w:pPr>
              <w:spacing w:line="200" w:lineRule="exact"/>
              <w:rPr>
                <w:rFonts w:hint="eastAsia" w:hAnsi="方正黑体_GBK" w:cs="方正黑体_GBK"/>
              </w:rPr>
            </w:pPr>
            <w:r>
              <w:rPr>
                <w:rFonts w:hint="eastAsia" w:ascii="方正黑体_GBK" w:hAnsi="方正黑体_GBK" w:eastAsia="方正黑体_GBK" w:cs="方正黑体_GBK"/>
                <w:b/>
                <w:sz w:val="18"/>
                <w:szCs w:val="18"/>
              </w:rPr>
              <w:t>注：投资者份额持有期间年化收益率=（赎回确认日产品累计净值或实际到期日前一产品开放日产品累计净值-申购确认日产品累计净值）÷申购确认日产品单位净值÷投资者份额实际持有天数×365天。投资者份额实际持有天数为份额运作起始日（含）至份额运作终止日（不含）之间的天数。</w:t>
            </w:r>
          </w:p>
          <w:p w14:paraId="22DCA5B8">
            <w:pPr>
              <w:spacing w:line="200" w:lineRule="exact"/>
              <w:rPr>
                <w:rFonts w:hint="eastAsia" w:hAnsi="方正黑体_GBK" w:cs="方正黑体_GBK"/>
              </w:rPr>
            </w:pPr>
            <w:r>
              <w:rPr>
                <w:rFonts w:hint="eastAsia" w:ascii="方正黑体_GBK" w:hAnsi="方正黑体_GBK" w:eastAsia="方正黑体_GBK" w:cs="方正黑体_GBK"/>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14:paraId="57287DB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041DD64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风险事件说明</w:t>
            </w:r>
          </w:p>
        </w:tc>
        <w:tc>
          <w:tcPr>
            <w:tcW w:w="8354" w:type="dxa"/>
            <w:tcBorders>
              <w:top w:val="single" w:color="auto" w:sz="4" w:space="0"/>
              <w:left w:val="nil"/>
              <w:bottom w:val="single" w:color="auto" w:sz="4" w:space="0"/>
              <w:right w:val="single" w:color="auto" w:sz="4" w:space="0"/>
              <w:tl2br w:val="nil"/>
              <w:tr2bl w:val="nil"/>
            </w:tcBorders>
            <w:vAlign w:val="center"/>
          </w:tcPr>
          <w:p w14:paraId="76C74078">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具体参见本理财产品风险揭示书。</w:t>
            </w:r>
          </w:p>
          <w:p w14:paraId="5BC838B3">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58789DE7">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一是建仓或进行组合调整时，若投资资产包括债券或基金，可能由于特定债券或基金的流动性相对不足而无法按预期的价格买进（申购）或卖出（赎回）；</w:t>
            </w:r>
          </w:p>
          <w:p w14:paraId="26F651E2">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二是为应对投资者的赎回，被迫以不适当的价格卖出债券或赎回基金；</w:t>
            </w:r>
          </w:p>
          <w:p w14:paraId="470B632D">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三是若投资资产包括非标准化债权类资产，可能由于资产缺少流动性而难以变现。 以上情形均可能使产品净值受到不利影响。</w:t>
            </w:r>
          </w:p>
        </w:tc>
      </w:tr>
      <w:tr w14:paraId="6D69E5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4B533AB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理财产品管理人及管理人职责</w:t>
            </w:r>
          </w:p>
        </w:tc>
        <w:tc>
          <w:tcPr>
            <w:tcW w:w="8354" w:type="dxa"/>
            <w:tcBorders>
              <w:top w:val="single" w:color="auto" w:sz="4" w:space="0"/>
              <w:left w:val="nil"/>
              <w:bottom w:val="single" w:color="auto" w:sz="4" w:space="0"/>
              <w:right w:val="single" w:color="auto" w:sz="4" w:space="0"/>
              <w:tl2br w:val="nil"/>
              <w:tr2bl w:val="nil"/>
            </w:tcBorders>
            <w:vAlign w:val="center"/>
          </w:tcPr>
          <w:p w14:paraId="476335B2">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65CA9807">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1.按照法律法规、监管规定及理财产品销售文件的约定，发行并管理理财产品；</w:t>
            </w:r>
          </w:p>
          <w:p w14:paraId="3A01E2A6">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2.根据理财产品的投资组合、同类产品过往业绩和风险状况等因素，对理财产品进行评级；</w:t>
            </w:r>
          </w:p>
          <w:p w14:paraId="5D8DDC5F">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3.按照法律法规、监管规定及与投资者约定的信息披露渠道及时披露理财产品相关信息；</w:t>
            </w:r>
          </w:p>
          <w:p w14:paraId="26B8EF88">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4.按照理财产品销售文件约定的投资范围和权限，负责理财产品资金的运用和管理，向投资者进行收益分配；</w:t>
            </w:r>
          </w:p>
          <w:p w14:paraId="240608DE">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5.审慎选择理财产品销售机构，切实履行对销售机构的管理责任；</w:t>
            </w:r>
          </w:p>
          <w:p w14:paraId="2DA22694">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6.根据法律法规、监管规定建立健全投资者权益保护管理体系；</w:t>
            </w:r>
          </w:p>
          <w:p w14:paraId="17F4D644">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7.国务院银行业监督管理机构规定及本理财产品销售文件中约定的其他职责。</w:t>
            </w:r>
          </w:p>
        </w:tc>
      </w:tr>
      <w:tr w14:paraId="2748F26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02CB39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销售机构及销售机构职责</w:t>
            </w:r>
          </w:p>
        </w:tc>
        <w:tc>
          <w:tcPr>
            <w:tcW w:w="8354" w:type="dxa"/>
            <w:tcBorders>
              <w:top w:val="single" w:color="auto" w:sz="4" w:space="0"/>
              <w:left w:val="nil"/>
              <w:bottom w:val="single" w:color="auto" w:sz="4" w:space="0"/>
              <w:right w:val="single" w:color="auto" w:sz="4" w:space="0"/>
              <w:tl2br w:val="nil"/>
              <w:tr2bl w:val="nil"/>
            </w:tcBorders>
            <w:vAlign w:val="center"/>
          </w:tcPr>
          <w:p w14:paraId="73A1F19E">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本理财产品销售机构为南银理财有限责任公司、南京银行股份有限公司、江苏太仓农村商业银行股份有限公司、杭州银行股份有限公司、齐鲁银行股份有限公司、云南红塔银行股份有限公司、青海银行股份有限公司、九江银行股份有限公司、江苏紫金农村商业银行股份有限公司、日照银行股份有限公司、无锡农村商业银行股份有限公司、江苏丹阳农村商业银行股份有限公司、江苏南通农村商业银行股份有限公司、江苏扬州农村商业银行股份有限公司、浙江网商银行股份有限公司、江苏丰县农村商业银行股份有限公司、烟台银行股份有限公司、江苏高邮农村商业银行股份有限公司、乌鲁木齐银行股份有限公司、河北银行股份有限公司、郑州银行股份有限公司、江苏如东农村商业银行股份有限公司。管理人有权调整本理财产品的销售机构并进行信息披露。</w:t>
            </w:r>
          </w:p>
          <w:p w14:paraId="02E975A4">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销售机构主要职责如下：</w:t>
            </w:r>
          </w:p>
          <w:p w14:paraId="494FFE12">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1.按照法律法规、监管规定及理财产品销售文件的约定，开展理财产品销售活动，向投资者充分披露信息和揭示风险；</w:t>
            </w:r>
          </w:p>
          <w:p w14:paraId="7D3D8686">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2.对非机构投资者的风险承受能力进行评估，确保投资者风险承受能力评估的客观性、及时性和有效性；</w:t>
            </w:r>
          </w:p>
          <w:p w14:paraId="545486F0">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3.妥善保管投资者理财产品销售相关资料，保管年限不低于20年；</w:t>
            </w:r>
          </w:p>
          <w:p w14:paraId="7FEB5B79">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4.根据反洗钱、反恐怖融资及非居民金融账户涉税信息尽职调查等相关法律法规要求识别客户身份；</w:t>
            </w:r>
          </w:p>
          <w:p w14:paraId="3E506CAB">
            <w:pPr>
              <w:spacing w:line="200" w:lineRule="exact"/>
              <w:jc w:val="left"/>
              <w:rPr>
                <w:rFonts w:hint="eastAsia" w:hAnsi="方正黑体_GBK" w:cs="方正黑体_GBK"/>
              </w:rPr>
            </w:pPr>
            <w:r>
              <w:rPr>
                <w:rFonts w:hint="eastAsia" w:ascii="方正黑体_GBK" w:hAnsi="方正黑体_GBK" w:eastAsia="方正黑体_GBK" w:cs="方正黑体_GBK"/>
                <w:sz w:val="18"/>
                <w:szCs w:val="18"/>
              </w:rPr>
              <w:t>5.建立健全投资者权益保护管理体系，加强投资者适当性管理；</w:t>
            </w:r>
          </w:p>
          <w:p w14:paraId="3BC71FDA">
            <w:pPr>
              <w:spacing w:line="200" w:lineRule="exact"/>
              <w:rPr>
                <w:rFonts w:hint="eastAsia" w:hAnsi="方正黑体_GBK" w:cs="方正黑体_GBK"/>
              </w:rPr>
            </w:pPr>
            <w:r>
              <w:rPr>
                <w:rFonts w:hint="eastAsia" w:ascii="方正黑体_GBK" w:hAnsi="方正黑体_GBK" w:eastAsia="方正黑体_GBK" w:cs="方正黑体_GBK"/>
                <w:sz w:val="18"/>
                <w:szCs w:val="18"/>
              </w:rPr>
              <w:t>6.国务院银行业监督管理机构规定及本理财产品管理人与销售机构约定的其他职责。</w:t>
            </w:r>
          </w:p>
        </w:tc>
      </w:tr>
      <w:tr w14:paraId="7B39CE0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72DFC0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托管人及托管人职责</w:t>
            </w:r>
          </w:p>
        </w:tc>
        <w:tc>
          <w:tcPr>
            <w:tcW w:w="8354" w:type="dxa"/>
            <w:tcBorders>
              <w:top w:val="single" w:color="auto" w:sz="4" w:space="0"/>
              <w:left w:val="nil"/>
              <w:bottom w:val="single" w:color="auto" w:sz="4" w:space="0"/>
              <w:right w:val="single" w:color="auto" w:sz="4" w:space="0"/>
              <w:tl2br w:val="nil"/>
              <w:tr2bl w:val="nil"/>
            </w:tcBorders>
            <w:vAlign w:val="center"/>
          </w:tcPr>
          <w:p w14:paraId="26635099">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本理财产品托管人为南京银行股份有限公司，主要职责如下：</w:t>
            </w:r>
          </w:p>
          <w:p w14:paraId="5EB286E2">
            <w:pPr>
              <w:spacing w:line="200" w:lineRule="exact"/>
              <w:rPr>
                <w:rFonts w:hint="eastAsia" w:hAnsi="方正黑体_GBK" w:cs="方正黑体_GBK"/>
              </w:rPr>
            </w:pPr>
            <w:r>
              <w:rPr>
                <w:rFonts w:hint="eastAsia" w:ascii="方正黑体_GBK" w:hAnsi="方正黑体_GBK" w:eastAsia="方正黑体_GBK" w:cs="方正黑体_GBK"/>
                <w:sz w:val="18"/>
                <w:szCs w:val="18"/>
              </w:rPr>
              <w:t>1.安全保管理财产品财产；</w:t>
            </w:r>
          </w:p>
          <w:p w14:paraId="78B6A686">
            <w:pPr>
              <w:spacing w:line="200" w:lineRule="exact"/>
              <w:rPr>
                <w:rFonts w:hint="eastAsia" w:hAnsi="方正黑体_GBK" w:cs="方正黑体_GBK"/>
              </w:rPr>
            </w:pPr>
            <w:r>
              <w:rPr>
                <w:rFonts w:hint="eastAsia" w:ascii="方正黑体_GBK" w:hAnsi="方正黑体_GBK" w:eastAsia="方正黑体_GBK" w:cs="方正黑体_GBK"/>
                <w:sz w:val="18"/>
                <w:szCs w:val="18"/>
              </w:rPr>
              <w:t>2.为每只理财产品开设独立的托管账户，不同托管账户中的资产应当相互独立；</w:t>
            </w:r>
          </w:p>
          <w:p w14:paraId="4078CD6C">
            <w:pPr>
              <w:spacing w:line="200" w:lineRule="exact"/>
              <w:rPr>
                <w:rFonts w:hint="eastAsia" w:hAnsi="方正黑体_GBK" w:cs="方正黑体_GBK"/>
              </w:rPr>
            </w:pPr>
            <w:r>
              <w:rPr>
                <w:rFonts w:hint="eastAsia" w:ascii="方正黑体_GBK" w:hAnsi="方正黑体_GBK" w:eastAsia="方正黑体_GBK" w:cs="方正黑体_GBK"/>
                <w:sz w:val="18"/>
                <w:szCs w:val="18"/>
              </w:rPr>
              <w:t>3.按照托管协议约定和管理人的投资指令，及时办理清算、交割事宜；</w:t>
            </w:r>
          </w:p>
          <w:p w14:paraId="5ECAF11D">
            <w:pPr>
              <w:spacing w:line="200" w:lineRule="exact"/>
              <w:rPr>
                <w:rFonts w:hint="eastAsia" w:hAnsi="方正黑体_GBK" w:cs="方正黑体_GBK"/>
              </w:rPr>
            </w:pPr>
            <w:r>
              <w:rPr>
                <w:rFonts w:hint="eastAsia" w:ascii="方正黑体_GBK" w:hAnsi="方正黑体_GBK" w:eastAsia="方正黑体_GBK" w:cs="方正黑体_GBK"/>
                <w:sz w:val="18"/>
                <w:szCs w:val="18"/>
              </w:rPr>
              <w:t>4.建立与管理人的对账机制，复核、审查理财产品资金头寸、资产账目、资产净值、认购和赎回价格等数据，及时核查认购、赎回以及投资资金的支付和到账情况；</w:t>
            </w:r>
          </w:p>
          <w:p w14:paraId="19EE4931">
            <w:pPr>
              <w:spacing w:line="200" w:lineRule="exact"/>
              <w:rPr>
                <w:rFonts w:hint="eastAsia" w:hAnsi="方正黑体_GBK" w:cs="方正黑体_GBK"/>
              </w:rPr>
            </w:pPr>
            <w:r>
              <w:rPr>
                <w:rFonts w:hint="eastAsia" w:ascii="方正黑体_GBK" w:hAnsi="方正黑体_GBK" w:eastAsia="方正黑体_GBK" w:cs="方正黑体_GBK"/>
                <w:sz w:val="18"/>
                <w:szCs w:val="18"/>
              </w:rPr>
              <w:t>5.监督理财产品投资运作，发现理财产品违反法律、行政法规、规章规定或合同约定进行投资的，应当拒绝执行，及时通知管理人并报告银行业监督管理机构；</w:t>
            </w:r>
          </w:p>
          <w:p w14:paraId="3AB75108">
            <w:pPr>
              <w:spacing w:line="200" w:lineRule="exact"/>
              <w:rPr>
                <w:rFonts w:hint="eastAsia" w:hAnsi="方正黑体_GBK" w:cs="方正黑体_GBK"/>
              </w:rPr>
            </w:pPr>
            <w:r>
              <w:rPr>
                <w:rFonts w:hint="eastAsia" w:ascii="方正黑体_GBK" w:hAnsi="方正黑体_GBK" w:eastAsia="方正黑体_GBK" w:cs="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359942D6">
            <w:pPr>
              <w:spacing w:line="200" w:lineRule="exact"/>
              <w:rPr>
                <w:rFonts w:hint="eastAsia" w:hAnsi="方正黑体_GBK" w:cs="方正黑体_GBK"/>
              </w:rPr>
            </w:pPr>
            <w:r>
              <w:rPr>
                <w:rFonts w:hint="eastAsia" w:ascii="方正黑体_GBK" w:hAnsi="方正黑体_GBK" w:eastAsia="方正黑体_GBK" w:cs="方正黑体_GBK"/>
                <w:sz w:val="18"/>
                <w:szCs w:val="18"/>
              </w:rPr>
              <w:t>7.理财托管业务活动的记录、账册、报表和其他相关资料保存20年以上；</w:t>
            </w:r>
          </w:p>
          <w:p w14:paraId="1DBC09B6">
            <w:pPr>
              <w:spacing w:line="200" w:lineRule="exact"/>
              <w:rPr>
                <w:rFonts w:hint="eastAsia" w:hAnsi="方正黑体_GBK" w:cs="方正黑体_GBK"/>
              </w:rPr>
            </w:pPr>
            <w:r>
              <w:rPr>
                <w:rFonts w:hint="eastAsia" w:ascii="方正黑体_GBK" w:hAnsi="方正黑体_GBK" w:eastAsia="方正黑体_GBK" w:cs="方正黑体_GBK"/>
                <w:sz w:val="18"/>
                <w:szCs w:val="18"/>
              </w:rPr>
              <w:t>8.对理财产品投资信息和相关资料承担保密责任，除法律、行政法规、规章规定、审计要求或者合同约定外，不得向任何机构或者个人提供相关信息和资料；</w:t>
            </w:r>
          </w:p>
          <w:p w14:paraId="640970ED">
            <w:pPr>
              <w:spacing w:line="200" w:lineRule="exact"/>
              <w:rPr>
                <w:rFonts w:hint="eastAsia" w:hAnsi="方正黑体_GBK" w:cs="方正黑体_GBK"/>
              </w:rPr>
            </w:pPr>
            <w:r>
              <w:rPr>
                <w:rFonts w:hint="eastAsia" w:ascii="方正黑体_GBK" w:hAnsi="方正黑体_GBK" w:eastAsia="方正黑体_GBK" w:cs="方正黑体_GBK"/>
                <w:sz w:val="18"/>
                <w:szCs w:val="18"/>
              </w:rPr>
              <w:t>9.国务院银行业监督管理机构规定及本理财产品相关托管协议中约定的其他职责。</w:t>
            </w:r>
          </w:p>
        </w:tc>
      </w:tr>
      <w:tr w14:paraId="7B71BC9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7E76E05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拟进行合作的理财投资合作机构</w:t>
            </w:r>
          </w:p>
        </w:tc>
        <w:tc>
          <w:tcPr>
            <w:tcW w:w="8354" w:type="dxa"/>
            <w:tcBorders>
              <w:top w:val="single" w:color="auto" w:sz="4" w:space="0"/>
              <w:left w:val="nil"/>
              <w:bottom w:val="single" w:color="auto" w:sz="4" w:space="0"/>
              <w:right w:val="single" w:color="auto" w:sz="4" w:space="0"/>
              <w:tl2br w:val="nil"/>
              <w:tr2bl w:val="nil"/>
            </w:tcBorders>
            <w:vAlign w:val="center"/>
          </w:tcPr>
          <w:p w14:paraId="1BE20378">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合作机构为华润深国投信托有限公司、江苏省国际信托有限责任公司、平安资产管理有限责任公司、泰康资产管理有限责任公司、太平洋资产管理有限责任公司、鑫元基金管理有限公司、鑫沅资产管理有限公司，上述投资合作机构主要职责对应如下，具体职责以管理人与投资合作机构签署的合同为准。</w:t>
            </w:r>
          </w:p>
          <w:p w14:paraId="5490D2F0">
            <w:pPr>
              <w:spacing w:line="200" w:lineRule="exact"/>
              <w:rPr>
                <w:rFonts w:hint="eastAsia" w:hAnsi="方正黑体_GBK" w:cs="方正黑体_GBK"/>
              </w:rPr>
            </w:pPr>
            <w:r>
              <w:rPr>
                <w:rFonts w:hint="eastAsia" w:ascii="方正黑体_GBK" w:hAnsi="方正黑体_GBK" w:eastAsia="方正黑体_GBK" w:cs="方正黑体_GBK"/>
                <w:sz w:val="18"/>
                <w:szCs w:val="18"/>
              </w:rPr>
              <w:t>合作机构为理财产品所投资资产管理产品的发行机构，主要承担资产管理产品的管理人职责：华润深国投信托有限公司、江苏省国际信托有限责任公司、平安资产管理有限责任公司、泰康资产管理有限责任公司、太平洋资产管理有限责任公司、鑫元基金管理有限公司、鑫沅资产管理有限公司。</w:t>
            </w:r>
          </w:p>
          <w:p w14:paraId="034A75BB">
            <w:pPr>
              <w:spacing w:line="200" w:lineRule="exact"/>
              <w:rPr>
                <w:rFonts w:hint="eastAsia" w:hAnsi="方正黑体_GBK" w:cs="方正黑体_GBK"/>
              </w:rPr>
            </w:pPr>
            <w:r>
              <w:rPr>
                <w:rFonts w:hint="eastAsia" w:ascii="方正黑体_GBK" w:hAnsi="方正黑体_GBK" w:eastAsia="方正黑体_GBK" w:cs="方正黑体_GBK"/>
                <w:sz w:val="18"/>
                <w:szCs w:val="18"/>
              </w:rPr>
              <w:t>若上述合作机构及其职责发生调整，管理人将在本理财产品的定期报告中进行信息披露。</w:t>
            </w:r>
          </w:p>
          <w:p w14:paraId="2D2520C5">
            <w:pPr>
              <w:spacing w:line="200" w:lineRule="exact"/>
              <w:rPr>
                <w:rFonts w:hint="eastAsia" w:hAnsi="方正黑体_GBK" w:cs="方正黑体_GBK"/>
              </w:rPr>
            </w:pPr>
            <w:r>
              <w:rPr>
                <w:rFonts w:hint="eastAsia" w:ascii="方正黑体_GBK" w:hAnsi="方正黑体_GBK" w:eastAsia="方正黑体_GBK" w:cs="方正黑体_GBK"/>
                <w:sz w:val="18"/>
                <w:szCs w:val="18"/>
              </w:rPr>
              <w:t>上述投资合作机构简介：</w:t>
            </w:r>
          </w:p>
          <w:p w14:paraId="42A4B217">
            <w:pPr>
              <w:spacing w:line="200" w:lineRule="exact"/>
              <w:rPr>
                <w:rFonts w:hint="eastAsia" w:hAnsi="方正黑体_GBK" w:cs="方正黑体_GBK"/>
              </w:rPr>
            </w:pPr>
            <w:r>
              <w:rPr>
                <w:rFonts w:hint="eastAsia" w:ascii="方正黑体_GBK" w:hAnsi="方正黑体_GBK" w:eastAsia="方正黑体_GBK" w:cs="方正黑体_GBK"/>
                <w:sz w:val="18"/>
                <w:szCs w:val="18"/>
              </w:rPr>
              <w:t>华润深国投信托有限公司成立于1982年08月24日，注册资本金110亿元。</w:t>
            </w:r>
          </w:p>
          <w:p w14:paraId="321BF2B9">
            <w:pPr>
              <w:spacing w:line="200" w:lineRule="exact"/>
              <w:rPr>
                <w:rFonts w:hint="eastAsia" w:hAnsi="方正黑体_GBK" w:cs="方正黑体_GBK"/>
              </w:rPr>
            </w:pPr>
            <w:r>
              <w:rPr>
                <w:rFonts w:hint="eastAsia" w:ascii="方正黑体_GBK" w:hAnsi="方正黑体_GBK" w:eastAsia="方正黑体_GBK" w:cs="方正黑体_GBK"/>
                <w:sz w:val="18"/>
                <w:szCs w:val="18"/>
              </w:rPr>
              <w:t>江苏省国际信托有限责任公司成立于1992年06月01日，注册资本金87.60亿元。</w:t>
            </w:r>
          </w:p>
          <w:p w14:paraId="1E9FFCEA">
            <w:pPr>
              <w:spacing w:line="200" w:lineRule="exact"/>
              <w:rPr>
                <w:rFonts w:hint="eastAsia" w:hAnsi="方正黑体_GBK" w:cs="方正黑体_GBK"/>
              </w:rPr>
            </w:pPr>
            <w:r>
              <w:rPr>
                <w:rFonts w:hint="eastAsia" w:ascii="方正黑体_GBK" w:hAnsi="方正黑体_GBK" w:eastAsia="方正黑体_GBK" w:cs="方正黑体_GBK"/>
                <w:sz w:val="18"/>
                <w:szCs w:val="18"/>
              </w:rPr>
              <w:t>平安资产管理有限责任公司成立于2005年05月27日，注册资本金15亿元。</w:t>
            </w:r>
          </w:p>
          <w:p w14:paraId="02DAE4A0">
            <w:pPr>
              <w:spacing w:line="200" w:lineRule="exact"/>
              <w:rPr>
                <w:rFonts w:hint="eastAsia" w:hAnsi="方正黑体_GBK" w:cs="方正黑体_GBK"/>
              </w:rPr>
            </w:pPr>
            <w:r>
              <w:rPr>
                <w:rFonts w:hint="eastAsia" w:ascii="方正黑体_GBK" w:hAnsi="方正黑体_GBK" w:eastAsia="方正黑体_GBK" w:cs="方正黑体_GBK"/>
                <w:sz w:val="18"/>
                <w:szCs w:val="18"/>
              </w:rPr>
              <w:t>泰康资产管理有限责任公司成立于2006年02月21日，注册资本金10亿元。</w:t>
            </w:r>
          </w:p>
          <w:p w14:paraId="749CBBBB">
            <w:pPr>
              <w:spacing w:line="200" w:lineRule="exact"/>
              <w:rPr>
                <w:rFonts w:hint="eastAsia" w:hAnsi="方正黑体_GBK" w:cs="方正黑体_GBK"/>
              </w:rPr>
            </w:pPr>
            <w:r>
              <w:rPr>
                <w:rFonts w:hint="eastAsia" w:ascii="方正黑体_GBK" w:hAnsi="方正黑体_GBK" w:eastAsia="方正黑体_GBK" w:cs="方正黑体_GBK"/>
                <w:sz w:val="18"/>
                <w:szCs w:val="18"/>
              </w:rPr>
              <w:t>太平洋资产管理有限责任公司成立于2006年06月09日，注册资本金21亿元。</w:t>
            </w:r>
          </w:p>
          <w:p w14:paraId="2D40C74E">
            <w:pPr>
              <w:spacing w:line="200" w:lineRule="exact"/>
              <w:rPr>
                <w:rFonts w:hint="eastAsia" w:hAnsi="方正黑体_GBK" w:cs="方正黑体_GBK"/>
              </w:rPr>
            </w:pPr>
            <w:r>
              <w:rPr>
                <w:rFonts w:hint="eastAsia" w:ascii="方正黑体_GBK" w:hAnsi="方正黑体_GBK" w:eastAsia="方正黑体_GBK" w:cs="方正黑体_GBK"/>
                <w:sz w:val="18"/>
                <w:szCs w:val="18"/>
              </w:rPr>
              <w:t>鑫元基金管理有限公司成立于2013年08月29日，注册资本金17亿元。</w:t>
            </w:r>
          </w:p>
          <w:p w14:paraId="171921A1">
            <w:pPr>
              <w:spacing w:line="200" w:lineRule="exact"/>
              <w:rPr>
                <w:rFonts w:hint="eastAsia" w:hAnsi="方正黑体_GBK" w:cs="方正黑体_GBK"/>
              </w:rPr>
            </w:pPr>
            <w:r>
              <w:rPr>
                <w:rFonts w:hint="eastAsia" w:ascii="方正黑体_GBK" w:hAnsi="方正黑体_GBK" w:eastAsia="方正黑体_GBK" w:cs="方正黑体_GBK"/>
                <w:sz w:val="18"/>
                <w:szCs w:val="18"/>
              </w:rPr>
              <w:t>鑫沅资产管理有限公司成立于2014年02月19日，注册资本金15.5亿元。</w:t>
            </w:r>
          </w:p>
        </w:tc>
      </w:tr>
      <w:tr w14:paraId="2E376A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7052C38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巨额赎回</w:t>
            </w:r>
          </w:p>
        </w:tc>
        <w:tc>
          <w:tcPr>
            <w:tcW w:w="8354" w:type="dxa"/>
            <w:tcBorders>
              <w:top w:val="single" w:color="auto" w:sz="4" w:space="0"/>
              <w:left w:val="nil"/>
              <w:bottom w:val="single" w:color="auto" w:sz="4" w:space="0"/>
              <w:right w:val="single" w:color="auto" w:sz="4" w:space="0"/>
              <w:tl2br w:val="nil"/>
              <w:tr2bl w:val="nil"/>
            </w:tcBorders>
            <w:vAlign w:val="center"/>
          </w:tcPr>
          <w:p w14:paraId="4B361965">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本理财产品单个开放日净赎回申请超过前一产品工作日日终本理财产品总份额的10%时，触发巨额赎回，在赎回确认日管理人办理的赎回份额将不低于前一产品工作日日终理财产品总份额的10%。</w:t>
            </w:r>
          </w:p>
          <w:p w14:paraId="1136E699">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本理财产品在开放日发生巨额赎回时，管理人有权根据产品的实际运作情况采取如下措施中的一种：</w:t>
            </w:r>
          </w:p>
          <w:p w14:paraId="2A27991A">
            <w:pPr>
              <w:spacing w:line="200" w:lineRule="exact"/>
              <w:rPr>
                <w:rFonts w:hint="eastAsia" w:hAnsi="方正黑体_GBK" w:cs="方正黑体_GBK"/>
              </w:rPr>
            </w:pPr>
            <w:r>
              <w:rPr>
                <w:rFonts w:hint="eastAsia" w:ascii="方正黑体_GBK" w:hAnsi="方正黑体_GBK" w:eastAsia="方正黑体_GBK" w:cs="方正黑体_GBK"/>
                <w:sz w:val="18"/>
                <w:szCs w:val="18"/>
              </w:rPr>
              <w:t>1.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并按单个投资者的赎回申请份额占当日所有投资者的净赎回申请总份额的比例，确认该投资者当日办理的赎回申请份额，对于其余赎回申请管理人可暂停接受或延期办理。</w:t>
            </w:r>
          </w:p>
          <w:p w14:paraId="0C0B96D5">
            <w:pPr>
              <w:spacing w:line="200" w:lineRule="exact"/>
              <w:rPr>
                <w:rFonts w:hint="eastAsia" w:hAnsi="方正黑体_GBK" w:cs="方正黑体_GBK"/>
              </w:rPr>
            </w:pPr>
            <w:r>
              <w:rPr>
                <w:rFonts w:hint="eastAsia" w:ascii="方正黑体_GBK" w:hAnsi="方正黑体_GBK" w:eastAsia="方正黑体_GBK" w:cs="方正黑体_GBK"/>
                <w:sz w:val="18"/>
                <w:szCs w:val="18"/>
              </w:rPr>
              <w:t>（1）投资者在申请赎回时可选择将当日未获办理部分予以撤销，即暂停接受情形，管理人将拒绝该部分赎回申请，撤销的部分投资者可在下一个产品开放日再次发起赎回申请。</w:t>
            </w:r>
          </w:p>
          <w:p w14:paraId="31A82101">
            <w:pPr>
              <w:spacing w:line="200" w:lineRule="exact"/>
              <w:rPr>
                <w:rFonts w:hint="eastAsia" w:hAnsi="方正黑体_GBK" w:cs="方正黑体_GBK"/>
              </w:rPr>
            </w:pPr>
            <w:r>
              <w:rPr>
                <w:rFonts w:hint="eastAsia" w:ascii="方正黑体_GBK" w:hAnsi="方正黑体_GBK" w:eastAsia="方正黑体_GBK" w:cs="方正黑体_GBK"/>
                <w:sz w:val="18"/>
                <w:szCs w:val="18"/>
              </w:rPr>
              <w:t>（2）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14:paraId="3A18F20A">
            <w:pPr>
              <w:spacing w:line="200" w:lineRule="exact"/>
              <w:rPr>
                <w:rFonts w:hint="eastAsia" w:hAnsi="方正黑体_GBK" w:cs="方正黑体_GBK"/>
              </w:rPr>
            </w:pPr>
            <w:r>
              <w:rPr>
                <w:rFonts w:hint="eastAsia" w:ascii="方正黑体_GBK" w:hAnsi="方正黑体_GBK" w:eastAsia="方正黑体_GBK" w:cs="方正黑体_GBK"/>
                <w:sz w:val="18"/>
                <w:szCs w:val="18"/>
              </w:rPr>
              <w:t>具体服务投资者可详询代销机构，最终以代销机构提供的服务为准。</w:t>
            </w:r>
          </w:p>
          <w:p w14:paraId="0674B541">
            <w:pPr>
              <w:spacing w:line="200" w:lineRule="exact"/>
              <w:rPr>
                <w:rFonts w:hint="eastAsia" w:hAnsi="方正黑体_GBK" w:cs="方正黑体_GBK"/>
              </w:rPr>
            </w:pPr>
            <w:r>
              <w:rPr>
                <w:rFonts w:hint="eastAsia" w:ascii="方正黑体_GBK" w:hAnsi="方正黑体_GBK" w:eastAsia="方正黑体_GBK" w:cs="方正黑体_GBK"/>
                <w:sz w:val="18"/>
                <w:szCs w:val="18"/>
              </w:rPr>
              <w:t>2.接受全额赎回：当管理人认为有能力兑付投资者的全部赎回申请时，将在赎回确认日按正常赎回程序执行。</w:t>
            </w:r>
          </w:p>
          <w:p w14:paraId="7CDB495A">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本理财产品发生巨额赎回、管理人接受部分赎回时，对于暂停接受和延期办理的部分，管理人可能需在下一个申购或赎回开放日才可确认，可能影响投资者的资金安排。</w:t>
            </w:r>
          </w:p>
        </w:tc>
      </w:tr>
      <w:tr w14:paraId="1F0AD11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57F7C1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连续巨额赎回</w:t>
            </w:r>
          </w:p>
        </w:tc>
        <w:tc>
          <w:tcPr>
            <w:tcW w:w="8354" w:type="dxa"/>
            <w:tcBorders>
              <w:top w:val="single" w:color="auto" w:sz="4" w:space="0"/>
              <w:left w:val="nil"/>
              <w:bottom w:val="single" w:color="auto" w:sz="4" w:space="0"/>
              <w:right w:val="single" w:color="auto" w:sz="4" w:space="0"/>
              <w:tl2br w:val="nil"/>
              <w:tr2bl w:val="nil"/>
            </w:tcBorders>
            <w:vAlign w:val="center"/>
          </w:tcPr>
          <w:p w14:paraId="40C91F81">
            <w:pPr>
              <w:spacing w:line="200" w:lineRule="exact"/>
              <w:rPr>
                <w:rFonts w:hint="eastAsia" w:hAnsi="方正黑体_GBK" w:cs="方正黑体_GBK"/>
              </w:rPr>
            </w:pPr>
            <w:r>
              <w:rPr>
                <w:rFonts w:hint="eastAsia" w:ascii="方正黑体_GBK" w:hAnsi="方正黑体_GBK" w:eastAsia="方正黑体_GBK" w:cs="方正黑体_GBK"/>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14:paraId="530C89A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1615B3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暂停接受认申购</w:t>
            </w:r>
          </w:p>
        </w:tc>
        <w:tc>
          <w:tcPr>
            <w:tcW w:w="8354" w:type="dxa"/>
            <w:tcBorders>
              <w:top w:val="single" w:color="auto" w:sz="4" w:space="0"/>
              <w:left w:val="nil"/>
              <w:bottom w:val="single" w:color="auto" w:sz="4" w:space="0"/>
              <w:right w:val="single" w:color="auto" w:sz="4" w:space="0"/>
              <w:tl2br w:val="nil"/>
              <w:tr2bl w:val="nil"/>
            </w:tcBorders>
            <w:vAlign w:val="center"/>
          </w:tcPr>
          <w:p w14:paraId="53AAA6E3">
            <w:pPr>
              <w:spacing w:line="200" w:lineRule="exact"/>
              <w:rPr>
                <w:rFonts w:hint="eastAsia" w:hAnsi="方正黑体_GBK" w:cs="方正黑体_GBK"/>
              </w:rPr>
            </w:pPr>
            <w:r>
              <w:rPr>
                <w:rFonts w:hint="eastAsia" w:ascii="方正黑体_GBK" w:hAnsi="方正黑体_GBK" w:eastAsia="方正黑体_GBK" w:cs="方正黑体_GBK"/>
                <w:sz w:val="18"/>
                <w:szCs w:val="18"/>
              </w:rPr>
              <w:t>发生下列情形时，管理人可暂停接受认申购申请：</w:t>
            </w:r>
          </w:p>
          <w:p w14:paraId="3E831C2B">
            <w:pPr>
              <w:spacing w:line="200" w:lineRule="exact"/>
              <w:rPr>
                <w:rFonts w:hint="eastAsia" w:hAnsi="方正黑体_GBK" w:cs="方正黑体_GBK"/>
              </w:rPr>
            </w:pPr>
            <w:r>
              <w:rPr>
                <w:rFonts w:hint="eastAsia" w:ascii="方正黑体_GBK" w:hAnsi="方正黑体_GBK" w:eastAsia="方正黑体_GBK" w:cs="方正黑体_GBK"/>
                <w:sz w:val="18"/>
                <w:szCs w:val="18"/>
              </w:rPr>
              <w:t>1.因不可抗力导致理财产品无法正常运作；</w:t>
            </w:r>
          </w:p>
          <w:p w14:paraId="2D0FD4F6">
            <w:pPr>
              <w:spacing w:line="200" w:lineRule="exact"/>
              <w:rPr>
                <w:rFonts w:hint="eastAsia" w:hAnsi="方正黑体_GBK" w:cs="方正黑体_GBK"/>
              </w:rPr>
            </w:pPr>
            <w:r>
              <w:rPr>
                <w:rFonts w:hint="eastAsia" w:ascii="方正黑体_GBK" w:hAnsi="方正黑体_GBK" w:eastAsia="方正黑体_GBK" w:cs="方正黑体_GBK"/>
                <w:sz w:val="18"/>
                <w:szCs w:val="18"/>
              </w:rPr>
              <w:t>2.因监管政策、市场发生重大变化，导致理财产品无法正常运作；</w:t>
            </w:r>
          </w:p>
          <w:p w14:paraId="456AFEC3">
            <w:pPr>
              <w:spacing w:line="200" w:lineRule="exact"/>
              <w:rPr>
                <w:rFonts w:hint="eastAsia" w:hAnsi="方正黑体_GBK" w:cs="方正黑体_GBK"/>
              </w:rPr>
            </w:pPr>
            <w:r>
              <w:rPr>
                <w:rFonts w:hint="eastAsia" w:ascii="方正黑体_GBK" w:hAnsi="方正黑体_GBK" w:eastAsia="方正黑体_GBK" w:cs="方正黑体_GBK"/>
                <w:sz w:val="18"/>
                <w:szCs w:val="18"/>
              </w:rPr>
              <w:t>3.管理人认为需要暂停认申购的其他情形。</w:t>
            </w:r>
          </w:p>
          <w:p w14:paraId="730EC150">
            <w:pPr>
              <w:spacing w:line="200" w:lineRule="exact"/>
              <w:rPr>
                <w:rFonts w:hint="eastAsia" w:hAnsi="方正黑体_GBK" w:cs="方正黑体_GBK"/>
              </w:rPr>
            </w:pPr>
            <w:r>
              <w:rPr>
                <w:rFonts w:hint="eastAsia" w:ascii="方正黑体_GBK" w:hAnsi="方正黑体_GBK" w:eastAsia="方正黑体_GBK" w:cs="方正黑体_GBK"/>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14:paraId="7CE875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7D06EC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暂停接受赎回</w:t>
            </w:r>
          </w:p>
        </w:tc>
        <w:tc>
          <w:tcPr>
            <w:tcW w:w="8354" w:type="dxa"/>
            <w:tcBorders>
              <w:top w:val="single" w:color="auto" w:sz="4" w:space="0"/>
              <w:left w:val="nil"/>
              <w:bottom w:val="single" w:color="auto" w:sz="4" w:space="0"/>
              <w:right w:val="single" w:color="auto" w:sz="4" w:space="0"/>
              <w:tl2br w:val="nil"/>
              <w:tr2bl w:val="nil"/>
            </w:tcBorders>
            <w:vAlign w:val="center"/>
          </w:tcPr>
          <w:p w14:paraId="0FBE1CEE">
            <w:pPr>
              <w:spacing w:line="200" w:lineRule="exact"/>
              <w:rPr>
                <w:rFonts w:hint="eastAsia" w:hAnsi="方正黑体_GBK" w:cs="方正黑体_GBK"/>
              </w:rPr>
            </w:pPr>
            <w:r>
              <w:rPr>
                <w:rFonts w:hint="eastAsia" w:ascii="方正黑体_GBK" w:hAnsi="方正黑体_GBK" w:eastAsia="方正黑体_GBK" w:cs="方正黑体_GBK"/>
                <w:sz w:val="18"/>
                <w:szCs w:val="18"/>
              </w:rPr>
              <w:t>当本理财产品的当期赎回量超过上期理财产品规模的20%时，管理人有权暂停接受投资者的赎回申请，已经接受的赎回申请管理人有权延缓支付赎回款项，延缓期限不超过20个工作日。</w:t>
            </w:r>
          </w:p>
          <w:p w14:paraId="1AD85B2B">
            <w:pPr>
              <w:spacing w:line="200" w:lineRule="exact"/>
              <w:rPr>
                <w:rFonts w:hint="eastAsia" w:hAnsi="方正黑体_GBK" w:cs="方正黑体_GBK"/>
              </w:rPr>
            </w:pPr>
            <w:r>
              <w:rPr>
                <w:rFonts w:hint="eastAsia" w:ascii="方正黑体_GBK" w:hAnsi="方正黑体_GBK" w:eastAsia="方正黑体_GBK" w:cs="方正黑体_GBK"/>
                <w:b/>
                <w:sz w:val="18"/>
                <w:szCs w:val="18"/>
              </w:rPr>
              <w:t>如发生以上暂停的情况，管理人将在3个交易日内告知投资者，并说明运用相关措施的原因、拟采取的应对安排等，投资者需重新进行资金安排。</w:t>
            </w:r>
          </w:p>
        </w:tc>
      </w:tr>
      <w:tr w14:paraId="4C58243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2B5BA83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其他说明事项</w:t>
            </w:r>
          </w:p>
        </w:tc>
        <w:tc>
          <w:tcPr>
            <w:tcW w:w="8354" w:type="dxa"/>
            <w:tcBorders>
              <w:top w:val="single" w:color="auto" w:sz="4" w:space="0"/>
              <w:left w:val="nil"/>
              <w:bottom w:val="single" w:color="auto" w:sz="4" w:space="0"/>
              <w:right w:val="single" w:color="auto" w:sz="4" w:space="0"/>
              <w:tl2br w:val="nil"/>
              <w:tr2bl w:val="nil"/>
            </w:tcBorders>
            <w:vAlign w:val="center"/>
          </w:tcPr>
          <w:p w14:paraId="1451DF96">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1.持有期28天以内的份额不可提出赎回申请，投资者应考虑产品最低持有期限并合理安排自身投资计划。</w:t>
            </w:r>
          </w:p>
          <w:p w14:paraId="1885FB10">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2.管理人在本理财产品存续期间按照监管规定进行信息披露，详见本理财产品说明书第五条信息披露。</w:t>
            </w:r>
          </w:p>
          <w:p w14:paraId="46F103EC">
            <w:pPr>
              <w:spacing w:line="200" w:lineRule="exact"/>
              <w:jc w:val="left"/>
              <w:rPr>
                <w:rFonts w:hint="eastAsia" w:hAnsi="方正黑体_GBK" w:cs="方正黑体_GBK"/>
              </w:rPr>
            </w:pPr>
            <w:r>
              <w:rPr>
                <w:rFonts w:hint="eastAsia" w:ascii="方正黑体_GBK" w:hAnsi="方正黑体_GBK" w:eastAsia="方正黑体_GBK" w:cs="方正黑体_GBK"/>
                <w:color w:val="000000"/>
                <w:sz w:val="18"/>
                <w:szCs w:val="18"/>
              </w:rPr>
              <w:t>3.本理财产品投资的资产管理产品的业绩报酬、赎回费等的提取（如有）可能造成本理财产品净值的下降。</w:t>
            </w:r>
          </w:p>
        </w:tc>
      </w:tr>
      <w:tr w14:paraId="1603A2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3" w:hRule="atLeast"/>
          <w:jc w:val="center"/>
          <w:hidden/>
        </w:trPr>
        <w:tc>
          <w:tcPr>
            <w:tcW w:w="1945" w:type="dxa"/>
            <w:tcBorders>
              <w:top w:val="single" w:color="auto" w:sz="4" w:space="0"/>
              <w:left w:val="single" w:color="auto" w:sz="4" w:space="0"/>
              <w:bottom w:val="single" w:color="auto" w:sz="4" w:space="0"/>
              <w:right w:val="single" w:color="auto" w:sz="4" w:space="0"/>
              <w:tl2br w:val="nil"/>
              <w:tr2bl w:val="nil"/>
            </w:tcBorders>
            <w:vAlign w:val="center"/>
          </w:tcPr>
          <w:p w14:paraId="101B99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s="方正黑体_GBK"/>
                <w:caps w:val="0"/>
                <w:smallCaps w:val="0"/>
                <w:snapToGrid/>
                <w:vanish w:val="0"/>
                <w:color w:val="auto"/>
                <w:kern w:val="0"/>
                <w:sz w:val="18"/>
                <w:szCs w:val="18"/>
                <w:vertAlign w:val="baseline"/>
              </w:rPr>
            </w:pPr>
            <w:r>
              <w:rPr>
                <w:rFonts w:hint="eastAsia" w:ascii="方正黑体_GBK" w:hAnsi="方正黑体_GBK" w:eastAsia="方正黑体_GBK" w:cs="方正黑体_GBK"/>
                <w:caps w:val="0"/>
                <w:smallCaps w:val="0"/>
                <w:snapToGrid/>
                <w:vanish w:val="0"/>
                <w:color w:val="auto"/>
                <w:kern w:val="0"/>
                <w:sz w:val="18"/>
                <w:szCs w:val="18"/>
                <w:vertAlign w:val="baseline"/>
              </w:rPr>
              <w:t>税务处理</w:t>
            </w:r>
          </w:p>
        </w:tc>
        <w:tc>
          <w:tcPr>
            <w:tcW w:w="8354" w:type="dxa"/>
            <w:tcBorders>
              <w:top w:val="single" w:color="auto" w:sz="4" w:space="0"/>
              <w:left w:val="nil"/>
              <w:bottom w:val="single" w:color="auto" w:sz="4" w:space="0"/>
              <w:right w:val="single" w:color="auto" w:sz="4" w:space="0"/>
              <w:tl2br w:val="nil"/>
              <w:tr2bl w:val="nil"/>
            </w:tcBorders>
            <w:vAlign w:val="center"/>
          </w:tcPr>
          <w:p w14:paraId="41E317DF">
            <w:pPr>
              <w:spacing w:line="200" w:lineRule="exact"/>
              <w:rPr>
                <w:rFonts w:hint="eastAsia" w:hAnsi="方正黑体_GBK" w:cs="方正黑体_GBK"/>
              </w:rPr>
            </w:pPr>
            <w:r>
              <w:rPr>
                <w:rFonts w:hint="eastAsia" w:ascii="方正黑体_GBK" w:hAnsi="方正黑体_GBK" w:eastAsia="方正黑体_GBK" w:cs="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5594F7EB">
      <w:pPr>
        <w:pStyle w:val="33"/>
        <w:rPr>
          <w:rFonts w:hint="eastAsia" w:ascii="方正黑体_GBK" w:hAnsi="方正黑体_GBK" w:eastAsia="方正黑体_GBK" w:cs="方正黑体_GBK"/>
          <w:b/>
          <w:sz w:val="15"/>
          <w:szCs w:val="15"/>
        </w:rPr>
      </w:pPr>
      <w:r>
        <w:rPr>
          <w:rFonts w:hint="eastAsia" w:ascii="方正黑体_GBK" w:hAnsi="方正黑体_GBK" w:eastAsia="方正黑体_GBK" w:cs="方正黑体_GBK"/>
          <w:b/>
          <w:caps w:val="0"/>
          <w:smallCaps w:val="0"/>
          <w:snapToGrid/>
          <w:vanish w:val="0"/>
          <w:color w:val="auto"/>
          <w:sz w:val="15"/>
          <w:szCs w:val="15"/>
          <w:vertAlign w:val="baseline"/>
        </w:rPr>
        <w:t>特别说明：本理财产品无预期收益率，</w:t>
      </w:r>
      <w:r>
        <w:rPr>
          <w:rFonts w:hint="eastAsia" w:ascii="方正黑体_GBK" w:hAnsi="方正黑体_GBK" w:eastAsia="方正黑体_GBK" w:cs="方正黑体_GBK"/>
          <w:b/>
          <w:caps w:val="0"/>
          <w:smallCaps w:val="0"/>
          <w:snapToGrid/>
          <w:vanish w:val="0"/>
          <w:color w:val="auto"/>
          <w:sz w:val="15"/>
          <w:szCs w:val="15"/>
          <w:u w:val="single"/>
          <w:vertAlign w:val="baseline"/>
        </w:rPr>
        <w:t>理财产品过往业绩不代表其未来表现，不等于理财产品实际收益，</w:t>
      </w:r>
      <w:r>
        <w:rPr>
          <w:rFonts w:hint="eastAsia" w:ascii="方正黑体_GBK" w:hAnsi="方正黑体_GBK" w:eastAsia="方正黑体_GBK" w:cs="方正黑体_GBK"/>
          <w:b/>
          <w:caps w:val="0"/>
          <w:smallCaps w:val="0"/>
          <w:snapToGrid/>
          <w:vanish w:val="0"/>
          <w:color w:val="auto"/>
          <w:sz w:val="15"/>
          <w:szCs w:val="15"/>
          <w:vertAlign w:val="baseline"/>
        </w:rPr>
        <w:t>投资须谨慎。</w:t>
      </w:r>
    </w:p>
    <w:p w14:paraId="633053C6">
      <w:pPr>
        <w:pStyle w:val="4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第二条  名词释义</w:t>
      </w:r>
    </w:p>
    <w:p w14:paraId="29EE5DDB">
      <w:pPr>
        <w:pStyle w:val="4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在本理财产品说明书中，除非上下文另有明确约定，下列用词将具有如下含义：</w:t>
      </w:r>
    </w:p>
    <w:p w14:paraId="520EA3E3">
      <w:pPr>
        <w:pStyle w:val="4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参与主体用语</w:t>
      </w:r>
    </w:p>
    <w:p w14:paraId="51949AC7">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1.南银理财/管理人/</w:t>
      </w:r>
      <w:r>
        <w:rPr>
          <w:rFonts w:hint="eastAsia" w:ascii="方正黑体_GBK" w:hAnsi="方正黑体_GBK" w:eastAsia="方正黑体_GBK" w:cs="方正黑体_GBK"/>
          <w:color w:val="3D3D3D"/>
          <w:kern w:val="0"/>
          <w:sz w:val="15"/>
          <w:szCs w:val="15"/>
          <w:highlight w:val="none"/>
          <w:lang w:val="en-US" w:eastAsia="zh-CN"/>
        </w:rPr>
        <w:t>产品管理人/</w:t>
      </w:r>
      <w:r>
        <w:rPr>
          <w:rFonts w:hint="eastAsia" w:ascii="方正黑体_GBK" w:hAnsi="方正黑体_GBK" w:eastAsia="方正黑体_GBK" w:cs="方正黑体_GBK"/>
          <w:color w:val="3D3D3D"/>
          <w:kern w:val="0"/>
          <w:sz w:val="15"/>
          <w:szCs w:val="15"/>
          <w:highlight w:val="none"/>
        </w:rPr>
        <w:t>理财产品管理人：指南银理财有限责任公司。</w:t>
      </w:r>
    </w:p>
    <w:p w14:paraId="126D42D3">
      <w:pPr>
        <w:pStyle w:val="48"/>
        <w:keepNext w:val="0"/>
        <w:keepLines w:val="0"/>
        <w:pageBreakBefore w:val="0"/>
        <w:widowControl/>
        <w:suppressLineNumbers w:val="0"/>
        <w:tabs>
          <w:tab w:val="left" w:pos="567"/>
        </w:tabs>
        <w:suppressAutoHyphens w:val="0"/>
        <w:spacing w:line="200" w:lineRule="exact"/>
        <w:ind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lang w:eastAsia="zh-CN"/>
        </w:rPr>
        <w:t xml:space="preserve">     2.销售</w:t>
      </w:r>
      <w:r>
        <w:rPr>
          <w:rFonts w:hint="eastAsia" w:ascii="方正黑体_GBK" w:hAnsi="方正黑体_GBK" w:eastAsia="方正黑体_GBK" w:cs="方正黑体_GBK"/>
          <w:color w:val="3D3D3D"/>
          <w:kern w:val="0"/>
          <w:sz w:val="15"/>
          <w:szCs w:val="15"/>
          <w:highlight w:val="none"/>
        </w:rPr>
        <w:t>机构：指</w:t>
      </w:r>
      <w:r>
        <w:rPr>
          <w:rFonts w:hint="eastAsia" w:ascii="方正黑体_GBK" w:hAnsi="方正黑体_GBK" w:eastAsia="方正黑体_GBK" w:cs="方正黑体_GBK"/>
          <w:color w:val="3D3D3D"/>
          <w:kern w:val="0"/>
          <w:sz w:val="15"/>
          <w:szCs w:val="15"/>
          <w:highlight w:val="none"/>
          <w:lang w:eastAsia="zh-CN"/>
        </w:rPr>
        <w:t>本</w:t>
      </w:r>
      <w:r>
        <w:rPr>
          <w:rFonts w:hint="eastAsia" w:ascii="方正黑体_GBK" w:hAnsi="方正黑体_GBK" w:eastAsia="方正黑体_GBK" w:cs="方正黑体_GBK"/>
          <w:color w:val="3D3D3D"/>
          <w:kern w:val="0"/>
          <w:sz w:val="15"/>
          <w:szCs w:val="15"/>
          <w:highlight w:val="none"/>
        </w:rPr>
        <w:t>理财产品的销售机构</w:t>
      </w:r>
      <w:r>
        <w:rPr>
          <w:rFonts w:hint="eastAsia" w:ascii="方正黑体_GBK" w:hAnsi="方正黑体_GBK" w:eastAsia="方正黑体_GBK" w:cs="方正黑体_GBK"/>
          <w:color w:val="3D3D3D"/>
          <w:kern w:val="0"/>
          <w:sz w:val="15"/>
          <w:szCs w:val="15"/>
          <w:highlight w:val="none"/>
          <w:lang w:eastAsia="zh-CN"/>
        </w:rPr>
        <w:t>，</w:t>
      </w:r>
      <w:r>
        <w:rPr>
          <w:rFonts w:hint="eastAsia" w:ascii="方正黑体_GBK" w:hAnsi="方正黑体_GBK" w:eastAsia="方正黑体_GBK" w:cs="方正黑体_GBK"/>
          <w:color w:val="3D3D3D"/>
          <w:kern w:val="0"/>
          <w:sz w:val="15"/>
          <w:szCs w:val="15"/>
          <w:highlight w:val="none"/>
          <w:lang w:val="en-US" w:eastAsia="zh-CN"/>
        </w:rPr>
        <w:t>包括</w:t>
      </w:r>
      <w:r>
        <w:rPr>
          <w:rFonts w:hint="eastAsia" w:ascii="方正黑体_GBK" w:hAnsi="方正黑体_GBK" w:eastAsia="方正黑体_GBK" w:cs="方正黑体_GBK"/>
          <w:color w:val="3D3D3D"/>
          <w:kern w:val="0"/>
          <w:sz w:val="15"/>
          <w:szCs w:val="15"/>
          <w:highlight w:val="none"/>
        </w:rPr>
        <w:t>销售本公司发行理财产品的理财公司</w:t>
      </w:r>
      <w:r>
        <w:rPr>
          <w:rFonts w:hint="eastAsia" w:ascii="方正黑体_GBK" w:hAnsi="方正黑体_GBK" w:eastAsia="方正黑体_GBK" w:cs="方正黑体_GBK"/>
          <w:color w:val="3D3D3D"/>
          <w:kern w:val="0"/>
          <w:sz w:val="15"/>
          <w:szCs w:val="15"/>
          <w:highlight w:val="none"/>
          <w:lang w:val="en-US" w:eastAsia="zh-CN"/>
        </w:rPr>
        <w:t>即南银理财，以及</w:t>
      </w:r>
      <w:r>
        <w:rPr>
          <w:rFonts w:hint="eastAsia" w:ascii="方正黑体_GBK" w:hAnsi="方正黑体_GBK" w:eastAsia="方正黑体_GBK" w:cs="方正黑体_GBK"/>
          <w:color w:val="3D3D3D"/>
          <w:kern w:val="0"/>
          <w:sz w:val="15"/>
          <w:szCs w:val="15"/>
          <w:highlight w:val="none"/>
        </w:rPr>
        <w:t>接受</w:t>
      </w:r>
      <w:r>
        <w:rPr>
          <w:rFonts w:hint="eastAsia" w:ascii="方正黑体_GBK" w:hAnsi="方正黑体_GBK" w:eastAsia="方正黑体_GBK" w:cs="方正黑体_GBK"/>
          <w:color w:val="3D3D3D"/>
          <w:kern w:val="0"/>
          <w:sz w:val="15"/>
          <w:szCs w:val="15"/>
          <w:highlight w:val="none"/>
          <w:lang w:val="en-US" w:eastAsia="zh-CN"/>
        </w:rPr>
        <w:t>南银理财</w:t>
      </w:r>
      <w:r>
        <w:rPr>
          <w:rFonts w:hint="eastAsia" w:ascii="方正黑体_GBK" w:hAnsi="方正黑体_GBK" w:eastAsia="方正黑体_GBK" w:cs="方正黑体_GBK"/>
          <w:color w:val="3D3D3D"/>
          <w:kern w:val="0"/>
          <w:sz w:val="15"/>
          <w:szCs w:val="15"/>
          <w:highlight w:val="none"/>
        </w:rPr>
        <w:t>委托销售其发行理财产品的代理销售机构</w:t>
      </w:r>
      <w:r>
        <w:rPr>
          <w:rFonts w:hint="eastAsia" w:ascii="方正黑体_GBK" w:hAnsi="方正黑体_GBK" w:eastAsia="方正黑体_GBK" w:cs="方正黑体_GBK"/>
          <w:color w:val="3D3D3D"/>
          <w:kern w:val="0"/>
          <w:sz w:val="15"/>
          <w:szCs w:val="15"/>
          <w:highlight w:val="none"/>
          <w:lang w:eastAsia="zh-CN"/>
        </w:rPr>
        <w:t>（</w:t>
      </w:r>
      <w:r>
        <w:rPr>
          <w:rFonts w:hint="eastAsia" w:ascii="方正黑体_GBK" w:hAnsi="方正黑体_GBK" w:eastAsia="方正黑体_GBK" w:cs="方正黑体_GBK"/>
          <w:color w:val="3D3D3D"/>
          <w:kern w:val="0"/>
          <w:sz w:val="15"/>
          <w:szCs w:val="15"/>
          <w:highlight w:val="none"/>
          <w:lang w:val="en-US" w:eastAsia="zh-CN"/>
        </w:rPr>
        <w:t>代销机构</w:t>
      </w:r>
      <w:r>
        <w:rPr>
          <w:rFonts w:hint="eastAsia" w:ascii="方正黑体_GBK" w:hAnsi="方正黑体_GBK" w:eastAsia="方正黑体_GBK" w:cs="方正黑体_GBK"/>
          <w:color w:val="3D3D3D"/>
          <w:kern w:val="0"/>
          <w:sz w:val="15"/>
          <w:szCs w:val="15"/>
          <w:highlight w:val="none"/>
          <w:lang w:eastAsia="zh-CN"/>
        </w:rPr>
        <w:t>）</w:t>
      </w:r>
      <w:r>
        <w:rPr>
          <w:rFonts w:hint="eastAsia" w:ascii="方正黑体_GBK" w:hAnsi="方正黑体_GBK" w:eastAsia="方正黑体_GBK" w:cs="方正黑体_GBK"/>
          <w:color w:val="3D3D3D"/>
          <w:kern w:val="0"/>
          <w:sz w:val="15"/>
          <w:szCs w:val="15"/>
          <w:highlight w:val="none"/>
        </w:rPr>
        <w:t>。</w:t>
      </w:r>
    </w:p>
    <w:p w14:paraId="002C091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3.托管人：指根据管理人委托，对理财产品财产进行托管的机构。</w:t>
      </w:r>
    </w:p>
    <w:p w14:paraId="367BB84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4.认购/申购人：指在募集期/开放期期间签署本理财产品销售文件并向理财产品管理人交付认购/申购资金的投资者。</w:t>
      </w:r>
    </w:p>
    <w:p w14:paraId="5F26373B">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2630DEEB">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6.投资者：指购买南银理财发行的相关理财产品的符合相关法律法规及监管要求的个人或机构。</w:t>
      </w:r>
    </w:p>
    <w:p w14:paraId="17088D08">
      <w:pPr>
        <w:pStyle w:val="4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法律文件用语</w:t>
      </w:r>
    </w:p>
    <w:p w14:paraId="4E201E27">
      <w:pPr>
        <w:pStyle w:val="63"/>
        <w:keepNext w:val="0"/>
        <w:keepLines w:val="0"/>
        <w:pageBreakBefore w:val="0"/>
        <w:widowControl/>
        <w:suppressLineNumbers w:val="0"/>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1.销售协议书：指本理财产品对应的《理财产品销售协议书》以及对该文件的有效修改或补充</w:t>
      </w:r>
      <w:r>
        <w:rPr>
          <w:rFonts w:hint="eastAsia" w:ascii="方正黑体_GBK" w:hAnsi="方正黑体_GBK" w:eastAsia="方正黑体_GBK" w:cs="方正黑体_GBK"/>
          <w:vanish w:val="0"/>
          <w:color w:val="3D3D3D"/>
          <w:spacing w:val="0"/>
          <w:kern w:val="0"/>
          <w:sz w:val="15"/>
          <w:szCs w:val="15"/>
        </w:rPr>
        <w:t>，通过销售机构销售的，以销售渠道显示的名称为准。</w:t>
      </w:r>
    </w:p>
    <w:p w14:paraId="434D51C6">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s="方正黑体_GBK"/>
          <w:color w:val="3D3D3D"/>
          <w:kern w:val="0"/>
          <w:sz w:val="15"/>
          <w:szCs w:val="15"/>
          <w:highlight w:val="none"/>
          <w:lang w:eastAsia="zh-CN"/>
        </w:rPr>
        <w:t>该文件</w:t>
      </w:r>
      <w:r>
        <w:rPr>
          <w:rFonts w:hint="eastAsia" w:ascii="方正黑体_GBK" w:hAnsi="方正黑体_GBK" w:eastAsia="方正黑体_GBK" w:cs="方正黑体_GBK"/>
          <w:color w:val="3D3D3D"/>
          <w:kern w:val="0"/>
          <w:sz w:val="15"/>
          <w:szCs w:val="15"/>
          <w:highlight w:val="none"/>
        </w:rPr>
        <w:t>的有效修改或补充。</w:t>
      </w:r>
    </w:p>
    <w:p w14:paraId="184F8F36">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3.风险揭示书：指本理财产品对应的《理财产品风险揭示书》以及对该文件的有效修改或补充。</w:t>
      </w:r>
    </w:p>
    <w:p w14:paraId="5E924A20">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4.投资者权益须知：指本理财产品对应的《投资者权益须知》以及对该文件的有效修改或补充。</w:t>
      </w:r>
    </w:p>
    <w:p w14:paraId="55650ACD">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5.投资协议书：指本理财产品对应的《理财产品投资协议书》以及对该文件的有效修改或补充。</w:t>
      </w:r>
    </w:p>
    <w:p w14:paraId="6F54361B">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6.销售文件：指本理财产品对应的产品说明书、风险揭示书、投资者权益须知、销售协议书、投资协议书等。</w:t>
      </w:r>
      <w:r>
        <w:rPr>
          <w:rFonts w:hint="eastAsia" w:ascii="方正黑体_GBK" w:hAnsi="方正黑体_GBK" w:eastAsia="方正黑体_GBK" w:cs="方正黑体_GBK"/>
          <w:bCs/>
          <w:color w:val="3D3D3D"/>
          <w:kern w:val="0"/>
          <w:sz w:val="15"/>
          <w:szCs w:val="15"/>
          <w:highlight w:val="none"/>
        </w:rPr>
        <w:t>上述文件共同构成本理财产品完整且不可分割的销售文件。</w:t>
      </w:r>
    </w:p>
    <w:p w14:paraId="47C512F6">
      <w:pPr>
        <w:pStyle w:val="4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期间与日期</w:t>
      </w:r>
    </w:p>
    <w:p w14:paraId="47DB51FC">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1.募集期：指管理人确定的接受投资者认购本理财产品的起止期限。</w:t>
      </w:r>
    </w:p>
    <w:p w14:paraId="4E8655FA">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2.开放期：指管理人确定的除募集期外接受投资者申购、赎回本理财产品的起止期限。</w:t>
      </w:r>
    </w:p>
    <w:p w14:paraId="0E468FBB">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3.提前终止权行使日：指管理人行使提前终止权的日期，即本理财产品被提前终止、开始停止计算收益的日期。</w:t>
      </w:r>
    </w:p>
    <w:p w14:paraId="6403C1F7">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15EE6B9B">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5.认购、申购、赎回确认日：指投资者认购、申购、赎回理财产品最终确认日期。</w:t>
      </w:r>
    </w:p>
    <w:p w14:paraId="0D667FE4">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3381945F">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7.产品存续期：指理财产品成立至终止的期间。</w:t>
      </w:r>
    </w:p>
    <w:p w14:paraId="73149DAC">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8.名义到期日：指在管理人未对本理财产品提前终止或延期终止的情况下本理财产品的到期日期。</w:t>
      </w:r>
    </w:p>
    <w:p w14:paraId="499AFF8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455A60F5">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10.工作日：指除国家法定节假日和休息日（包括周六、周日）外的日期。</w:t>
      </w:r>
    </w:p>
    <w:p w14:paraId="53741CF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11.交易日：指上海证券交易所和深圳证券交易所的正常开盘交易日。</w:t>
      </w:r>
    </w:p>
    <w:p w14:paraId="4EAEA30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12.支付日：指根据本理财产品说明书约定向销售文件约定的投资者授权指定账户划付理财产品资金之日。</w:t>
      </w:r>
    </w:p>
    <w:p w14:paraId="24CA4BB0">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13.赎回或到期清算分配资金到账日：指赎回或到期清算分配资金划入销售文件约定的投资者授权指定账户之日。</w:t>
      </w:r>
    </w:p>
    <w:p w14:paraId="46D45F11">
      <w:pPr>
        <w:pStyle w:val="4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理财产品用语</w:t>
      </w:r>
    </w:p>
    <w:p w14:paraId="3052CCD6">
      <w:pPr>
        <w:pStyle w:val="48"/>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color w:val="3D3D3D"/>
          <w:kern w:val="0"/>
          <w:sz w:val="15"/>
          <w:szCs w:val="15"/>
          <w:highlight w:val="none"/>
        </w:rPr>
        <w:t xml:space="preserve"> 1.本理财产品/理财产品：</w:t>
      </w:r>
      <w:r>
        <w:rPr>
          <w:rFonts w:hint="eastAsia" w:ascii="方正黑体_GBK" w:hAnsi="方正黑体_GBK" w:eastAsia="方正黑体_GBK" w:cs="方正黑体_GBK"/>
          <w:vanish w:val="0"/>
          <w:color w:val="3D3D3D"/>
          <w:kern w:val="0"/>
          <w:sz w:val="15"/>
          <w:szCs w:val="15"/>
        </w:rPr>
        <w:t xml:space="preserve"> </w:t>
      </w:r>
      <w:r>
        <w:rPr>
          <w:rFonts w:hint="eastAsia" w:ascii="方正黑体_GBK" w:hAnsi="方正黑体_GBK" w:eastAsia="方正黑体_GBK" w:cs="方正黑体_GBK"/>
          <w:b/>
          <w:bCs/>
          <w:caps w:val="0"/>
          <w:smallCaps w:val="0"/>
          <w:snapToGrid/>
          <w:vanish w:val="0"/>
          <w:color w:val="3D3D3D"/>
          <w:kern w:val="0"/>
          <w:sz w:val="15"/>
          <w:szCs w:val="15"/>
          <w:vertAlign w:val="baseline"/>
          <w:lang w:val="en-US" w:eastAsia="zh-CN"/>
        </w:rPr>
        <w:t>南银理财珠联璧合悦稳（最低持有28天）公募人民币理财产品</w:t>
      </w:r>
      <w:r>
        <w:rPr>
          <w:rFonts w:hint="eastAsia" w:ascii="方正黑体_GBK" w:hAnsi="方正黑体_GBK" w:eastAsia="方正黑体_GBK" w:cs="方正黑体_GBK"/>
          <w:vanish w:val="0"/>
          <w:color w:val="3D3D3D"/>
          <w:kern w:val="0"/>
          <w:sz w:val="15"/>
          <w:szCs w:val="15"/>
        </w:rPr>
        <w:t>。</w:t>
      </w:r>
    </w:p>
    <w:p w14:paraId="6183850D">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591739B3">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4DCF1DEC">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13DF55F6">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3F5095E6">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rPr>
      </w:pPr>
      <w:r>
        <w:rPr>
          <w:rFonts w:hint="eastAsia" w:ascii="方正黑体_GBK" w:hAnsi="方正黑体_GBK" w:eastAsia="方正黑体_GBK" w:cs="方正黑体_GBK"/>
          <w:color w:val="3D3D3D"/>
          <w:kern w:val="0"/>
          <w:sz w:val="15"/>
          <w:szCs w:val="15"/>
          <w:highlight w:val="none"/>
        </w:rPr>
        <w:t xml:space="preserve"> 6.单位净值/产品每份额净值：指理财产品每单位份额的净值，即每1份理财产品份额以人民币计价的价格。</w:t>
      </w:r>
      <w:r>
        <w:rPr>
          <w:rFonts w:hint="eastAsia" w:ascii="方正黑体_GBK" w:hAnsi="方正黑体_GBK" w:eastAsia="方正黑体_GBK" w:cs="方正黑体_GBK"/>
          <w:bCs/>
          <w:color w:val="3D3D3D"/>
          <w:kern w:val="0"/>
          <w:sz w:val="15"/>
          <w:szCs w:val="15"/>
          <w:highlight w:val="none"/>
        </w:rPr>
        <w:t>产品份额净值=产品资产净值/产品总份额。投资者按该份额净值进行理财产品认购、申购和赎回、获得到期/终止时分配。</w:t>
      </w:r>
      <w:r>
        <w:rPr>
          <w:rFonts w:hint="eastAsia" w:ascii="方正黑体_GBK" w:hAnsi="方正黑体_GBK" w:eastAsia="方正黑体_GBK" w:cs="方正黑体_GBK"/>
          <w:color w:val="3D3D3D"/>
          <w:kern w:val="0"/>
          <w:sz w:val="15"/>
          <w:szCs w:val="15"/>
        </w:rPr>
        <w:t>产品份额净值按去尾法保留4位小数。</w:t>
      </w:r>
    </w:p>
    <w:p w14:paraId="17D37EC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7.理财产品估值/估值：指计算评估理财产品资产以确定理财产品份额单位净值的过程。</w:t>
      </w:r>
    </w:p>
    <w:p w14:paraId="7AC3E185">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8.业绩比较基准：指管理人基于</w:t>
      </w:r>
      <w:r>
        <w:rPr>
          <w:rFonts w:hint="eastAsia" w:ascii="方正黑体_GBK" w:hAnsi="方正黑体_GBK" w:eastAsia="方正黑体_GBK" w:cs="方正黑体_GBK"/>
          <w:color w:val="3D3D3D"/>
          <w:kern w:val="0"/>
          <w:sz w:val="15"/>
          <w:szCs w:val="15"/>
          <w:highlight w:val="none"/>
          <w:lang w:val="en-US" w:eastAsia="zh-CN"/>
        </w:rPr>
        <w:t>产品性质、投资策略、</w:t>
      </w:r>
      <w:r>
        <w:rPr>
          <w:rFonts w:hint="eastAsia" w:ascii="方正黑体_GBK" w:hAnsi="方正黑体_GBK" w:eastAsia="方正黑体_GBK" w:cs="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s="方正黑体_GBK"/>
          <w:color w:val="3D3D3D"/>
          <w:kern w:val="0"/>
          <w:sz w:val="15"/>
          <w:szCs w:val="15"/>
          <w:highlight w:val="none"/>
          <w:lang w:val="en-US" w:eastAsia="zh-CN"/>
        </w:rPr>
        <w:t>不构成</w:t>
      </w:r>
      <w:r>
        <w:rPr>
          <w:rFonts w:hint="eastAsia" w:ascii="方正黑体_GBK" w:hAnsi="方正黑体_GBK" w:eastAsia="方正黑体_GBK" w:cs="方正黑体_GBK"/>
          <w:color w:val="3D3D3D"/>
          <w:kern w:val="0"/>
          <w:sz w:val="15"/>
          <w:szCs w:val="15"/>
          <w:highlight w:val="none"/>
        </w:rPr>
        <w:t>管理人对本理财产品收益</w:t>
      </w:r>
      <w:r>
        <w:rPr>
          <w:rFonts w:hint="eastAsia" w:ascii="方正黑体_GBK" w:hAnsi="方正黑体_GBK" w:eastAsia="方正黑体_GBK" w:cs="方正黑体_GBK"/>
          <w:color w:val="3D3D3D"/>
          <w:kern w:val="0"/>
          <w:sz w:val="15"/>
          <w:szCs w:val="15"/>
          <w:highlight w:val="none"/>
          <w:lang w:val="en-US" w:eastAsia="zh-CN"/>
        </w:rPr>
        <w:t>的</w:t>
      </w:r>
      <w:r>
        <w:rPr>
          <w:rFonts w:hint="eastAsia" w:ascii="方正黑体_GBK" w:hAnsi="方正黑体_GBK" w:eastAsia="方正黑体_GBK" w:cs="方正黑体_GBK"/>
          <w:color w:val="3D3D3D"/>
          <w:kern w:val="0"/>
          <w:sz w:val="15"/>
          <w:szCs w:val="15"/>
          <w:highlight w:val="none"/>
        </w:rPr>
        <w:t>承诺。</w:t>
      </w:r>
    </w:p>
    <w:p w14:paraId="2EBF7EEC">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9.认购：指投资者根据产品说明书约定在募集期内申请购买本理财产品的理财产品份额的行为。</w:t>
      </w:r>
    </w:p>
    <w:p w14:paraId="23B124B6">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10.申购、赎回申请：指在理财产品的开放期内，投资者向理财产品管理人提出申请对理财产品份额进行购买或卖出的行为。</w:t>
      </w:r>
    </w:p>
    <w:p w14:paraId="24C84002">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29DB3FDA">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15AAF5D3">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13.固定收益类理财产品：指投资于存款、债券等债权类资产的比例不低于80%的理财产品。</w:t>
      </w:r>
    </w:p>
    <w:p w14:paraId="2B2B4ED0">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14.权益类理财产品：指投资于权益类资产的比例不低于80%的理财产品。</w:t>
      </w:r>
    </w:p>
    <w:p w14:paraId="505237D9">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15.商品及金融衍生品类理财产品：指投资于商品及金融衍生品的比例不低于80%的理财产品。</w:t>
      </w:r>
    </w:p>
    <w:p w14:paraId="0396C43D">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16.混合类理财产品：指投资于债权类资产、权益类资产、商品及金融衍生品类资产且任一资产的投资比例均未达到80%的理财产品。</w:t>
      </w:r>
    </w:p>
    <w:p w14:paraId="4D4C261E">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17.公募理财产品：指面向不特定社会公众公开发行的理财产品。</w:t>
      </w:r>
    </w:p>
    <w:p w14:paraId="337C5BD1">
      <w:pPr>
        <w:pStyle w:val="48"/>
        <w:keepNext w:val="0"/>
        <w:keepLines w:val="0"/>
        <w:pageBreakBefore w:val="0"/>
        <w:widowControl/>
        <w:suppressLineNumbers w:val="0"/>
        <w:tabs>
          <w:tab w:val="left" w:pos="567"/>
        </w:tabs>
        <w:suppressAutoHyphens w:val="0"/>
        <w:spacing w:line="200" w:lineRule="exact"/>
        <w:ind w:left="289" w:firstLine="0"/>
        <w:outlineLvl w:val="1"/>
        <w:rPr>
          <w:rFonts w:hint="eastAsia" w:hAnsi="方正黑体_GBK" w:cs="方正黑体_GBK"/>
          <w:color w:val="3D3D3D"/>
          <w:kern w:val="0"/>
          <w:sz w:val="15"/>
          <w:szCs w:val="15"/>
        </w:rPr>
      </w:pPr>
      <w:r>
        <w:rPr>
          <w:rFonts w:hint="eastAsia" w:ascii="方正黑体_GBK" w:hAnsi="方正黑体_GBK" w:eastAsia="方正黑体_GBK" w:cs="方正黑体_GBK"/>
          <w:color w:val="3D3D3D"/>
          <w:kern w:val="0"/>
          <w:sz w:val="15"/>
          <w:szCs w:val="15"/>
        </w:rPr>
        <w:t xml:space="preserve"> 18.私募理财产品：指面向合格投资者非公开发行的理财产品。</w:t>
      </w:r>
    </w:p>
    <w:p w14:paraId="2FCFE89A">
      <w:pPr>
        <w:pStyle w:val="4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其他</w:t>
      </w:r>
    </w:p>
    <w:p w14:paraId="1097AFD9">
      <w:pPr>
        <w:pStyle w:val="48"/>
        <w:keepNext w:val="0"/>
        <w:keepLines w:val="0"/>
        <w:pageBreakBefore w:val="0"/>
        <w:widowControl/>
        <w:suppressLineNumbers w:val="0"/>
        <w:tabs>
          <w:tab w:val="left" w:pos="567"/>
        </w:tabs>
        <w:suppressAutoHyphens w:val="0"/>
        <w:spacing w:line="200" w:lineRule="exact"/>
        <w:ind w:left="289" w:firstLine="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26D94BED">
      <w:pPr>
        <w:pStyle w:val="61"/>
        <w:keepNext w:val="0"/>
        <w:keepLines w:val="0"/>
        <w:pageBreakBefore w:val="0"/>
        <w:widowControl/>
        <w:numPr>
          <w:ilvl w:val="0"/>
          <w:numId w:val="2"/>
        </w:numPr>
        <w:suppressLineNumbers w:val="0"/>
        <w:tabs>
          <w:tab w:val="left" w:pos="567"/>
        </w:tabs>
        <w:suppressAutoHyphens w:val="0"/>
        <w:spacing w:line="200" w:lineRule="exact"/>
        <w:ind w:firstLineChars="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自然灾害、地震、台风、海啸、洪水、火灾、停电、突发性公共卫生事件；</w:t>
      </w:r>
    </w:p>
    <w:p w14:paraId="0FEE403F">
      <w:pPr>
        <w:pStyle w:val="61"/>
        <w:keepNext w:val="0"/>
        <w:keepLines w:val="0"/>
        <w:pageBreakBefore w:val="0"/>
        <w:widowControl/>
        <w:numPr>
          <w:ilvl w:val="0"/>
          <w:numId w:val="2"/>
        </w:numPr>
        <w:suppressLineNumbers w:val="0"/>
        <w:tabs>
          <w:tab w:val="left" w:pos="567"/>
        </w:tabs>
        <w:suppressAutoHyphens w:val="0"/>
        <w:spacing w:line="200" w:lineRule="exact"/>
        <w:ind w:firstLineChars="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罢工、内战、战争、军事行动、任何种类的恐怖活动、暴动、公众示威或抗议；</w:t>
      </w:r>
    </w:p>
    <w:p w14:paraId="75B5937E">
      <w:pPr>
        <w:pStyle w:val="61"/>
        <w:keepNext w:val="0"/>
        <w:keepLines w:val="0"/>
        <w:pageBreakBefore w:val="0"/>
        <w:widowControl/>
        <w:numPr>
          <w:ilvl w:val="0"/>
          <w:numId w:val="2"/>
        </w:numPr>
        <w:suppressLineNumbers w:val="0"/>
        <w:tabs>
          <w:tab w:val="left" w:pos="567"/>
        </w:tabs>
        <w:suppressAutoHyphens w:val="0"/>
        <w:spacing w:line="200" w:lineRule="exact"/>
        <w:ind w:firstLineChars="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新的适用法律或国家政策的颁布或实施、对原适用法律或国家政策的修改；</w:t>
      </w:r>
    </w:p>
    <w:p w14:paraId="36FC4DAC">
      <w:pPr>
        <w:pStyle w:val="61"/>
        <w:keepNext w:val="0"/>
        <w:keepLines w:val="0"/>
        <w:pageBreakBefore w:val="0"/>
        <w:widowControl/>
        <w:numPr>
          <w:ilvl w:val="0"/>
          <w:numId w:val="2"/>
        </w:numPr>
        <w:suppressLineNumbers w:val="0"/>
        <w:tabs>
          <w:tab w:val="left" w:pos="567"/>
        </w:tabs>
        <w:suppressAutoHyphens w:val="0"/>
        <w:spacing w:line="200" w:lineRule="exact"/>
        <w:ind w:firstLineChars="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任何政府机关或其他机关的行为（不论是在法律上或是在事实上）、法律、法规、条例、规则、规定、裁决、命令或指令（包括国有化或对外限制、外汇管制）、诉讼或威胁；</w:t>
      </w:r>
    </w:p>
    <w:p w14:paraId="208FC93D">
      <w:pPr>
        <w:pStyle w:val="61"/>
        <w:keepNext w:val="0"/>
        <w:keepLines w:val="0"/>
        <w:pageBreakBefore w:val="0"/>
        <w:widowControl/>
        <w:numPr>
          <w:ilvl w:val="0"/>
          <w:numId w:val="2"/>
        </w:numPr>
        <w:suppressLineNumbers w:val="0"/>
        <w:tabs>
          <w:tab w:val="left" w:pos="567"/>
        </w:tabs>
        <w:suppressAutoHyphens w:val="0"/>
        <w:spacing w:line="200" w:lineRule="exact"/>
        <w:ind w:firstLineChars="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中国境内或全球金融外汇市场发生致使甲方无法进行货币兑换、划转等的异常变化；</w:t>
      </w:r>
    </w:p>
    <w:p w14:paraId="4B55DF67">
      <w:pPr>
        <w:pStyle w:val="61"/>
        <w:keepNext w:val="0"/>
        <w:keepLines w:val="0"/>
        <w:pageBreakBefore w:val="0"/>
        <w:widowControl/>
        <w:numPr>
          <w:ilvl w:val="0"/>
          <w:numId w:val="2"/>
        </w:numPr>
        <w:suppressLineNumbers w:val="0"/>
        <w:tabs>
          <w:tab w:val="left" w:pos="567"/>
        </w:tabs>
        <w:suppressAutoHyphens w:val="0"/>
        <w:spacing w:line="200" w:lineRule="exact"/>
        <w:ind w:firstLineChars="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198E3035">
      <w:pPr>
        <w:pStyle w:val="48"/>
        <w:keepNext w:val="0"/>
        <w:keepLines w:val="0"/>
        <w:pageBreakBefore w:val="0"/>
        <w:widowControl/>
        <w:suppressLineNumbers w:val="0"/>
        <w:tabs>
          <w:tab w:val="left" w:pos="567"/>
        </w:tabs>
        <w:suppressAutoHyphens w:val="0"/>
        <w:spacing w:line="200" w:lineRule="exact"/>
        <w:ind w:left="289" w:firstLine="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2.中国：指中华人民共和国（为本理财产品销售文件之目的，不包括香港特别行政区、澳门特别行政区和台湾地区）。</w:t>
      </w:r>
    </w:p>
    <w:p w14:paraId="00CE4D5D">
      <w:pPr>
        <w:pStyle w:val="48"/>
        <w:keepNext w:val="0"/>
        <w:keepLines w:val="0"/>
        <w:pageBreakBefore w:val="0"/>
        <w:widowControl/>
        <w:suppressLineNumbers w:val="0"/>
        <w:tabs>
          <w:tab w:val="left" w:pos="567"/>
        </w:tabs>
        <w:suppressAutoHyphens w:val="0"/>
        <w:spacing w:line="200" w:lineRule="exact"/>
        <w:ind w:left="289" w:firstLine="0"/>
        <w:rPr>
          <w:rFonts w:hint="eastAsia" w:hAnsi="方正黑体_GBK" w:cs="方正黑体_GBK"/>
          <w:color w:val="3D3D3D"/>
          <w:kern w:val="0"/>
          <w:sz w:val="15"/>
          <w:szCs w:val="15"/>
          <w:highlight w:val="none"/>
        </w:rPr>
      </w:pPr>
      <w:r>
        <w:rPr>
          <w:rFonts w:hint="eastAsia" w:ascii="方正黑体_GBK" w:hAnsi="方正黑体_GBK" w:eastAsia="方正黑体_GBK" w:cs="方正黑体_GBK"/>
          <w:color w:val="3D3D3D"/>
          <w:kern w:val="0"/>
          <w:sz w:val="15"/>
          <w:szCs w:val="15"/>
          <w:highlight w:val="none"/>
        </w:rPr>
        <w:t xml:space="preserve"> 3.元：指人民币元。</w:t>
      </w:r>
    </w:p>
    <w:p w14:paraId="37FD8FB7">
      <w:pPr>
        <w:pStyle w:val="48"/>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s="方正黑体_GBK"/>
          <w:color w:val="3D3D3D"/>
          <w:kern w:val="0"/>
          <w:sz w:val="15"/>
          <w:szCs w:val="15"/>
          <w:lang w:val="en-US" w:eastAsia="zh-CN"/>
        </w:rPr>
      </w:pPr>
      <w:r>
        <w:rPr>
          <w:rFonts w:hint="eastAsia" w:ascii="方正黑体_GBK" w:hAnsi="方正黑体_GBK" w:eastAsia="方正黑体_GBK" w:cs="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1A8076F5">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第三条  情景示例</w:t>
      </w:r>
    </w:p>
    <w:p w14:paraId="747E6412">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假设：投资者认购本理财产品10万元，确认认购的产品净值为1.0000元，折算份额100,000份，该份额在2022年6月27日及之前不可赎回。</w:t>
      </w:r>
    </w:p>
    <w:p w14:paraId="0B9841E4">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情景示例一：投资者于2022年8月19日10时申请赎回50,000份，赎回确认日产品单位净值扣除产品赎回费、业绩报酬等费用（如有）后，折算每份额净值1.0300，则客户在资金到帐日收到赎回资金为51,500元。</w:t>
      </w:r>
    </w:p>
    <w:p w14:paraId="2D825B82">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情景示例二：投资者于2022年9月5日10时申请赎回20,000份，赎回确认日产品单位净值扣除产品赎回费、业绩报酬等费用（如有）后，折算每份额净值为0.9700，则客户在资金到帐日收到赎回资金为19,400元。</w:t>
      </w:r>
    </w:p>
    <w:p w14:paraId="61CF241A">
      <w:pPr>
        <w:spacing w:line="200" w:lineRule="exact"/>
        <w:rPr>
          <w:rFonts w:hint="eastAsia" w:hAnsi="方正黑体_GBK" w:cs="方正黑体_GBK"/>
        </w:rPr>
      </w:pPr>
      <w:r>
        <w:rPr>
          <w:rFonts w:hint="eastAsia" w:ascii="方正黑体_GBK" w:hAnsi="方正黑体_GBK" w:eastAsia="方正黑体_GBK" w:cs="方正黑体_GBK"/>
          <w:sz w:val="15"/>
          <w:szCs w:val="20"/>
        </w:rPr>
        <w:t xml:space="preserve"> 以上数据为假设情形中的模拟数据，不代表实际收益，投资须谨慎。</w:t>
      </w:r>
    </w:p>
    <w:p w14:paraId="1C07C622">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Style w:val="62"/>
          <w:rFonts w:hint="eastAsia" w:ascii="方正黑体_GBK" w:hAnsi="方正黑体_GBK" w:eastAsia="方正黑体_GBK" w:cs="方正黑体_GBK"/>
          <w:vanish w:val="0"/>
          <w:sz w:val="15"/>
          <w:szCs w:val="15"/>
        </w:rPr>
      </w:pPr>
      <w:r>
        <w:rPr>
          <w:rFonts w:hint="eastAsia" w:ascii="方正黑体_GBK" w:hAnsi="方正黑体_GBK" w:eastAsia="方正黑体_GBK" w:cs="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3D9DC67D">
      <w:pPr>
        <w:pStyle w:val="33"/>
        <w:keepNext w:val="0"/>
        <w:keepLines w:val="0"/>
        <w:pageBreakBefore w:val="0"/>
        <w:widowControl/>
        <w:suppressLineNumbers w:val="0"/>
        <w:suppressAutoHyphens w:val="0"/>
        <w:spacing w:line="200" w:lineRule="exact"/>
        <w:ind w:firstLine="300" w:firstLineChars="200"/>
        <w:rPr>
          <w:rStyle w:val="62"/>
          <w:rFonts w:hint="eastAsia" w:ascii="方正黑体_GBK" w:hAnsi="方正黑体_GBK" w:eastAsia="方正黑体_GBK" w:cs="方正黑体_GBK"/>
          <w:sz w:val="20"/>
          <w:szCs w:val="20"/>
          <w:lang w:val="en-US" w:eastAsia="zh-CN"/>
        </w:rPr>
      </w:pPr>
      <w:r>
        <w:rPr>
          <w:rFonts w:hint="eastAsia" w:ascii="方正黑体_GBK" w:hAnsi="方正黑体_GBK" w:eastAsia="方正黑体_GBK" w:cs="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6A350227">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cs="方正黑体_GBK"/>
          <w:b/>
          <w:bCs w:val="0"/>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第四</w:t>
      </w:r>
      <w:r>
        <w:rPr>
          <w:rFonts w:hint="eastAsia" w:ascii="方正黑体_GBK" w:hAnsi="方正黑体_GBK" w:eastAsia="方正黑体_GBK" w:cs="方正黑体_GBK"/>
          <w:b/>
          <w:bCs w:val="0"/>
          <w:vanish w:val="0"/>
          <w:color w:val="auto"/>
          <w:kern w:val="0"/>
          <w:sz w:val="15"/>
          <w:szCs w:val="15"/>
        </w:rPr>
        <w:t>条  理财产品估值</w:t>
      </w:r>
    </w:p>
    <w:p w14:paraId="10CD9B76">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（一）估值日</w:t>
      </w:r>
    </w:p>
    <w:p w14:paraId="0C83DD7A">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本理财产品每个工作日进行估值。</w:t>
      </w:r>
    </w:p>
    <w:p w14:paraId="7B90F462">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（二）估值对象</w:t>
      </w:r>
    </w:p>
    <w:p w14:paraId="5ED465EE">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本理财产品所拥有的所有资产及负债。</w:t>
      </w:r>
    </w:p>
    <w:p w14:paraId="2512B53A">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（三）估值目的</w:t>
      </w:r>
    </w:p>
    <w:p w14:paraId="75A06169">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客观、准确反映理财产品的价值。</w:t>
      </w:r>
    </w:p>
    <w:p w14:paraId="4C60DB5D">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（四）估值原则</w:t>
      </w:r>
    </w:p>
    <w:p w14:paraId="6F7B731C">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理财产品应坚持公允价值计量原则，符合会计准则和监管规定的范围内的可选择摊余成本法计量。</w:t>
      </w:r>
    </w:p>
    <w:p w14:paraId="63BD871D">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（五）估值方法</w:t>
      </w:r>
    </w:p>
    <w:p w14:paraId="3121E0FA">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估值方法中列示的资产品种不代表管理人的实际投向，本理财产品拟投资范围以“投资范围”章节描述为准。</w:t>
      </w:r>
    </w:p>
    <w:p w14:paraId="1F14667C">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1.银行存款、回购等货币市场工具</w:t>
      </w:r>
    </w:p>
    <w:p w14:paraId="5F59257E">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以本金列示，按商定的利率在实际持有期间内逐日计提。</w:t>
      </w:r>
    </w:p>
    <w:p w14:paraId="03C32A82">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2.债券类资产</w:t>
      </w:r>
    </w:p>
    <w:p w14:paraId="30950053">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1944298A">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3.非标准化债权类资产</w:t>
      </w:r>
    </w:p>
    <w:p w14:paraId="15AA42A3">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6484F9E3">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4.证券投资基金</w:t>
      </w:r>
    </w:p>
    <w:p w14:paraId="6FD29CDF">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6C73B19A">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5.股权类资产</w:t>
      </w:r>
    </w:p>
    <w:p w14:paraId="4EE782E4">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3A843D38">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6.资管计划、信托计划等资产</w:t>
      </w:r>
    </w:p>
    <w:p w14:paraId="65B222D4">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存在公允价值的，按照公允价值估值，或采用估值技术确定估值，也可采用被委托机构提供的估值或计量报告。</w:t>
      </w:r>
    </w:p>
    <w:p w14:paraId="57DCA34B">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7.其他资产</w:t>
      </w:r>
    </w:p>
    <w:p w14:paraId="273D7EE1">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存在公允价值的，按照公允价值估值，或采用估值技术确定估值，也可采用被委托机构提供的估值或计量报告。具体可参考《企业会计准则》以及相关监管政策的规定。</w:t>
      </w:r>
    </w:p>
    <w:p w14:paraId="4BD14CE8">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23FF4E37">
      <w:pPr>
        <w:spacing w:line="200" w:lineRule="exact"/>
        <w:ind w:firstLine="280"/>
        <w:jc w:val="left"/>
        <w:rPr>
          <w:rFonts w:hint="eastAsia" w:hAnsi="方正黑体_GBK" w:cs="方正黑体_GBK"/>
        </w:rPr>
      </w:pPr>
      <w:r>
        <w:rPr>
          <w:rFonts w:hint="eastAsia" w:ascii="方正黑体_GBK" w:hAnsi="方正黑体_GBK" w:eastAsia="方正黑体_GBK" w:cs="方正黑体_GBK"/>
          <w:color w:val="3D3D3D"/>
          <w:sz w:val="15"/>
          <w:szCs w:val="20"/>
        </w:rPr>
        <w:t>9.如有新增事项或变更事项，按国家最新规定或管理人最新的约定估值。</w:t>
      </w:r>
    </w:p>
    <w:p w14:paraId="627B2E9F">
      <w:pPr>
        <w:spacing w:line="200" w:lineRule="exact"/>
        <w:ind w:firstLine="280"/>
        <w:jc w:val="left"/>
        <w:rPr>
          <w:rFonts w:hint="eastAsia" w:hAnsi="方正黑体_GBK" w:cs="方正黑体_GBK"/>
        </w:rPr>
      </w:pPr>
      <w:r>
        <w:rPr>
          <w:rFonts w:hint="eastAsia" w:ascii="方正黑体_GBK" w:hAnsi="方正黑体_GBK" w:eastAsia="方正黑体_GBK" w:cs="方正黑体_GBK"/>
          <w:sz w:val="15"/>
          <w:szCs w:val="20"/>
        </w:rPr>
        <w:t>开放式理财产品在前一估值日内，产品资产净值50%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3个交易日内告知投资者，并说明运用相关措施的原因、拟采取的应对安排等，投资者需重新进行资金安排。</w:t>
      </w:r>
    </w:p>
    <w:p w14:paraId="1E642B6B">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（六）估值错误及暂停估值</w:t>
      </w:r>
    </w:p>
    <w:p w14:paraId="2C96AB0E">
      <w:pPr>
        <w:spacing w:line="200" w:lineRule="exact"/>
        <w:ind w:firstLine="300"/>
        <w:jc w:val="both"/>
        <w:rPr>
          <w:rFonts w:hint="eastAsia" w:hAnsi="方正黑体_GBK" w:cs="方正黑体_GBK"/>
        </w:rPr>
      </w:pPr>
      <w:r>
        <w:rPr>
          <w:rFonts w:hint="eastAsia" w:ascii="方正黑体_GBK" w:hAnsi="方正黑体_GBK" w:eastAsia="方正黑体_GBK" w:cs="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30E8301E">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第五条  信息披露</w:t>
      </w:r>
    </w:p>
    <w:p w14:paraId="1D1DE344">
      <w:pPr>
        <w:pStyle w:val="3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信息披露渠道</w:t>
      </w:r>
    </w:p>
    <w:p w14:paraId="3D19CBE4">
      <w:pPr>
        <w:spacing w:line="200" w:lineRule="exact"/>
        <w:rPr>
          <w:rFonts w:hint="eastAsia" w:hAnsi="方正黑体_GBK" w:cs="方正黑体_GBK"/>
        </w:rPr>
      </w:pPr>
      <w:r>
        <w:rPr>
          <w:rFonts w:hint="eastAsia" w:ascii="方正黑体_GBK" w:hAnsi="方正黑体_GBK" w:eastAsia="方正黑体_GBK" w:cs="方正黑体_GBK"/>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6CE6628E">
      <w:pPr>
        <w:pStyle w:val="3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信息披露的内容及时间</w:t>
      </w:r>
    </w:p>
    <w:p w14:paraId="5D08CB3E">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 xml:space="preserve"> 净值信息</w:t>
      </w:r>
    </w:p>
    <w:p w14:paraId="34D9B322">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管理人在本理财产品存续期间至少按日向投资者披露净值。</w:t>
      </w:r>
    </w:p>
    <w:p w14:paraId="7435829A">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产品发行公告</w:t>
      </w:r>
    </w:p>
    <w:p w14:paraId="551C80DD">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管理人将在本理财产品成立后5个工作日内披露产品发行公告。</w:t>
      </w:r>
    </w:p>
    <w:p w14:paraId="45CBB9F0">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定期报告</w:t>
      </w:r>
    </w:p>
    <w:p w14:paraId="6B825ED3">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管理人将在每个季度结束之日起15个工作日内、上半年结束之日起60个工作日内、每年结束之日起90个工作日内披露本理财产品的季度、半年和年度报告，如果本理财产品成立不足90个工作日或者剩余存续期不超过90个工作日的，管理人可以不编制产品当期的季度、半年和年度报告。</w:t>
      </w:r>
    </w:p>
    <w:p w14:paraId="1F741F9E">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到期公告</w:t>
      </w:r>
    </w:p>
    <w:p w14:paraId="1A07E554">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管理人将在本理财产品终止后5个工作日内披露产品到期公告。</w:t>
      </w:r>
    </w:p>
    <w:p w14:paraId="76A50E06">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重大事项公告</w:t>
      </w:r>
    </w:p>
    <w:p w14:paraId="15D0AE79">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管理人将在发生可能对本理财产品投资者或者理财产品收益产生重大影响的事件后2个工作日内披露重大事项公告。</w:t>
      </w:r>
    </w:p>
    <w:p w14:paraId="02B65DD1">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临时公告</w:t>
      </w:r>
    </w:p>
    <w:p w14:paraId="0E2FEAC4">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5C6D6501">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关联交易信息披露</w:t>
      </w:r>
    </w:p>
    <w:p w14:paraId="510893CD">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14:paraId="07E2C95C">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账单</w:t>
      </w:r>
    </w:p>
    <w:p w14:paraId="0A9E0A2D">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14:paraId="38931F2A">
      <w:pPr>
        <w:pStyle w:val="3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在本理财产品存续期内：</w:t>
      </w:r>
    </w:p>
    <w:p w14:paraId="4E060BBA">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1）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6CE9D325">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2）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0DDD6D7C">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10.其他公告</w:t>
      </w:r>
    </w:p>
    <w:p w14:paraId="4251B3B2">
      <w:pPr>
        <w:pStyle w:val="33"/>
        <w:keepNext w:val="0"/>
        <w:keepLines w:val="0"/>
        <w:pageBreakBefore w:val="0"/>
        <w:widowControl/>
        <w:suppressLineNumbers w:val="0"/>
        <w:suppressAutoHyphens w:val="0"/>
        <w:spacing w:line="200" w:lineRule="exact"/>
        <w:ind w:firstLine="300"/>
        <w:rPr>
          <w:rFonts w:hint="eastAsia" w:ascii="方正黑体_GBK" w:hAnsi="方正黑体_GBK" w:eastAsia="方正黑体_GBK" w:cs="方正黑体_GBK"/>
          <w:color w:val="3D3D3D"/>
          <w:kern w:val="0"/>
          <w:sz w:val="15"/>
          <w:szCs w:val="15"/>
        </w:rPr>
      </w:pPr>
      <w:r>
        <w:rPr>
          <w:rFonts w:hint="eastAsia" w:ascii="方正黑体_GBK" w:hAnsi="方正黑体_GBK" w:eastAsia="方正黑体_GBK" w:cs="方正黑体_GBK"/>
          <w:vanish w:val="0"/>
          <w:color w:val="3D3D3D"/>
          <w:kern w:val="0"/>
          <w:sz w:val="15"/>
          <w:szCs w:val="15"/>
        </w:rPr>
        <w:t>理财产品在运作管理过程中，管理人根据实际运作情况发布的其他公告。</w:t>
      </w:r>
    </w:p>
    <w:p w14:paraId="0C4EED4F">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第六条  投资者保护提示</w:t>
      </w:r>
    </w:p>
    <w:p w14:paraId="34AF5D5F">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您如对销售机构产品推介和销售等服务有任何意见或建议，您可通过拨打销售机构客服电话进行咨询及反馈。</w:t>
      </w:r>
    </w:p>
    <w:p w14:paraId="2A75F021">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您如对理财产品设计、投资管理等事项有任何意见或建议，您可通过拨打管理人客服电话进行咨询及反馈。</w:t>
      </w:r>
    </w:p>
    <w:p w14:paraId="1A0CB98A">
      <w:pPr>
        <w:pStyle w:val="33"/>
        <w:keepNext w:val="0"/>
        <w:keepLines w:val="0"/>
        <w:pageBreakBefore w:val="0"/>
        <w:widowControl/>
        <w:suppressLineNumbers w:val="0"/>
        <w:suppressAutoHyphens w:val="0"/>
        <w:spacing w:line="200" w:lineRule="exact"/>
        <w:ind w:firstLine="300"/>
        <w:rPr>
          <w:rFonts w:hint="eastAsia" w:ascii="方正黑体_GBK" w:hAnsi="方正黑体_GBK" w:eastAsia="方正黑体_GBK" w:cs="方正黑体_GBK"/>
          <w:color w:val="3D3D3D"/>
          <w:kern w:val="0"/>
          <w:sz w:val="15"/>
          <w:szCs w:val="15"/>
          <w:lang w:val="en-US" w:eastAsia="zh-CN"/>
        </w:rPr>
      </w:pPr>
      <w:r>
        <w:rPr>
          <w:rFonts w:hint="eastAsia" w:ascii="方正黑体_GBK" w:hAnsi="方正黑体_GBK" w:eastAsia="方正黑体_GBK" w:cs="方正黑体_GBK"/>
          <w:vanish w:val="0"/>
          <w:color w:val="3D3D3D"/>
          <w:kern w:val="0"/>
          <w:sz w:val="15"/>
          <w:szCs w:val="15"/>
        </w:rPr>
        <w:t>销售机构及管理人的联系方式详见《投资者权益须知》第八条。</w:t>
      </w:r>
    </w:p>
    <w:p w14:paraId="51D56505">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第七条  法律适用和争议解决</w:t>
      </w:r>
    </w:p>
    <w:p w14:paraId="24AF771E">
      <w:pPr>
        <w:pStyle w:val="33"/>
        <w:keepNext w:val="0"/>
        <w:keepLines w:val="0"/>
        <w:pageBreakBefore w:val="0"/>
        <w:widowControl/>
        <w:suppressLineNumbers w:val="0"/>
        <w:suppressAutoHyphens w:val="0"/>
        <w:spacing w:line="200" w:lineRule="exact"/>
        <w:ind w:firstLine="300"/>
        <w:rPr>
          <w:rFonts w:hint="eastAsia" w:ascii="方正黑体_GBK" w:hAnsi="方正黑体_GBK" w:eastAsia="方正黑体_GBK" w:cs="方正黑体_GBK"/>
          <w:color w:val="3D3D3D"/>
          <w:kern w:val="0"/>
          <w:sz w:val="15"/>
          <w:szCs w:val="15"/>
          <w:lang w:val="en-US" w:eastAsia="zh-CN"/>
        </w:rPr>
      </w:pPr>
      <w:r>
        <w:rPr>
          <w:rFonts w:hint="eastAsia" w:ascii="方正黑体_GBK" w:hAnsi="方正黑体_GBK" w:eastAsia="方正黑体_GBK" w:cs="方正黑体_GBK"/>
          <w:vanish w:val="0"/>
          <w:color w:val="3D3D3D"/>
          <w:kern w:val="0"/>
          <w:sz w:val="15"/>
          <w:szCs w:val="15"/>
        </w:rPr>
        <w:t>理财产品销售文件的订立、生效、履行、解释、修改和终止等事项的适用法律和争议解决方式按照销售协议书的相关约定执行。</w:t>
      </w:r>
    </w:p>
    <w:p w14:paraId="3A83C542">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第八条  重要提示</w:t>
      </w:r>
    </w:p>
    <w:p w14:paraId="1FD2643D">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请您一定仔细阅读本理财产品销售文件，了解理财产品具体情况，关注投资风险，自主决定是否投资。</w:t>
      </w:r>
    </w:p>
    <w:p w14:paraId="4D639913">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w:t>
      </w:r>
      <w:r>
        <w:rPr>
          <w:rFonts w:hint="eastAsia" w:ascii="方正黑体_GBK" w:hAnsi="方正黑体_GBK" w:eastAsia="方正黑体_GBK" w:cs="方正黑体_GBK"/>
          <w:b/>
          <w:bCs/>
          <w:vanish w:val="0"/>
          <w:color w:val="auto"/>
          <w:spacing w:val="0"/>
          <w:kern w:val="0"/>
          <w:sz w:val="15"/>
          <w:szCs w:val="15"/>
        </w:rPr>
        <w:t>在办理与理财产品相关事项需要的情况下向服务机构及其他管理人或销售机构认为必要的业务合作机构提供投资者相关信息。</w:t>
      </w:r>
      <w:r>
        <w:rPr>
          <w:rFonts w:hint="eastAsia" w:ascii="方正黑体_GBK" w:hAnsi="方正黑体_GBK" w:eastAsia="方正黑体_GBK" w:cs="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cs="方正黑体_GBK"/>
          <w:b/>
          <w:bCs/>
          <w:vanish w:val="0"/>
          <w:color w:val="auto"/>
          <w:spacing w:val="0"/>
          <w:kern w:val="0"/>
          <w:sz w:val="15"/>
          <w:szCs w:val="15"/>
        </w:rPr>
        <w:t>。</w:t>
      </w:r>
    </w:p>
    <w:p w14:paraId="771C4D43">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cs="方正黑体_GBK"/>
          <w:b/>
          <w:bCs/>
          <w:vanish w:val="0"/>
          <w:color w:val="auto"/>
          <w:kern w:val="0"/>
          <w:sz w:val="15"/>
          <w:szCs w:val="15"/>
        </w:rPr>
      </w:pPr>
      <w:r>
        <w:rPr>
          <w:rFonts w:hint="eastAsia" w:ascii="方正黑体_GBK" w:hAnsi="方正黑体_GBK" w:eastAsia="方正黑体_GBK" w:cs="方正黑体_GBK"/>
          <w:b/>
          <w:bCs/>
          <w:vanish w:val="0"/>
          <w:color w:val="auto"/>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14:paraId="0CC70BB1">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hint="eastAsia" w:ascii="方正黑体_GBK" w:hAnsi="方正黑体_GBK" w:eastAsia="方正黑体_GBK" w:cs="方正黑体_GBK"/>
          <w:b/>
          <w:bCs/>
          <w:vanish w:val="0"/>
          <w:color w:val="3D3D3D"/>
          <w:kern w:val="0"/>
          <w:sz w:val="15"/>
          <w:szCs w:val="15"/>
        </w:rPr>
      </w:pPr>
    </w:p>
    <w:p w14:paraId="4F42C4F1">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风险提示：</w:t>
      </w:r>
    </w:p>
    <w:p w14:paraId="2656B0F1">
      <w:pPr>
        <w:pStyle w:val="33"/>
        <w:tabs>
          <w:tab w:val="left" w:pos="8033"/>
        </w:tabs>
        <w:jc w:val="left"/>
        <w:rPr>
          <w:rFonts w:hint="eastAsia" w:hAnsi="方正黑体_GBK" w:cs="方正黑体_GBK"/>
          <w:lang w:val="en-US" w:eastAsia="zh-CN"/>
        </w:rPr>
      </w:pPr>
      <w:r>
        <w:rPr>
          <w:rFonts w:hint="eastAsia" w:ascii="方正黑体_GBK" w:hAnsi="方正黑体_GBK" w:eastAsia="方正黑体_GBK" w:cs="方正黑体_GBK"/>
          <w:b/>
          <w:bCs/>
          <w:color w:val="3D3D3D"/>
          <w:kern w:val="0"/>
          <w:sz w:val="15"/>
          <w:szCs w:val="15"/>
        </w:rPr>
        <w:t>本理财产品是</w:t>
      </w:r>
      <w:r>
        <w:rPr>
          <w:rFonts w:hint="eastAsia" w:ascii="方正黑体_GBK" w:hAnsi="方正黑体_GBK" w:eastAsia="方正黑体_GBK" w:cs="方正黑体_GBK"/>
          <w:b/>
          <w:bCs/>
          <w:i/>
          <w:iCs/>
          <w:caps w:val="0"/>
          <w:smallCaps w:val="0"/>
          <w:snapToGrid/>
          <w:vanish w:val="0"/>
          <w:color w:val="auto"/>
          <w:kern w:val="0"/>
          <w:sz w:val="20"/>
          <w:szCs w:val="18"/>
          <w:u w:val="single"/>
          <w:vertAlign w:val="baseline"/>
          <w:lang w:val="en-US" w:eastAsia="zh-CN"/>
        </w:rPr>
        <w:t>开放式、固定收益类、公募、净值型</w:t>
      </w:r>
      <w:r>
        <w:rPr>
          <w:rFonts w:hint="eastAsia" w:ascii="方正黑体_GBK" w:hAnsi="方正黑体_GBK" w:eastAsia="方正黑体_GBK" w:cs="方正黑体_GBK"/>
          <w:b/>
          <w:bCs/>
          <w:color w:val="3D3D3D"/>
          <w:kern w:val="0"/>
          <w:sz w:val="15"/>
          <w:szCs w:val="15"/>
        </w:rPr>
        <w:t>理财产品，</w:t>
      </w:r>
      <w:r>
        <w:rPr>
          <w:rFonts w:hint="eastAsia" w:ascii="方正黑体_GBK" w:hAnsi="方正黑体_GBK" w:eastAsia="方正黑体_GBK" w:cs="方正黑体_GBK"/>
          <w:b/>
          <w:bCs/>
          <w:i/>
          <w:iCs/>
          <w:color w:val="3D3D3D"/>
          <w:kern w:val="0"/>
          <w:sz w:val="21"/>
          <w:szCs w:val="21"/>
          <w:u w:val="single"/>
        </w:rPr>
        <w:t>不保证本金和收益</w:t>
      </w:r>
      <w:r>
        <w:rPr>
          <w:rFonts w:hint="eastAsia" w:ascii="方正黑体_GBK" w:hAnsi="方正黑体_GBK" w:eastAsia="方正黑体_GBK" w:cs="方正黑体_GBK"/>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5" w:type="default"/>
      <w:pgSz w:w="11907" w:h="16839"/>
      <w:pgMar w:top="720" w:right="720" w:bottom="720" w:left="72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MicrosoftYaHei_PDF_Subset">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1430B">
    <w:pPr>
      <w:pStyle w:val="10"/>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1">
    <w:nsid w:val="00000001"/>
    <w:multiLevelType w:val="multilevel"/>
    <w:tmpl w:val="00000001"/>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000002"/>
    <w:multiLevelType w:val="multilevel"/>
    <w:tmpl w:val="00000002"/>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abstractNum w:abstractNumId="3">
    <w:nsid w:val="00000003"/>
    <w:multiLevelType w:val="multilevel"/>
    <w:tmpl w:val="00000003"/>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09D35AF"/>
    <w:rsid w:val="20374866"/>
    <w:rsid w:val="4FB419A6"/>
    <w:rsid w:val="51AE1BA3"/>
    <w:rsid w:val="5C3C2BF4"/>
    <w:rsid w:val="5EAA7148"/>
    <w:rsid w:val="7C02443C"/>
    <w:rsid w:val="7E3A1E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3">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4">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styleId="5">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7">
    <w:name w:val="Default Paragraph Font"/>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customStyle="1" w:styleId="2">
    <w:name w:val="引文目录1"/>
    <w:basedOn w:val="1"/>
    <w:next w:val="1"/>
    <w:qFormat/>
    <w:uiPriority w:val="0"/>
    <w:pPr>
      <w:ind w:left="420" w:leftChars="200"/>
    </w:pPr>
  </w:style>
  <w:style w:type="paragraph" w:styleId="6">
    <w:name w:val="annotation text"/>
    <w:basedOn w:val="1"/>
    <w:unhideWhenUsed/>
    <w:qFormat/>
    <w:uiPriority w:val="99"/>
    <w:pPr>
      <w:jc w:val="left"/>
    </w:pPr>
  </w:style>
  <w:style w:type="paragraph" w:styleId="7">
    <w:name w:val="toc 5"/>
    <w:basedOn w:val="1"/>
    <w:next w:val="1"/>
    <w:qFormat/>
    <w:uiPriority w:val="0"/>
    <w:pPr>
      <w:ind w:left="1680"/>
    </w:pPr>
  </w:style>
  <w:style w:type="paragraph" w:styleId="8">
    <w:name w:val="toc 3"/>
    <w:basedOn w:val="1"/>
    <w:next w:val="1"/>
    <w:qFormat/>
    <w:uiPriority w:val="0"/>
    <w:pPr>
      <w:ind w:left="840"/>
    </w:pPr>
  </w:style>
  <w:style w:type="paragraph" w:styleId="9">
    <w:name w:val="footer"/>
    <w:basedOn w:val="1"/>
    <w:qFormat/>
    <w:uiPriority w:val="0"/>
    <w:pPr>
      <w:tabs>
        <w:tab w:val="center" w:pos="4153"/>
        <w:tab w:val="right" w:pos="8307"/>
      </w:tabs>
      <w:adjustRightInd/>
      <w:snapToGrid w:val="0"/>
      <w:contextualSpacing w:val="0"/>
      <w:jc w:val="left"/>
    </w:pPr>
    <w:rPr>
      <w:sz w:val="18"/>
    </w:rPr>
  </w:style>
  <w:style w:type="paragraph" w:styleId="10">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11">
    <w:name w:val="toc 1"/>
    <w:basedOn w:val="1"/>
    <w:next w:val="1"/>
    <w:qFormat/>
    <w:uiPriority w:val="0"/>
  </w:style>
  <w:style w:type="paragraph" w:styleId="12">
    <w:name w:val="toc 4"/>
    <w:basedOn w:val="1"/>
    <w:next w:val="1"/>
    <w:qFormat/>
    <w:uiPriority w:val="0"/>
    <w:pPr>
      <w:ind w:left="1260"/>
    </w:pPr>
  </w:style>
  <w:style w:type="paragraph" w:styleId="13">
    <w:name w:val="toc 2"/>
    <w:basedOn w:val="1"/>
    <w:next w:val="1"/>
    <w:qFormat/>
    <w:uiPriority w:val="0"/>
    <w:pPr>
      <w:ind w:left="420"/>
    </w:pPr>
  </w:style>
  <w:style w:type="paragraph" w:styleId="14">
    <w:name w:val="Normal (Web)"/>
    <w:basedOn w:val="1"/>
    <w:qFormat/>
    <w:uiPriority w:val="0"/>
    <w:pPr>
      <w:widowControl/>
      <w:spacing w:before="102" w:after="102" w:line="1099" w:lineRule="atLeast"/>
      <w:ind w:firstLine="419"/>
      <w:jc w:val="left"/>
      <w:textAlignment w:val="baseline"/>
    </w:pPr>
    <w:rPr>
      <w:rFonts w:ascii="Times New Roman" w:hAnsi="Times New Roman" w:eastAsia="宋体" w:cs="Times New Roman"/>
      <w:color w:val="000000"/>
      <w:kern w:val="0"/>
      <w:sz w:val="24"/>
      <w:szCs w:val="20"/>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0"/>
    <w:rPr>
      <w:b/>
    </w:rPr>
  </w:style>
  <w:style w:type="paragraph" w:customStyle="1" w:styleId="19">
    <w:name w:val="Normal752c9bba"/>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0">
    <w:name w:val="heading 13221a6a8"/>
    <w:basedOn w:val="1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21">
    <w:name w:val="heading 218917a50"/>
    <w:basedOn w:val="19"/>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customStyle="1" w:styleId="22">
    <w:name w:val="heading 3f5ec5214"/>
    <w:basedOn w:val="1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23">
    <w:name w:val="Default Paragraph Font11f294c6"/>
    <w:qFormat/>
    <w:uiPriority w:val="0"/>
  </w:style>
  <w:style w:type="paragraph" w:customStyle="1" w:styleId="24">
    <w:name w:val="toc 1178a4269"/>
    <w:basedOn w:val="19"/>
    <w:next w:val="1"/>
    <w:qFormat/>
    <w:uiPriority w:val="0"/>
  </w:style>
  <w:style w:type="paragraph" w:customStyle="1" w:styleId="25">
    <w:name w:val="toc 2d7513c68"/>
    <w:basedOn w:val="19"/>
    <w:next w:val="1"/>
    <w:qFormat/>
    <w:uiPriority w:val="0"/>
    <w:pPr>
      <w:ind w:left="420"/>
    </w:pPr>
  </w:style>
  <w:style w:type="paragraph" w:customStyle="1" w:styleId="26">
    <w:name w:val="toc 3200aa628"/>
    <w:basedOn w:val="19"/>
    <w:next w:val="1"/>
    <w:qFormat/>
    <w:uiPriority w:val="0"/>
    <w:pPr>
      <w:ind w:left="840"/>
    </w:pPr>
  </w:style>
  <w:style w:type="paragraph" w:customStyle="1" w:styleId="27">
    <w:name w:val="toc 484ea9bab"/>
    <w:basedOn w:val="19"/>
    <w:next w:val="1"/>
    <w:qFormat/>
    <w:uiPriority w:val="0"/>
    <w:pPr>
      <w:ind w:left="1260"/>
    </w:pPr>
  </w:style>
  <w:style w:type="paragraph" w:customStyle="1" w:styleId="28">
    <w:name w:val="toc 5acde109e"/>
    <w:basedOn w:val="19"/>
    <w:next w:val="1"/>
    <w:qFormat/>
    <w:uiPriority w:val="0"/>
    <w:pPr>
      <w:ind w:left="1680"/>
    </w:pPr>
  </w:style>
  <w:style w:type="paragraph" w:customStyle="1" w:styleId="29">
    <w:name w:val="headercd65e758"/>
    <w:basedOn w:val="1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0">
    <w:name w:val="footer103e6b47"/>
    <w:basedOn w:val="19"/>
    <w:qFormat/>
    <w:uiPriority w:val="0"/>
    <w:pPr>
      <w:tabs>
        <w:tab w:val="center" w:pos="4153"/>
        <w:tab w:val="right" w:pos="8307"/>
      </w:tabs>
      <w:adjustRightInd/>
      <w:snapToGrid w:val="0"/>
      <w:contextualSpacing w:val="0"/>
      <w:jc w:val="left"/>
    </w:pPr>
    <w:rPr>
      <w:sz w:val="18"/>
    </w:rPr>
  </w:style>
  <w:style w:type="character" w:customStyle="1" w:styleId="31">
    <w:name w:val="Strong33f15dac"/>
    <w:qFormat/>
    <w:uiPriority w:val="0"/>
    <w:rPr>
      <w:b/>
    </w:rPr>
  </w:style>
  <w:style w:type="paragraph" w:customStyle="1" w:styleId="32">
    <w:name w:val="annotation text23"/>
    <w:next w:val="1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33">
    <w:name w:val="Normalb8ede314"/>
    <w:next w:val="1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4">
    <w:name w:val="heading 13e4925e3"/>
    <w:basedOn w:val="33"/>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5">
    <w:name w:val="heading 288bae3e0"/>
    <w:basedOn w:val="33"/>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customStyle="1" w:styleId="36">
    <w:name w:val="heading 3ab8ef9ae"/>
    <w:basedOn w:val="33"/>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7">
    <w:name w:val="Default Paragraph Fontf60e5e9a"/>
    <w:qFormat/>
    <w:uiPriority w:val="0"/>
  </w:style>
  <w:style w:type="paragraph" w:customStyle="1" w:styleId="38">
    <w:name w:val="Normal Indentdc4e3047"/>
    <w:basedOn w:val="33"/>
    <w:qFormat/>
    <w:uiPriority w:val="0"/>
    <w:pPr>
      <w:ind w:firstLine="200" w:firstLineChars="200"/>
    </w:pPr>
  </w:style>
  <w:style w:type="paragraph" w:customStyle="1" w:styleId="39">
    <w:name w:val="toc 55e95fd05"/>
    <w:basedOn w:val="33"/>
    <w:next w:val="1"/>
    <w:qFormat/>
    <w:uiPriority w:val="0"/>
    <w:pPr>
      <w:ind w:left="1680"/>
    </w:pPr>
  </w:style>
  <w:style w:type="paragraph" w:customStyle="1" w:styleId="40">
    <w:name w:val="toc 3245d742a"/>
    <w:basedOn w:val="33"/>
    <w:next w:val="1"/>
    <w:qFormat/>
    <w:uiPriority w:val="0"/>
    <w:pPr>
      <w:ind w:left="840"/>
    </w:pPr>
  </w:style>
  <w:style w:type="paragraph" w:customStyle="1" w:styleId="41">
    <w:name w:val="footer90e9b4c1"/>
    <w:basedOn w:val="33"/>
    <w:qFormat/>
    <w:uiPriority w:val="0"/>
    <w:pPr>
      <w:tabs>
        <w:tab w:val="center" w:pos="4153"/>
        <w:tab w:val="right" w:pos="8307"/>
      </w:tabs>
      <w:adjustRightInd/>
      <w:snapToGrid w:val="0"/>
      <w:contextualSpacing w:val="0"/>
      <w:jc w:val="left"/>
    </w:pPr>
    <w:rPr>
      <w:sz w:val="18"/>
    </w:rPr>
  </w:style>
  <w:style w:type="paragraph" w:customStyle="1" w:styleId="42">
    <w:name w:val="header384e65a5"/>
    <w:basedOn w:val="33"/>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43">
    <w:name w:val="toc 174eca712"/>
    <w:basedOn w:val="33"/>
    <w:next w:val="1"/>
    <w:qFormat/>
    <w:uiPriority w:val="0"/>
  </w:style>
  <w:style w:type="paragraph" w:customStyle="1" w:styleId="44">
    <w:name w:val="toc 4b0a553ed"/>
    <w:basedOn w:val="33"/>
    <w:next w:val="1"/>
    <w:qFormat/>
    <w:uiPriority w:val="0"/>
    <w:pPr>
      <w:ind w:left="1260"/>
    </w:pPr>
  </w:style>
  <w:style w:type="paragraph" w:customStyle="1" w:styleId="45">
    <w:name w:val="toc 20ce72a88"/>
    <w:basedOn w:val="33"/>
    <w:next w:val="1"/>
    <w:qFormat/>
    <w:uiPriority w:val="0"/>
    <w:pPr>
      <w:ind w:left="420"/>
    </w:pPr>
  </w:style>
  <w:style w:type="paragraph" w:customStyle="1" w:styleId="46">
    <w:name w:val="Normal (Web)89f8fce9"/>
    <w:next w:val="10"/>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Times New Roman"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7">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8">
    <w:name w:val="Normala8cc090ea8cc090e"/>
    <w:next w:val="1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9">
    <w:name w:val="heading 18356d9178356d917"/>
    <w:basedOn w:val="48"/>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50">
    <w:name w:val="heading 2109a001d109a001d"/>
    <w:basedOn w:val="48"/>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customStyle="1" w:styleId="51">
    <w:name w:val="heading 3e9fbb5a0e9fbb5a0"/>
    <w:basedOn w:val="48"/>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52">
    <w:name w:val="Default Paragraph Fontaa19d0dbaa19d0db"/>
    <w:qFormat/>
    <w:uiPriority w:val="0"/>
  </w:style>
  <w:style w:type="paragraph" w:customStyle="1" w:styleId="53">
    <w:name w:val="引文目录107e0252e07e0252e"/>
    <w:basedOn w:val="48"/>
    <w:next w:val="1"/>
    <w:qFormat/>
    <w:uiPriority w:val="0"/>
    <w:pPr>
      <w:ind w:left="200" w:leftChars="200"/>
    </w:pPr>
  </w:style>
  <w:style w:type="paragraph" w:customStyle="1" w:styleId="54">
    <w:name w:val="toc 54527ce154527ce15"/>
    <w:basedOn w:val="48"/>
    <w:next w:val="1"/>
    <w:qFormat/>
    <w:uiPriority w:val="0"/>
    <w:pPr>
      <w:ind w:left="1680"/>
    </w:pPr>
  </w:style>
  <w:style w:type="paragraph" w:customStyle="1" w:styleId="55">
    <w:name w:val="toc 39df5a7d59df5a7d5"/>
    <w:basedOn w:val="48"/>
    <w:next w:val="1"/>
    <w:qFormat/>
    <w:uiPriority w:val="0"/>
    <w:pPr>
      <w:ind w:left="840"/>
    </w:pPr>
  </w:style>
  <w:style w:type="paragraph" w:customStyle="1" w:styleId="56">
    <w:name w:val="footer5880ed445880ed44"/>
    <w:basedOn w:val="48"/>
    <w:qFormat/>
    <w:uiPriority w:val="0"/>
    <w:pPr>
      <w:tabs>
        <w:tab w:val="center" w:pos="4153"/>
        <w:tab w:val="right" w:pos="8307"/>
      </w:tabs>
      <w:adjustRightInd/>
      <w:snapToGrid w:val="0"/>
      <w:contextualSpacing w:val="0"/>
      <w:jc w:val="left"/>
    </w:pPr>
    <w:rPr>
      <w:sz w:val="18"/>
    </w:rPr>
  </w:style>
  <w:style w:type="paragraph" w:customStyle="1" w:styleId="57">
    <w:name w:val="header49b1823249b18232"/>
    <w:basedOn w:val="48"/>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8">
    <w:name w:val="toc 1b2becd38b2becd38"/>
    <w:basedOn w:val="48"/>
    <w:next w:val="1"/>
    <w:qFormat/>
    <w:uiPriority w:val="0"/>
  </w:style>
  <w:style w:type="paragraph" w:customStyle="1" w:styleId="59">
    <w:name w:val="toc 4694e7676694e7676"/>
    <w:basedOn w:val="48"/>
    <w:next w:val="1"/>
    <w:qFormat/>
    <w:uiPriority w:val="0"/>
    <w:pPr>
      <w:ind w:left="1260"/>
    </w:pPr>
  </w:style>
  <w:style w:type="paragraph" w:customStyle="1" w:styleId="60">
    <w:name w:val="toc 2523d5357523d5357"/>
    <w:basedOn w:val="48"/>
    <w:next w:val="1"/>
    <w:qFormat/>
    <w:uiPriority w:val="0"/>
    <w:pPr>
      <w:ind w:left="420"/>
    </w:pPr>
  </w:style>
  <w:style w:type="paragraph" w:customStyle="1" w:styleId="61">
    <w:name w:val="列出段落1b32994c1b32994c1"/>
    <w:link w:val="6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character" w:customStyle="1" w:styleId="62">
    <w:name w:val="列出段落1b32994c1b32994c1 Char"/>
    <w:basedOn w:val="17"/>
    <w:link w:val="61"/>
    <w:qFormat/>
    <w:uiPriority w:val="0"/>
    <w:rPr>
      <w:rFonts w:asci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63">
    <w:name w:val="Normal950dbae9950dbae9"/>
    <w:next w:val="13"/>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64">
    <w:name w:val="列表段落1"/>
    <w:basedOn w:val="1"/>
    <w:unhideWhenUsed/>
    <w:qFormat/>
    <w:uiPriority w:val="34"/>
    <w:pPr>
      <w:ind w:firstLine="420" w:firstLineChars="200"/>
    </w:pPr>
  </w:style>
  <w:style w:type="paragraph" w:customStyle="1" w:styleId="65">
    <w:name w:val="列出段落1"/>
    <w:basedOn w:val="1"/>
    <w:qFormat/>
    <w:uiPriority w:val="99"/>
    <w:pPr>
      <w:ind w:firstLine="420" w:firstLineChars="200"/>
    </w:pPr>
  </w:style>
  <w:style w:type="character" w:customStyle="1" w:styleId="66">
    <w:name w:val="fontstyle01"/>
    <w:basedOn w:val="17"/>
    <w:qFormat/>
    <w:uiPriority w:val="0"/>
    <w:rPr>
      <w:rFonts w:hint="default" w:ascii="MicrosoftYaHei_PDF_Subset" w:hAnsi="MicrosoftYaHei_PDF_Subset"/>
      <w:color w:val="00000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8</Pages>
  <Words>23171</Words>
  <Characters>23751</Characters>
  <Lines>802</Lines>
  <Paragraphs>445</Paragraphs>
  <TotalTime>0</TotalTime>
  <ScaleCrop>false</ScaleCrop>
  <LinksUpToDate>false</LinksUpToDate>
  <CharactersWithSpaces>23898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2024-11-08T00:57:31Z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14FE53F3ED5F4858B38E93E4EF7BC192_13</vt:lpwstr>
  </property>
</Properties>
</file>