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hint="eastAsia" w:ascii="方正黑体_GBK" w:hAnsi="方正黑体_GBK" w:eastAsia="方正黑体_GBK" w:cs="方正黑体_GBK"/>
          <w:b/>
          <w:bCs/>
          <w:vanish w:val="0"/>
          <w:kern w:val="0"/>
          <w:sz w:val="24"/>
          <w:szCs w:val="24"/>
        </w:rPr>
      </w:pPr>
      <w:r>
        <w:rPr>
          <w:rFonts w:hint="eastAsia" w:ascii="方正黑体_GBK" w:hAnsi="方正黑体_GBK" w:eastAsia="方正黑体_GBK" w:cs="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hint="eastAsia" w:ascii="方正黑体_GBK" w:hAnsi="方正黑体_GBK" w:eastAsia="方正黑体_GBK" w:cs="方正黑体_GBK"/>
          <w:vanish w:val="0"/>
          <w:color w:val="3D3D3D"/>
          <w:kern w:val="0"/>
          <w:sz w:val="18"/>
          <w:szCs w:val="18"/>
        </w:rPr>
      </w:pPr>
      <w:r>
        <w:rPr>
          <w:rFonts w:hint="eastAsia" w:ascii="方正黑体_GBK" w:hAnsi="方正黑体_GBK" w:eastAsia="方正黑体_GBK" w:cs="方正黑体_GBK"/>
          <w:b/>
          <w:bCs/>
          <w:i/>
          <w:iCs/>
          <w:vanish w:val="0"/>
          <w:kern w:val="0"/>
          <w:sz w:val="24"/>
          <w:szCs w:val="24"/>
          <w:u w:val="single"/>
        </w:rPr>
        <w:t>“理财非存款、产品有风险、投资须谨慎”！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方正黑体_GBK"/>
          <w:b/>
          <w:bCs w:val="0"/>
          <w:vanish w:val="0"/>
          <w:color w:val="3D3D3D"/>
          <w:kern w:val="0"/>
          <w:sz w:val="13"/>
          <w:szCs w:val="13"/>
        </w:rPr>
      </w:pPr>
      <w:r>
        <w:rPr>
          <w:rFonts w:hint="eastAsia" w:ascii="方正黑体_GBK" w:hAnsi="方正黑体_GBK" w:eastAsia="方正黑体_GBK" w:cs="方正黑体_GBK"/>
          <w:b/>
          <w:bCs w:val="0"/>
          <w:vanish w:val="0"/>
          <w:color w:val="3D3D3D"/>
          <w:kern w:val="0"/>
          <w:sz w:val="13"/>
          <w:szCs w:val="13"/>
        </w:rPr>
        <w:t>本理财产品是</w:t>
      </w:r>
      <w:r>
        <w:rPr>
          <w:rFonts w:hint="eastAsia" w:ascii="方正黑体_GBK" w:hAnsi="方正黑体_GBK" w:eastAsia="方正黑体_GBK" w:cs="方正黑体_GBK"/>
          <w:b/>
          <w:bCs w:val="0"/>
          <w:i/>
          <w:iCs/>
          <w:vanish w:val="0"/>
          <w:color w:val="3D3D3D"/>
          <w:kern w:val="0"/>
          <w:sz w:val="20"/>
          <w:szCs w:val="20"/>
          <w:u w:val="single"/>
        </w:rPr>
        <w:t>开放式、固定收益类、公募、净值型</w:t>
      </w:r>
      <w:r>
        <w:rPr>
          <w:rFonts w:hint="eastAsia" w:ascii="方正黑体_GBK" w:hAnsi="方正黑体_GBK" w:eastAsia="方正黑体_GBK" w:cs="方正黑体_GBK"/>
          <w:b/>
          <w:bCs w:val="0"/>
          <w:vanish w:val="0"/>
          <w:color w:val="3D3D3D"/>
          <w:kern w:val="0"/>
          <w:sz w:val="13"/>
          <w:szCs w:val="13"/>
        </w:rPr>
        <w:t>理财产品，</w:t>
      </w:r>
      <w:r>
        <w:rPr>
          <w:rFonts w:hint="eastAsia" w:ascii="方正黑体_GBK" w:hAnsi="方正黑体_GBK" w:eastAsia="方正黑体_GBK" w:cs="方正黑体_GBK"/>
          <w:b/>
          <w:bCs w:val="0"/>
          <w:i/>
          <w:iCs/>
          <w:vanish w:val="0"/>
          <w:color w:val="3D3D3D"/>
          <w:kern w:val="0"/>
          <w:sz w:val="20"/>
          <w:szCs w:val="20"/>
          <w:u w:val="single"/>
        </w:rPr>
        <w:t>不保证本金和收益</w:t>
      </w:r>
      <w:r>
        <w:rPr>
          <w:rFonts w:hint="eastAsia" w:ascii="方正黑体_GBK" w:hAnsi="方正黑体_GBK" w:eastAsia="方正黑体_GBK" w:cs="方正黑体_GBK"/>
          <w:b/>
          <w:bCs w:val="0"/>
          <w:vanish w:val="0"/>
          <w:color w:val="3D3D3D"/>
          <w:kern w:val="0"/>
          <w:sz w:val="13"/>
          <w:szCs w:val="13"/>
        </w:rPr>
        <w:t>，您（以下或称为“投资者”）的本金与收益可能会蒙受全部或部分损失，在您选择购买本理财产品前，您应仔细阅读对应期次的《理财产品风险揭示书》《理财产品说明书》《投资者权益须知》《理财产品销售协议书》和《理财产品投资协议书》（以下合称“理财产品销售文件”），了解本理财产品信息及详细条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方正黑体_GBK"/>
          <w:b/>
          <w:bCs w:val="0"/>
          <w:vanish w:val="0"/>
          <w:color w:val="3D3D3D"/>
          <w:kern w:val="0"/>
          <w:sz w:val="13"/>
          <w:szCs w:val="13"/>
        </w:rPr>
      </w:pPr>
      <w:r>
        <w:rPr>
          <w:rFonts w:hint="eastAsia" w:ascii="方正黑体_GBK" w:hAnsi="方正黑体_GBK" w:eastAsia="方正黑体_GBK" w:cs="方正黑体_GBK"/>
          <w:b/>
          <w:bCs w:val="0"/>
          <w:vanish w:val="0"/>
          <w:color w:val="3D3D3D"/>
          <w:kern w:val="0"/>
          <w:sz w:val="13"/>
          <w:szCs w:val="13"/>
        </w:rPr>
        <w:t>重要提示：南银理财有限责任公司（以下简称为“南银理财”、“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充分了解风险，自主选择购买”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第一条 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理财产品投资不同类型的资产可能面临的市场风险包括但不限于：1.理财产品投资债券等固定收益率资产将面临利率、汇率变化等市场风险以及债券价格波动风险；2.理财产品投资股票等权益类资产将面临股票价格波动风险和股票发行人的经营风险、管理风险等风险；3.理财产品投资商品及金融衍生品类产品可能面临衍生品公允价值变化风险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（十五）操作风险：若管理人、销售机构、托管机构由于内部作业、人员管理及系统操作不当或失误，处理事务不当等，可能导致本理财产品的本金及收益遭受损失。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六）代销风险：本理财产品通过代销机构销售时，认购/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申购资金划转至南银理财，将导致投资者无法完成认购/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kern w:val="0"/>
          <w:sz w:val="13"/>
          <w:szCs w:val="13"/>
        </w:rPr>
        <w:t>（十七）未知价风险：净值型产品采用“金额申购、份额赎回”原则，即产品认/申购以金额申请，赎回以份额申请，认/申购与赎回价格以“未知价原则”受理申请。“未知价原则”，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cs="方正黑体_GBK"/>
          <w:sz w:val="20"/>
          <w:szCs w:val="20"/>
        </w:rPr>
      </w:pPr>
      <w:r>
        <w:rPr>
          <w:rFonts w:hint="eastAsia" w:ascii="方正黑体_GBK" w:hAnsi="方正黑体_GBK" w:eastAsia="方正黑体_GBK" w:cs="方正黑体_GBK"/>
          <w:vanish w:val="0"/>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3D3D3D"/>
          <w:sz w:val="13"/>
          <w:szCs w:val="13"/>
        </w:rPr>
        <w:t xml:space="preserve"> </w:t>
      </w:r>
      <w:r>
        <w:rPr>
          <w:rFonts w:hint="eastAsia" w:ascii="方正黑体_GBK" w:hAnsi="方正黑体_GBK" w:eastAsia="方正黑体_GBK" w:cs="方正黑体_GBK"/>
          <w:vanish w:val="0"/>
          <w:color w:val="3D3D3D"/>
          <w:kern w:val="0"/>
          <w:sz w:val="13"/>
          <w:szCs w:val="13"/>
        </w:rPr>
        <w:t>第二条 本理财产品特定风险揭示</w:t>
      </w:r>
    </w:p>
    <w:p>
      <w:pPr>
        <w:spacing w:line="200" w:lineRule="exact"/>
        <w:rPr>
          <w:rFonts w:hint="eastAsia" w:hAnsi="方正黑体_GBK" w:cs="方正黑体_GBK"/>
        </w:rPr>
      </w:pPr>
      <w:r>
        <w:rPr>
          <w:rFonts w:hint="eastAsia" w:ascii="方正黑体_GBK" w:hAnsi="方正黑体_GBK" w:eastAsia="方正黑体_GBK" w:cs="方正黑体_GBK"/>
          <w:b/>
          <w:sz w:val="13"/>
          <w:szCs w:val="20"/>
        </w:rPr>
        <w:t xml:space="preserve">    1.债券类资产投资风险</w:t>
      </w:r>
    </w:p>
    <w:p>
      <w:pPr>
        <w:spacing w:line="200" w:lineRule="exact"/>
        <w:rPr>
          <w:rFonts w:hint="eastAsia" w:hAnsi="方正黑体_GBK" w:cs="方正黑体_GBK"/>
        </w:rPr>
      </w:pPr>
      <w:r>
        <w:rPr>
          <w:rFonts w:hint="eastAsia" w:ascii="方正黑体_GBK" w:hAnsi="方正黑体_GBK" w:eastAsia="方正黑体_GBK" w:cs="方正黑体_GBK"/>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rPr>
          <w:rFonts w:hint="eastAsia" w:hAnsi="方正黑体_GBK" w:cs="方正黑体_GBK"/>
        </w:rPr>
      </w:pPr>
      <w:r>
        <w:rPr>
          <w:rFonts w:hint="eastAsia" w:ascii="方正黑体_GBK" w:hAnsi="方正黑体_GBK" w:eastAsia="方正黑体_GBK" w:cs="方正黑体_GBK"/>
          <w:b/>
          <w:sz w:val="13"/>
          <w:szCs w:val="20"/>
        </w:rPr>
        <w:t xml:space="preserve">    2.资产管理产品投资风险</w:t>
      </w:r>
    </w:p>
    <w:p>
      <w:pPr>
        <w:spacing w:line="200" w:lineRule="exact"/>
        <w:rPr>
          <w:rFonts w:hint="eastAsia" w:hAnsi="方正黑体_GBK" w:cs="方正黑体_GBK"/>
        </w:rPr>
      </w:pPr>
      <w:r>
        <w:rPr>
          <w:rFonts w:hint="eastAsia" w:ascii="方正黑体_GBK" w:hAnsi="方正黑体_GBK" w:eastAsia="方正黑体_GBK" w:cs="方正黑体_GBK"/>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本理财产品</w:t>
      </w:r>
      <w:r>
        <w:rPr>
          <w:rFonts w:hint="eastAsia" w:ascii="方正黑体_GBK" w:hAnsi="方正黑体_GBK" w:eastAsia="方正黑体_GBK" w:cs="方正黑体_GBK"/>
          <w:b/>
          <w:bCs/>
          <w:color w:val="3D3D3D"/>
          <w:kern w:val="0"/>
          <w:sz w:val="13"/>
          <w:szCs w:val="13"/>
        </w:rPr>
        <w:t>类型：开放式、固定收益类、公募、净值型。</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l="0"/>
          <w:vanish w:val="0"/>
          <w:color w:val="3D3D3D"/>
          <w:kern w:val="0"/>
          <w:sz w:val="13"/>
          <w:szCs w:val="13"/>
        </w:rPr>
        <w:t>本理财产品期限为</w:t>
      </w:r>
      <w:r>
        <w:rPr>
          <w:rFonts w:hint="eastAsia" w:ascii="方正黑体_GBK" w:hAnsi="方正黑体_GBK" w:eastAsia="方正黑体_GBK" w:cs="方正黑体_GBK"/>
          <w:b/>
          <w:bCs/>
          <w:color w:val="3D3D3D"/>
          <w:kern w:val="0"/>
          <w:sz w:val="13"/>
          <w:szCs w:val="13"/>
        </w:rPr>
        <w:t>10年</w:t>
      </w:r>
      <w:r>
        <w:rPr>
          <w:rFonts w:hint="eastAsia" w:ascii="方正黑体_GBK" w:hAnsi="方正黑体_GBK" w:eastAsia="方正黑体_GBK" w:cs="方正黑体_GBK"/>
          <w:b/>
          <w:bCs w:val="0"/>
          <w:vanish w:val="0"/>
          <w:color w:val="3D3D3D"/>
          <w:kern w:val="0"/>
          <w:sz w:val="13"/>
          <w:szCs w:val="13"/>
        </w:rPr>
        <w:t>（若本理财产品被提前终止或延期终止，以实际到期日计算持有天数）。</w:t>
      </w:r>
    </w:p>
    <w:p>
      <w:pPr>
        <w:pStyle w:val="32"/>
        <w:pBdr>
          <w:top w:val="none" w:color="auto" w:sz="0" w:space="0"/>
          <w:left w:val="none" w:color="auto" w:sz="0" w:space="0"/>
          <w:bottom w:val="none" w:color="auto" w:sz="0" w:space="0"/>
          <w:right w:val="none" w:color="auto" w:sz="0" w:space="0"/>
        </w:pBdr>
        <w:spacing w:before="0" w:beforeAutospacing="0" w:after="0" w:afterAutospacing="0" w:line="200" w:lineRule="exact"/>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本理财产品风险评级结果：</w:t>
      </w:r>
      <w:r>
        <w:rPr>
          <w:rFonts w:hint="eastAsia" w:ascii="方正黑体_GBK" w:hAnsi="方正黑体_GBK" w:eastAsia="方正黑体_GBK" w:cs="方正黑体_GBK"/>
          <w:vanish w:val="0"/>
          <w:color w:val="3D3D3D"/>
          <w:kern w:val="0"/>
          <w:sz w:val="13"/>
          <w:szCs w:val="13"/>
        </w:rPr>
        <w:t>根据管理人内部风险评级，该产品风险等级为</w:t>
      </w:r>
      <w:r>
        <w:rPr>
          <w:rFonts w:hint="eastAsia" w:ascii="方正黑体_GBK" w:hAnsi="方正黑体_GBK" w:eastAsia="方正黑体_GBK" w:cs="方正黑体_GBK"/>
          <w:b/>
          <w:bCs w:val="0"/>
          <w:vanish w:val="0"/>
          <w:color w:val="3D3D3D"/>
          <w:kern w:val="0"/>
          <w:sz w:val="13"/>
          <w:szCs w:val="13"/>
        </w:rPr>
        <w:t>中低风险</w:t>
      </w:r>
      <w:r>
        <w:rPr>
          <w:rFonts w:hint="eastAsia" w:ascii="方正黑体_GBK" w:hAnsi="方正黑体_GBK" w:eastAsia="方正黑体_GBK" w:cs="方正黑体_GBK"/>
          <w:vanish w:val="0"/>
          <w:color w:val="3D3D3D"/>
          <w:kern w:val="0"/>
          <w:sz w:val="13"/>
          <w:szCs w:val="13"/>
        </w:rPr>
        <w:t>。</w:t>
      </w:r>
      <w:r>
        <w:rPr>
          <w:rFonts w:hint="eastAsia" w:ascii="方正黑体_GBK" w:hAnsi="方正黑体_GBK" w:eastAsia="方正黑体_GBK" w:cs="方正黑体_GBK"/>
          <w:b/>
          <w:bCs w:val="0"/>
          <w:vanish w:val="0"/>
          <w:color w:val="3D3D3D"/>
          <w:kern w:val="0"/>
          <w:sz w:val="13"/>
          <w:szCs w:val="13"/>
        </w:rPr>
        <w:t xml:space="preserve"> </w:t>
      </w:r>
      <w:r>
        <w:rPr>
          <w:rFonts w:hint="eastAsia" w:ascii="方正黑体_GBK" w:hAnsi="方正黑体_GBK" w:eastAsia="方正黑体_GBK" w:cs="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cs="方正黑体_GBK"/>
          <w:vanish w:val="0"/>
          <w:color w:val="3D3D3D"/>
          <w:kern w:val="0"/>
          <w:sz w:val="13"/>
          <w:szCs w:val="13"/>
        </w:rPr>
        <w:t>。</w:t>
      </w:r>
    </w:p>
    <w:p>
      <w:pPr>
        <w:pStyle w:val="32"/>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本风险等级为南银理财风险评级结果，该产品通过代理销售机构渠道销售的，理财产品评级应当以代理销售机构最终披露的评级结果为准。</w:t>
      </w:r>
      <w:r>
        <w:rPr>
          <w:rFonts w:hint="eastAsia" w:ascii="方正黑体_GBK" w:hAnsi="方正黑体_GBK" w:eastAsia="方正黑体_GBK" w:cs="方正黑体_GBK"/>
          <w:vanish w:val="0"/>
          <w:color w:val="3D3D3D"/>
          <w:kern w:val="0"/>
          <w:sz w:val="13"/>
          <w:szCs w:val="13"/>
        </w:rPr>
        <w:t>您需充分认识投资风险，谨慎投资。</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cs="方正黑体_GBK"/>
          <w:bCs/>
          <w:color w:val="3D3D3D"/>
          <w:kern w:val="0"/>
          <w:sz w:val="13"/>
          <w:szCs w:val="13"/>
        </w:rPr>
      </w:pPr>
      <w:r>
        <w:rPr>
          <w:rFonts w:hint="eastAsia" w:ascii="方正黑体_GBK" w:hAnsi="方正黑体_GBK" w:eastAsia="方正黑体_GBK" w:cs="方正黑体_GBK"/>
          <w:b/>
          <w:bCs/>
          <w:vanish w:val="0"/>
          <w:color w:val="3D3D3D"/>
          <w:kern w:val="0"/>
          <w:sz w:val="13"/>
          <w:szCs w:val="13"/>
        </w:rPr>
        <w:t>适合购买本理财产品的投资者：</w:t>
      </w:r>
      <w:r>
        <w:rPr>
          <w:rFonts w:hint="eastAsia" w:ascii="方正黑体_GBK" w:hAnsi="方正黑体_GBK" w:eastAsia="方正黑体_GBK" w:cs="方正黑体_GBK"/>
          <w:color w:val="3D3D3D"/>
          <w:kern w:val="0"/>
          <w:sz w:val="13"/>
          <w:szCs w:val="13"/>
        </w:rPr>
        <w:t>符合相关法律法规、监管规定要求的，经销售机构的风险承受能力评估体系评定为适合的个人和机构投资者。</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hint="eastAsia" w:ascii="方正黑体_GBK" w:hAnsi="方正黑体_GBK" w:eastAsia="方正黑体_GBK" w:cs="方正黑体_GBK"/>
          <w:vanish w:val="0"/>
          <w:kern w:val="2"/>
          <w:sz w:val="21"/>
          <w:szCs w:val="21"/>
        </w:rPr>
      </w:pPr>
      <w:r>
        <w:rPr>
          <w:rFonts w:hint="eastAsia" w:ascii="方正黑体_GBK" w:hAnsi="方正黑体_GBK" w:eastAsia="方正黑体_GBK" w:cs="方正黑体_GBK"/>
          <w:b/>
          <w:bCs/>
          <w:vanish w:val="0"/>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0，即投资者面临全部本金的损失。为保证当期理财投资者权益而产生的费用由当期理财产品承担。</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hint="eastAsia" w:ascii="方正黑体_GBK" w:hAnsi="方正黑体_GBK" w:eastAsia="方正黑体_GBK" w:cs="方正黑体_GBK"/>
          <w:b/>
          <w:bCs/>
          <w:vanish w:val="0"/>
          <w:color w:val="3D3D3D"/>
          <w:kern w:val="0"/>
          <w:sz w:val="13"/>
          <w:szCs w:val="13"/>
        </w:rPr>
      </w:pPr>
      <w:r>
        <w:rPr>
          <w:rFonts w:hint="eastAsia" w:ascii="方正黑体_GBK" w:hAnsi="方正黑体_GBK" w:eastAsia="方正黑体_GBK" w:cs="方正黑体_GBK"/>
          <w:b/>
          <w:bCs/>
          <w:vanish w:val="0"/>
          <w:color w:val="3D3D3D"/>
          <w:kern w:val="0"/>
          <w:sz w:val="13"/>
          <w:szCs w:val="13"/>
        </w:rPr>
        <w:t>示例：如投资者购买本理财产品，本金为1万元，在理财产品资产组合项下资产全部亏损的最不利情况下，理财产品1万元本金将全部损失。</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方正黑体_GBK"/>
          <w:b/>
          <w:bCs w:val="0"/>
          <w:vanish w:val="0"/>
          <w:color w:val="3D3D3D"/>
          <w:kern w:val="0"/>
          <w:sz w:val="13"/>
          <w:szCs w:val="13"/>
        </w:rPr>
      </w:pP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u w:val="single"/>
        </w:rPr>
        <w:t>上述风险客观存在，敬请投资者予以充分关注！</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hint="eastAsia" w:ascii="方正黑体_GBK" w:hAnsi="方正黑体_GBK" w:eastAsia="方正黑体_GBK" w:cs="方正黑体_GBK"/>
          <w:b/>
          <w:bCs w:val="0"/>
          <w:vanish w:val="0"/>
          <w:color w:val="3D3D3D"/>
          <w:kern w:val="0"/>
          <w:sz w:val="15"/>
          <w:szCs w:val="15"/>
          <w:u w:val="single"/>
        </w:rPr>
      </w:pPr>
    </w:p>
    <w:p>
      <w:pPr>
        <w:pStyle w:val="19"/>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cs="方正黑体_GBK"/>
          <w:b/>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1.</w:t>
      </w:r>
      <w:r>
        <w:rPr>
          <w:rFonts w:hint="eastAsia" w:ascii="方正黑体_GBK" w:hAnsi="方正黑体_GBK" w:eastAsia="方正黑体_GBK" w:cs="方正黑体_GBK"/>
          <w:b/>
          <w:bCs w:val="0"/>
          <w:vanish w:val="0"/>
          <w:color w:val="3D3D3D"/>
          <w:kern w:val="0"/>
          <w:sz w:val="15"/>
          <w:szCs w:val="15"/>
          <w:u w:val="single"/>
        </w:rPr>
        <w:t>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确认，本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购买本理财产品为本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真实的意思表示,并认为该理财产品完全适合本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的投资目标、投资预期以及风险承受能力，本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自愿承担由此带来的一切后果。本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确认南银理财/销售机构相关业务人员对于理财产品销售文件中限制或排除本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权利、增加或加重本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2.</w:t>
      </w:r>
      <w:r>
        <w:rPr>
          <w:rFonts w:hint="eastAsia" w:ascii="方正黑体_GBK" w:hAnsi="方正黑体_GBK" w:eastAsia="方正黑体_GBK" w:cs="方正黑体_GBK"/>
          <w:b/>
          <w:bCs w:val="0"/>
          <w:vanish w:val="0"/>
          <w:color w:val="3D3D3D"/>
          <w:kern w:val="0"/>
          <w:sz w:val="15"/>
          <w:szCs w:val="15"/>
          <w:u w:val="single"/>
        </w:rPr>
        <w:t>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确认，将向本理财产品销售机构真实提供信息，自主作出认购/申购/赎回等决定，自主承担投资风险。本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相应的后果和责任，并有权拒绝向本</w:t>
      </w:r>
      <w:r>
        <w:rPr>
          <w:rFonts w:hint="eastAsia" w:ascii="方正黑体_GBK" w:hAnsi="方正黑体_GBK" w:eastAsia="方正黑体_GBK" w:cs="方正黑体_GBK"/>
          <w:b/>
          <w:bCs/>
          <w:vanish w:val="0"/>
          <w:color w:val="3D3D3D"/>
          <w:kern w:val="0"/>
          <w:sz w:val="15"/>
          <w:szCs w:val="15"/>
          <w:u w:val="single"/>
        </w:rPr>
        <w:t>投资者</w:t>
      </w:r>
      <w:r>
        <w:rPr>
          <w:rFonts w:hint="eastAsia" w:ascii="方正黑体_GBK" w:hAnsi="方正黑体_GBK" w:eastAsia="方正黑体_GBK" w:cs="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3.</w:t>
      </w:r>
      <w:r>
        <w:rPr>
          <w:rFonts w:hint="eastAsia" w:ascii="方正黑体_GBK" w:hAnsi="方正黑体_GBK" w:eastAsia="方正黑体_GBK" w:cs="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4.</w:t>
      </w:r>
      <w:r>
        <w:rPr>
          <w:rFonts w:hint="eastAsia" w:ascii="方正黑体_GBK" w:hAnsi="方正黑体_GBK" w:eastAsia="方正黑体_GBK" w:cs="方正黑体_GBK"/>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5.</w:t>
      </w:r>
      <w:r>
        <w:rPr>
          <w:rFonts w:hint="eastAsia" w:ascii="方正黑体_GBK" w:hAnsi="方正黑体_GBK" w:eastAsia="方正黑体_GBK" w:cs="方正黑体_GBK"/>
          <w:b/>
          <w:bCs w:val="0"/>
          <w:vanish w:val="0"/>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6.</w:t>
      </w:r>
      <w:r>
        <w:rPr>
          <w:rFonts w:hint="eastAsia" w:ascii="方正黑体_GBK" w:hAnsi="方正黑体_GBK" w:eastAsia="方正黑体_GBK" w:cs="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方正黑体_GBK"/>
          <w:b/>
          <w:bCs w:val="0"/>
          <w:vanish w:val="0"/>
          <w:color w:val="3D3D3D"/>
          <w:kern w:val="0"/>
          <w:sz w:val="15"/>
          <w:szCs w:val="15"/>
          <w:u w:val="single"/>
        </w:rPr>
      </w:pPr>
      <w:r>
        <w:rPr>
          <w:rFonts w:hint="eastAsia" w:ascii="方正黑体_GBK" w:hAnsi="方正黑体_GBK" w:eastAsia="方正黑体_GBK" w:cs="方正黑体_GBK"/>
          <w:b/>
          <w:bCs w:val="0"/>
          <w:vanish w:val="0"/>
          <w:color w:val="3D3D3D"/>
          <w:kern w:val="0"/>
          <w:sz w:val="15"/>
          <w:szCs w:val="15"/>
        </w:rPr>
        <w:t>7.</w:t>
      </w:r>
      <w:r>
        <w:rPr>
          <w:rFonts w:hint="eastAsia" w:ascii="方正黑体_GBK" w:hAnsi="方正黑体_GBK" w:eastAsia="方正黑体_GBK" w:cs="方正黑体_GBK"/>
          <w:b/>
          <w:bCs w:val="0"/>
          <w:vanish w:val="0"/>
          <w:color w:val="3D3D3D"/>
          <w:kern w:val="0"/>
          <w:sz w:val="15"/>
          <w:szCs w:val="15"/>
          <w:u w:val="single"/>
        </w:rPr>
        <w:t>如销售机构为管理人关联方的，本投资者认可此等关联方及关联交易情形的存在并自愿承担相关投资风险。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方正黑体_GBK"/>
          <w:vanish w:val="0"/>
          <w:color w:val="3D3D3D"/>
          <w:kern w:val="0"/>
          <w:sz w:val="15"/>
          <w:szCs w:val="15"/>
          <w:u w:val="single"/>
        </w:rPr>
      </w:pPr>
      <w:r>
        <w:rPr>
          <w:rFonts w:hint="eastAsia" w:ascii="方正黑体_GBK" w:hAnsi="方正黑体_GBK" w:eastAsia="方正黑体_GBK" w:cs="方正黑体_GBK"/>
          <w:vanish w:val="0"/>
          <w:color w:val="3D3D3D"/>
          <w:kern w:val="0"/>
          <w:sz w:val="15"/>
          <w:szCs w:val="15"/>
        </w:rPr>
        <w:t>8.以下划线部分，请投资者抄录确认：“</w:t>
      </w:r>
      <w:r>
        <w:rPr>
          <w:rFonts w:hint="eastAsia" w:ascii="方正黑体_GBK" w:hAnsi="方正黑体_GBK" w:eastAsia="方正黑体_GBK" w:cs="方正黑体_GBK"/>
          <w:b/>
          <w:bCs w:val="0"/>
          <w:vanish w:val="0"/>
          <w:color w:val="3D3D3D"/>
          <w:kern w:val="0"/>
          <w:sz w:val="15"/>
          <w:szCs w:val="15"/>
          <w:u w:val="single"/>
        </w:rPr>
        <w:t>本人已经阅读风险揭示，愿意承担投资风险</w:t>
      </w:r>
      <w:r>
        <w:rPr>
          <w:rFonts w:hint="eastAsia" w:ascii="方正黑体_GBK" w:hAnsi="方正黑体_GBK" w:eastAsia="方正黑体_GBK" w:cs="方正黑体_GBK"/>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hint="eastAsia" w:ascii="方正黑体_GBK" w:hAnsi="方正黑体_GBK" w:eastAsia="方正黑体_GBK" w:cs="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hint="eastAsia" w:ascii="方正黑体_GBK" w:hAnsi="方正黑体_GBK" w:eastAsia="方正黑体_GBK" w:cs="方正黑体_GBK"/>
          <w:vanish w:val="0"/>
          <w:color w:val="3D3D3D"/>
          <w:kern w:val="0"/>
          <w:sz w:val="15"/>
          <w:szCs w:val="15"/>
        </w:rPr>
      </w:pPr>
      <w:r>
        <w:rPr>
          <w:rFonts w:hint="eastAsia" w:ascii="方正黑体_GBK" w:hAnsi="方正黑体_GBK" w:eastAsia="方正黑体_GBK" w:cs="方正黑体_GBK"/>
          <w:vanish w:val="0"/>
          <w:color w:val="3D3D3D"/>
          <w:kern w:val="0"/>
          <w:sz w:val="15"/>
          <w:szCs w:val="15"/>
        </w:rPr>
        <w:t>投资者抄录：</w:t>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r>
        <w:rPr>
          <w:rFonts w:hint="eastAsia" w:ascii="方正黑体_GBK" w:hAnsi="方正黑体_GBK" w:eastAsia="方正黑体_GBK" w:cs="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hint="eastAsia" w:ascii="方正黑体_GBK" w:hAnsi="方正黑体_GBK" w:eastAsia="方正黑体_GBK" w:cs="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hint="eastAsia" w:ascii="方正黑体_GBK" w:hAnsi="方正黑体_GBK" w:eastAsia="方正黑体_GBK" w:cs="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hint="eastAsia" w:ascii="方正黑体_GBK" w:hAnsi="方正黑体_GBK" w:eastAsia="方正黑体_GBK" w:cs="方正黑体_GBK"/>
          <w:vanish w:val="0"/>
          <w:color w:val="3D3D3D"/>
          <w:kern w:val="0"/>
          <w:sz w:val="13"/>
          <w:szCs w:val="13"/>
        </w:rPr>
      </w:pPr>
    </w:p>
    <w:tbl>
      <w:tblPr>
        <w:tblStyle w:val="15"/>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hint="eastAsia" w:ascii="方正黑体_GBK" w:hAnsi="方正黑体_GBK" w:eastAsia="方正黑体_GBK" w:cs="方正黑体_GBK"/>
                <w:b/>
                <w:bCs w:val="0"/>
                <w:vanish w:val="0"/>
                <w:kern w:val="2"/>
                <w:sz w:val="15"/>
                <w:szCs w:val="15"/>
              </w:rPr>
            </w:pPr>
            <w:r>
              <w:rPr>
                <w:rFonts w:hint="eastAsia" w:ascii="方正黑体_GBK" w:hAnsi="方正黑体_GBK" w:eastAsia="方正黑体_GBK" w:cs="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hint="eastAsia" w:ascii="方正黑体_GBK" w:hAnsi="方正黑体_GBK" w:eastAsia="方正黑体_GBK" w:cs="方正黑体_GBK"/>
                <w:vanish w:val="0"/>
                <w:color w:val="3D3D3D"/>
                <w:kern w:val="0"/>
                <w:sz w:val="13"/>
                <w:szCs w:val="13"/>
              </w:rPr>
            </w:pPr>
            <w:r>
              <w:rPr>
                <w:rFonts w:hint="eastAsia" w:ascii="方正黑体_GBK" w:hAnsi="方正黑体_GBK" w:eastAsia="方正黑体_GBK" w:cs="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hint="eastAsia" w:ascii="方正黑体_GBK" w:hAnsi="方正黑体_GBK" w:eastAsia="方正黑体_GBK" w:cs="方正黑体_GBK"/>
                <w:vanish w:val="0"/>
                <w:color w:val="auto"/>
                <w:kern w:val="2"/>
                <w:sz w:val="15"/>
                <w:szCs w:val="15"/>
              </w:rPr>
            </w:pPr>
            <w:r>
              <w:rPr>
                <w:rFonts w:hint="eastAsia" w:ascii="方正黑体_GBK" w:hAnsi="方正黑体_GBK" w:eastAsia="方正黑体_GBK" w:cs="方正黑体_GBK"/>
                <w:vanish w:val="0"/>
                <w:color w:val="3D3D3D"/>
                <w:kern w:val="0"/>
                <w:sz w:val="13"/>
                <w:szCs w:val="13"/>
              </w:rPr>
              <w:t>年   月    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hint="eastAsia" w:ascii="方正黑体_GBK" w:hAnsi="方正黑体_GBK" w:eastAsia="方正黑体_GBK" w:cs="方正黑体_GBK"/>
                <w:vanish w:val="0"/>
                <w:color w:val="auto"/>
                <w:kern w:val="2"/>
                <w:sz w:val="15"/>
                <w:szCs w:val="15"/>
              </w:rPr>
            </w:pPr>
            <w:r>
              <w:rPr>
                <w:rFonts w:hint="eastAsia" w:ascii="方正黑体_GBK" w:hAnsi="方正黑体_GBK" w:eastAsia="方正黑体_GBK" w:cs="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b/>
                <w:bCs/>
                <w:vanish w:val="0"/>
                <w:color w:val="3D3D3D"/>
                <w:kern w:val="0"/>
                <w:sz w:val="15"/>
                <w:szCs w:val="15"/>
              </w:rPr>
            </w:pPr>
            <w:r>
              <w:rPr>
                <w:rFonts w:hint="eastAsia" w:ascii="方正黑体_GBK" w:hAnsi="方正黑体_GBK" w:eastAsia="方正黑体_GBK" w:cs="方正黑体_GBK"/>
                <w:b/>
                <w:bCs/>
                <w:vanish w:val="0"/>
                <w:color w:val="3D3D3D"/>
                <w:kern w:val="0"/>
                <w:sz w:val="15"/>
                <w:szCs w:val="15"/>
              </w:rPr>
              <w:t xml:space="preserve">法定代表人或授权代理人（签名或盖章）： </w:t>
            </w:r>
            <w:r>
              <w:rPr>
                <w:rFonts w:hint="eastAsia" w:ascii="方正黑体_GBK" w:hAnsi="方正黑体_GBK" w:eastAsia="方正黑体_GBK" w:cs="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hint="eastAsia" w:ascii="方正黑体_GBK" w:hAnsi="方正黑体_GBK" w:eastAsia="方正黑体_GBK" w:cs="方正黑体_GBK"/>
                <w:vanish w:val="0"/>
                <w:color w:val="auto"/>
                <w:kern w:val="2"/>
                <w:sz w:val="15"/>
                <w:szCs w:val="15"/>
              </w:rPr>
            </w:pPr>
            <w:r>
              <w:rPr>
                <w:rFonts w:hint="eastAsia" w:ascii="方正黑体_GBK" w:hAnsi="方正黑体_GBK" w:eastAsia="方正黑体_GBK" w:cs="方正黑体_GBK"/>
                <w:vanish w:val="0"/>
                <w:color w:val="3D3D3D"/>
                <w:kern w:val="0"/>
                <w:sz w:val="13"/>
                <w:szCs w:val="13"/>
              </w:rPr>
              <w:t xml:space="preserve">      年   月    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hint="eastAsia" w:ascii="方正黑体_GBK" w:hAnsi="方正黑体_GBK" w:eastAsia="方正黑体_GBK" w:cs="方正黑体_GBK"/>
                <w:vanish w:val="0"/>
                <w:color w:val="auto"/>
                <w:kern w:val="2"/>
                <w:sz w:val="15"/>
                <w:szCs w:val="15"/>
              </w:rPr>
            </w:pPr>
            <w:r>
              <w:rPr>
                <w:rFonts w:hint="eastAsia" w:ascii="方正黑体_GBK" w:hAnsi="方正黑体_GBK" w:eastAsia="方正黑体_GBK" w:cs="方正黑体_GBK"/>
                <w:b/>
                <w:bCs/>
                <w:vanish w:val="0"/>
                <w:color w:val="auto"/>
                <w:kern w:val="2"/>
                <w:sz w:val="15"/>
                <w:szCs w:val="15"/>
              </w:rPr>
              <w:t>电子渠道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hint="eastAsia" w:ascii="方正黑体_GBK" w:hAnsi="方正黑体_GBK" w:eastAsia="方正黑体_GBK" w:cs="方正黑体_GBK"/>
                <w:vanish w:val="0"/>
                <w:color w:val="auto"/>
                <w:kern w:val="2"/>
                <w:sz w:val="15"/>
                <w:szCs w:val="15"/>
              </w:rPr>
            </w:pPr>
            <w:r>
              <w:rPr>
                <w:rFonts w:hint="eastAsia" w:ascii="方正黑体_GBK" w:hAnsi="方正黑体_GBK" w:eastAsia="方正黑体_GBK" w:cs="方正黑体_GBK"/>
                <w:b/>
                <w:bCs w:val="0"/>
                <w:vanish w:val="0"/>
                <w:color w:val="3D3D3D"/>
                <w:kern w:val="0"/>
                <w:sz w:val="15"/>
                <w:szCs w:val="15"/>
                <w:u w:val="single"/>
              </w:rPr>
              <w:t>如投资者通过电子渠道（包括但不限于网上银行、手机银行或官方网站等）购买本理财产品的，</w:t>
            </w:r>
            <w:r>
              <w:rPr>
                <w:rFonts w:hint="eastAsia" w:ascii="方正黑体_GBK" w:hAnsi="方正黑体_GBK" w:eastAsia="方正黑体_GBK" w:cs="方正黑体_GBK"/>
                <w:vanish w:val="0"/>
                <w:spacing w:val="10"/>
                <w:kern w:val="2"/>
                <w:sz w:val="15"/>
                <w:szCs w:val="15"/>
              </w:rPr>
              <w:t>本风险揭示书以数据电文形式订立，</w:t>
            </w:r>
            <w:r>
              <w:rPr>
                <w:rFonts w:hint="eastAsia" w:ascii="方正黑体_GBK" w:hAnsi="方正黑体_GBK" w:eastAsia="方正黑体_GBK" w:cs="方正黑体_GBK"/>
                <w:b/>
                <w:bCs w:val="0"/>
                <w:vanish w:val="0"/>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ascii="方正黑体_GBK" w:hAnsi="方正黑体_GBK" w:eastAsia="方正黑体_GBK" w:cs="方正黑体_GBK"/>
                <w:vanish w:val="0"/>
                <w:spacing w:val="10"/>
                <w:kern w:val="2"/>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pPr>
        <w:rPr>
          <w:rFonts w:hint="eastAsia" w:hAnsi="方正黑体_GBK" w:cs="方正黑体_GBK"/>
          <w:lang w:val="en-US" w:eastAsia="zh-CN"/>
        </w:rPr>
      </w:pPr>
      <w:r>
        <w:rPr>
          <w:rFonts w:hint="eastAsia" w:hAnsi="方正黑体_GBK" w:cs="方正黑体_GBK"/>
          <w:lang w:val="en-US" w:eastAsia="zh-CN"/>
        </w:rPr>
        <w:br w:type="page"/>
      </w:r>
    </w:p>
    <w:p>
      <w:pPr>
        <w:rPr>
          <w:rFonts w:ascii="宋体" w:hAnsi="宋体" w:cs="宋体"/>
          <w:sz w:val="28"/>
        </w:rPr>
      </w:pPr>
      <w:r>
        <w:rPr>
          <w:rFonts w:hint="eastAsia" w:ascii="宋体" w:hAnsi="宋体" w:cs="宋体"/>
          <w:sz w:val="28"/>
        </w:rPr>
        <w:t>尊敬的客户：</w:t>
      </w:r>
    </w:p>
    <w:p>
      <w:pPr>
        <w:ind w:firstLine="560" w:firstLineChars="200"/>
        <w:rPr>
          <w:rFonts w:hint="eastAsia" w:ascii="宋体" w:hAnsi="宋体" w:cs="宋体"/>
          <w:sz w:val="28"/>
        </w:rPr>
      </w:pPr>
      <w:r>
        <w:rPr>
          <w:rFonts w:hint="eastAsia" w:ascii="宋体" w:hAnsi="宋体" w:cs="宋体"/>
          <w:sz w:val="28"/>
        </w:rPr>
        <w:t>根据代销机构风险评级，本产品为</w:t>
      </w:r>
      <w:r>
        <w:rPr>
          <w:rFonts w:hint="eastAsia" w:ascii="宋体" w:hAnsi="宋体" w:cs="宋体"/>
          <w:b/>
          <w:color w:val="FF0000"/>
          <w:sz w:val="28"/>
        </w:rPr>
        <w:t>中低风险</w:t>
      </w:r>
      <w:r>
        <w:rPr>
          <w:rFonts w:hint="eastAsia" w:ascii="宋体" w:hAnsi="宋体" w:cs="宋体"/>
          <w:sz w:val="28"/>
        </w:rPr>
        <w:t>理财产品，适合本行风险承受能力为</w:t>
      </w:r>
      <w:r>
        <w:rPr>
          <w:rFonts w:hint="eastAsia" w:ascii="宋体" w:hAnsi="宋体" w:cs="宋体"/>
          <w:b/>
          <w:color w:val="FF0000"/>
          <w:sz w:val="28"/>
        </w:rPr>
        <w:t>中低及以上</w:t>
      </w:r>
      <w:r>
        <w:rPr>
          <w:rFonts w:hint="eastAsia" w:ascii="宋体" w:hAnsi="宋体" w:cs="宋体"/>
          <w:sz w:val="28"/>
        </w:rPr>
        <w:t>客户购买，请选择与您风险承受能力相匹配的理财产品。</w:t>
      </w:r>
    </w:p>
    <w:p>
      <w:pPr>
        <w:rPr>
          <w:rFonts w:hint="eastAsia" w:ascii="宋体" w:hAnsi="宋体" w:cs="宋体"/>
          <w:sz w:val="28"/>
        </w:rPr>
      </w:pPr>
      <w:r>
        <w:rPr>
          <w:rFonts w:hint="eastAsia" w:ascii="宋体" w:hAnsi="宋体" w:cs="宋体"/>
          <w:sz w:val="28"/>
        </w:rPr>
        <w:t>（理财产品风险分级为：低、中低、中等、中高、高）。</w:t>
      </w:r>
    </w:p>
    <w:p>
      <w:pPr>
        <w:ind w:firstLine="560" w:firstLineChars="200"/>
        <w:rPr>
          <w:rFonts w:hint="eastAsia" w:ascii="宋体" w:hAnsi="宋体" w:cs="宋体"/>
          <w:sz w:val="28"/>
        </w:rPr>
      </w:pPr>
      <w:r>
        <w:rPr>
          <w:rFonts w:hint="eastAsia" w:ascii="宋体" w:hAnsi="宋体" w:cs="宋体"/>
          <w:color w:val="FF0000"/>
          <w:sz w:val="28"/>
        </w:rPr>
        <w:t>本产品由南银理财有限责任公司发行与管理，代销机构不承担产品的投资、兑付和风险管理责任。</w:t>
      </w:r>
    </w:p>
    <w:p>
      <w:pPr>
        <w:ind w:firstLine="560" w:firstLineChars="200"/>
        <w:rPr>
          <w:rFonts w:hint="eastAsia" w:ascii="宋体" w:hAnsi="宋体" w:cs="宋体"/>
          <w:sz w:val="28"/>
        </w:rPr>
      </w:pPr>
    </w:p>
    <w:p>
      <w:pPr>
        <w:pStyle w:val="67"/>
        <w:ind w:left="420"/>
        <w:jc w:val="right"/>
        <w:rPr>
          <w:rFonts w:hint="eastAsia" w:hAnsi="宋体"/>
          <w:sz w:val="28"/>
        </w:rPr>
      </w:pPr>
      <w:r>
        <w:rPr>
          <w:rFonts w:hint="eastAsia" w:hAnsi="宋体"/>
          <w:sz w:val="28"/>
        </w:rPr>
        <w:t>风险提示方：江苏紫金农村商业银行股份有限公司</w:t>
      </w:r>
    </w:p>
    <w:p>
      <w:pPr>
        <w:pStyle w:val="2"/>
        <w:rPr>
          <w:rFonts w:hint="eastAsia"/>
          <w:lang w:val="en-US" w:eastAsia="zh-CN"/>
        </w:rPr>
      </w:pPr>
      <w:bookmarkStart w:id="0" w:name="_GoBack"/>
      <w:bookmarkEnd w:id="0"/>
    </w:p>
    <w:sectPr>
      <w:headerReference r:id="rId5" w:type="default"/>
      <w:pgSz w:w="11907" w:h="16839"/>
      <w:pgMar w:top="720" w:right="720" w:bottom="720" w:left="72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icrosoftYaHei_PDF_Subset">
    <w:altName w:val="Times New Roman"/>
    <w:panose1 w:val="00000000000000000000"/>
    <w:charset w:val="00"/>
    <w:family w:val="roman"/>
    <w:pitch w:val="default"/>
    <w:sig w:usb0="00000000" w:usb1="00000000" w:usb2="00000000" w:usb3="00000000" w:csb0="00040001" w:csb1="00000000"/>
  </w:font>
  <w:font w:name="等线">
    <w:altName w:val="宋体"/>
    <w:panose1 w:val="00000000000000000000"/>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09D35AF"/>
    <w:rsid w:val="08352425"/>
    <w:rsid w:val="1F391BAA"/>
    <w:rsid w:val="27ED3B72"/>
    <w:rsid w:val="4FB419A6"/>
    <w:rsid w:val="51AE1BA3"/>
    <w:rsid w:val="539A61B8"/>
    <w:rsid w:val="5C3C2BF4"/>
    <w:rsid w:val="5EAA7148"/>
    <w:rsid w:val="7C02443C"/>
    <w:rsid w:val="7E3A1E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3">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4">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styleId="5">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7">
    <w:name w:val="Default Paragraph Font"/>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引文目录1"/>
    <w:basedOn w:val="1"/>
    <w:next w:val="1"/>
    <w:qFormat/>
    <w:uiPriority w:val="0"/>
    <w:pPr>
      <w:ind w:left="420" w:leftChars="200"/>
    </w:pPr>
  </w:style>
  <w:style w:type="paragraph" w:styleId="6">
    <w:name w:val="annotation text"/>
    <w:basedOn w:val="1"/>
    <w:unhideWhenUsed/>
    <w:qFormat/>
    <w:uiPriority w:val="99"/>
    <w:pPr>
      <w:jc w:val="left"/>
    </w:pPr>
  </w:style>
  <w:style w:type="paragraph" w:styleId="7">
    <w:name w:val="toc 5"/>
    <w:basedOn w:val="1"/>
    <w:next w:val="1"/>
    <w:qFormat/>
    <w:uiPriority w:val="0"/>
    <w:pPr>
      <w:ind w:left="1680"/>
    </w:pPr>
  </w:style>
  <w:style w:type="paragraph" w:styleId="8">
    <w:name w:val="toc 3"/>
    <w:basedOn w:val="1"/>
    <w:next w:val="1"/>
    <w:qFormat/>
    <w:uiPriority w:val="0"/>
    <w:pPr>
      <w:ind w:left="840"/>
    </w:pPr>
  </w:style>
  <w:style w:type="paragraph" w:styleId="9">
    <w:name w:val="footer"/>
    <w:basedOn w:val="1"/>
    <w:qFormat/>
    <w:uiPriority w:val="0"/>
    <w:pPr>
      <w:tabs>
        <w:tab w:val="center" w:pos="4153"/>
        <w:tab w:val="right" w:pos="8307"/>
      </w:tabs>
      <w:adjustRightInd/>
      <w:snapToGrid w:val="0"/>
      <w:contextualSpacing w:val="0"/>
      <w:jc w:val="left"/>
    </w:pPr>
    <w:rPr>
      <w:sz w:val="18"/>
    </w:rPr>
  </w:style>
  <w:style w:type="paragraph" w:styleId="10">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11">
    <w:name w:val="toc 1"/>
    <w:basedOn w:val="1"/>
    <w:next w:val="1"/>
    <w:qFormat/>
    <w:uiPriority w:val="0"/>
  </w:style>
  <w:style w:type="paragraph" w:styleId="12">
    <w:name w:val="toc 4"/>
    <w:basedOn w:val="1"/>
    <w:next w:val="1"/>
    <w:qFormat/>
    <w:uiPriority w:val="0"/>
    <w:pPr>
      <w:ind w:left="1260"/>
    </w:pPr>
  </w:style>
  <w:style w:type="paragraph" w:styleId="13">
    <w:name w:val="toc 2"/>
    <w:basedOn w:val="1"/>
    <w:next w:val="1"/>
    <w:qFormat/>
    <w:uiPriority w:val="0"/>
    <w:pPr>
      <w:ind w:left="420"/>
    </w:pPr>
  </w:style>
  <w:style w:type="paragraph" w:styleId="14">
    <w:name w:val="Normal (Web)"/>
    <w:basedOn w:val="1"/>
    <w:qFormat/>
    <w:uiPriority w:val="0"/>
    <w:pPr>
      <w:widowControl/>
      <w:spacing w:before="102" w:after="102" w:line="1099" w:lineRule="atLeast"/>
      <w:ind w:firstLine="419"/>
      <w:jc w:val="left"/>
      <w:textAlignment w:val="baseline"/>
    </w:pPr>
    <w:rPr>
      <w:rFonts w:ascii="Times New Roman" w:hAnsi="Times New Roman" w:eastAsia="宋体" w:cs="Times New Roman"/>
      <w:color w:val="000000"/>
      <w:kern w:val="0"/>
      <w:sz w:val="24"/>
      <w:szCs w:val="20"/>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rPr>
  </w:style>
  <w:style w:type="paragraph" w:customStyle="1" w:styleId="19">
    <w:name w:val="Normal752c9bba"/>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0">
    <w:name w:val="heading 13221a6a8"/>
    <w:basedOn w:val="1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21">
    <w:name w:val="heading 218917a50"/>
    <w:basedOn w:val="19"/>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22">
    <w:name w:val="heading 3f5ec5214"/>
    <w:basedOn w:val="1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23">
    <w:name w:val="Default Paragraph Font11f294c6"/>
    <w:qFormat/>
    <w:uiPriority w:val="0"/>
  </w:style>
  <w:style w:type="paragraph" w:customStyle="1" w:styleId="24">
    <w:name w:val="toc 1178a4269"/>
    <w:basedOn w:val="19"/>
    <w:next w:val="1"/>
    <w:qFormat/>
    <w:uiPriority w:val="0"/>
  </w:style>
  <w:style w:type="paragraph" w:customStyle="1" w:styleId="25">
    <w:name w:val="toc 2d7513c68"/>
    <w:basedOn w:val="19"/>
    <w:next w:val="1"/>
    <w:qFormat/>
    <w:uiPriority w:val="0"/>
    <w:pPr>
      <w:ind w:left="420"/>
    </w:pPr>
  </w:style>
  <w:style w:type="paragraph" w:customStyle="1" w:styleId="26">
    <w:name w:val="toc 3200aa628"/>
    <w:basedOn w:val="19"/>
    <w:next w:val="1"/>
    <w:qFormat/>
    <w:uiPriority w:val="0"/>
    <w:pPr>
      <w:ind w:left="840"/>
    </w:pPr>
  </w:style>
  <w:style w:type="paragraph" w:customStyle="1" w:styleId="27">
    <w:name w:val="toc 484ea9bab"/>
    <w:basedOn w:val="19"/>
    <w:next w:val="1"/>
    <w:qFormat/>
    <w:uiPriority w:val="0"/>
    <w:pPr>
      <w:ind w:left="1260"/>
    </w:pPr>
  </w:style>
  <w:style w:type="paragraph" w:customStyle="1" w:styleId="28">
    <w:name w:val="toc 5acde109e"/>
    <w:basedOn w:val="19"/>
    <w:next w:val="1"/>
    <w:qFormat/>
    <w:uiPriority w:val="0"/>
    <w:pPr>
      <w:ind w:left="1680"/>
    </w:pPr>
  </w:style>
  <w:style w:type="paragraph" w:customStyle="1" w:styleId="29">
    <w:name w:val="headercd65e758"/>
    <w:basedOn w:val="1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0">
    <w:name w:val="footer103e6b47"/>
    <w:basedOn w:val="19"/>
    <w:qFormat/>
    <w:uiPriority w:val="0"/>
    <w:pPr>
      <w:tabs>
        <w:tab w:val="center" w:pos="4153"/>
        <w:tab w:val="right" w:pos="8307"/>
      </w:tabs>
      <w:adjustRightInd/>
      <w:snapToGrid w:val="0"/>
      <w:contextualSpacing w:val="0"/>
      <w:jc w:val="left"/>
    </w:pPr>
    <w:rPr>
      <w:sz w:val="18"/>
    </w:rPr>
  </w:style>
  <w:style w:type="character" w:customStyle="1" w:styleId="31">
    <w:name w:val="Strong33f15dac"/>
    <w:qFormat/>
    <w:uiPriority w:val="0"/>
    <w:rPr>
      <w:b/>
    </w:rPr>
  </w:style>
  <w:style w:type="paragraph" w:customStyle="1" w:styleId="32">
    <w:name w:val="annotation text23"/>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3">
    <w:name w:val="Normalb8ede314"/>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4">
    <w:name w:val="heading 13e4925e3"/>
    <w:basedOn w:val="33"/>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5">
    <w:name w:val="heading 288bae3e0"/>
    <w:basedOn w:val="33"/>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36">
    <w:name w:val="heading 3ab8ef9ae"/>
    <w:basedOn w:val="33"/>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7">
    <w:name w:val="Default Paragraph Fontf60e5e9a"/>
    <w:qFormat/>
    <w:uiPriority w:val="0"/>
  </w:style>
  <w:style w:type="paragraph" w:customStyle="1" w:styleId="38">
    <w:name w:val="Normal Indentdc4e3047"/>
    <w:basedOn w:val="33"/>
    <w:qFormat/>
    <w:uiPriority w:val="0"/>
    <w:pPr>
      <w:ind w:firstLine="200" w:firstLineChars="200"/>
    </w:pPr>
  </w:style>
  <w:style w:type="paragraph" w:customStyle="1" w:styleId="39">
    <w:name w:val="toc 55e95fd05"/>
    <w:basedOn w:val="33"/>
    <w:next w:val="1"/>
    <w:qFormat/>
    <w:uiPriority w:val="0"/>
    <w:pPr>
      <w:ind w:left="1680"/>
    </w:pPr>
  </w:style>
  <w:style w:type="paragraph" w:customStyle="1" w:styleId="40">
    <w:name w:val="toc 3245d742a"/>
    <w:basedOn w:val="33"/>
    <w:next w:val="1"/>
    <w:qFormat/>
    <w:uiPriority w:val="0"/>
    <w:pPr>
      <w:ind w:left="840"/>
    </w:pPr>
  </w:style>
  <w:style w:type="paragraph" w:customStyle="1" w:styleId="41">
    <w:name w:val="footer90e9b4c1"/>
    <w:basedOn w:val="33"/>
    <w:qFormat/>
    <w:uiPriority w:val="0"/>
    <w:pPr>
      <w:tabs>
        <w:tab w:val="center" w:pos="4153"/>
        <w:tab w:val="right" w:pos="8307"/>
      </w:tabs>
      <w:adjustRightInd/>
      <w:snapToGrid w:val="0"/>
      <w:contextualSpacing w:val="0"/>
      <w:jc w:val="left"/>
    </w:pPr>
    <w:rPr>
      <w:sz w:val="18"/>
    </w:rPr>
  </w:style>
  <w:style w:type="paragraph" w:customStyle="1" w:styleId="42">
    <w:name w:val="header384e65a5"/>
    <w:basedOn w:val="33"/>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43">
    <w:name w:val="toc 174eca712"/>
    <w:basedOn w:val="33"/>
    <w:next w:val="1"/>
    <w:qFormat/>
    <w:uiPriority w:val="0"/>
  </w:style>
  <w:style w:type="paragraph" w:customStyle="1" w:styleId="44">
    <w:name w:val="toc 4b0a553ed"/>
    <w:basedOn w:val="33"/>
    <w:next w:val="1"/>
    <w:qFormat/>
    <w:uiPriority w:val="0"/>
    <w:pPr>
      <w:ind w:left="1260"/>
    </w:pPr>
  </w:style>
  <w:style w:type="paragraph" w:customStyle="1" w:styleId="45">
    <w:name w:val="toc 20ce72a88"/>
    <w:basedOn w:val="33"/>
    <w:next w:val="1"/>
    <w:qFormat/>
    <w:uiPriority w:val="0"/>
    <w:pPr>
      <w:ind w:left="420"/>
    </w:pPr>
  </w:style>
  <w:style w:type="paragraph" w:customStyle="1" w:styleId="46">
    <w:name w:val="Normal (Web)89f8fce9"/>
    <w:next w:val="10"/>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Times New Roman"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7">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8">
    <w:name w:val="Normala8cc090ea8cc090e"/>
    <w:next w:val="1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9">
    <w:name w:val="heading 18356d9178356d917"/>
    <w:basedOn w:val="48"/>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50">
    <w:name w:val="heading 2109a001d109a001d"/>
    <w:basedOn w:val="48"/>
    <w:next w:val="1"/>
    <w:qFormat/>
    <w:uiPriority w:val="0"/>
    <w:pPr>
      <w:keepNext/>
      <w:keepLines/>
      <w:pageBreakBefore w:val="0"/>
      <w:widowControl w:val="0"/>
      <w:suppressLineNumbers w:val="0"/>
      <w:suppressAutoHyphens w:val="0"/>
      <w:spacing w:before="260" w:after="260" w:line="415" w:lineRule="auto"/>
      <w:outlineLvl w:val="1"/>
    </w:pPr>
    <w:rPr>
      <w:rFonts w:ascii="方正黑体_GBK" w:eastAsia="方正黑体_GBK"/>
      <w:b/>
      <w:sz w:val="32"/>
    </w:rPr>
  </w:style>
  <w:style w:type="paragraph" w:customStyle="1" w:styleId="51">
    <w:name w:val="heading 3e9fbb5a0e9fbb5a0"/>
    <w:basedOn w:val="48"/>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52">
    <w:name w:val="Default Paragraph Fontaa19d0dbaa19d0db"/>
    <w:qFormat/>
    <w:uiPriority w:val="0"/>
  </w:style>
  <w:style w:type="paragraph" w:customStyle="1" w:styleId="53">
    <w:name w:val="引文目录107e0252e07e0252e"/>
    <w:basedOn w:val="48"/>
    <w:next w:val="1"/>
    <w:qFormat/>
    <w:uiPriority w:val="0"/>
    <w:pPr>
      <w:ind w:left="200" w:leftChars="200"/>
    </w:pPr>
  </w:style>
  <w:style w:type="paragraph" w:customStyle="1" w:styleId="54">
    <w:name w:val="toc 54527ce154527ce15"/>
    <w:basedOn w:val="48"/>
    <w:next w:val="1"/>
    <w:qFormat/>
    <w:uiPriority w:val="0"/>
    <w:pPr>
      <w:ind w:left="1680"/>
    </w:pPr>
  </w:style>
  <w:style w:type="paragraph" w:customStyle="1" w:styleId="55">
    <w:name w:val="toc 39df5a7d59df5a7d5"/>
    <w:basedOn w:val="48"/>
    <w:next w:val="1"/>
    <w:qFormat/>
    <w:uiPriority w:val="0"/>
    <w:pPr>
      <w:ind w:left="840"/>
    </w:pPr>
  </w:style>
  <w:style w:type="paragraph" w:customStyle="1" w:styleId="56">
    <w:name w:val="footer5880ed445880ed44"/>
    <w:basedOn w:val="48"/>
    <w:qFormat/>
    <w:uiPriority w:val="0"/>
    <w:pPr>
      <w:tabs>
        <w:tab w:val="center" w:pos="4153"/>
        <w:tab w:val="right" w:pos="8307"/>
      </w:tabs>
      <w:adjustRightInd/>
      <w:snapToGrid w:val="0"/>
      <w:contextualSpacing w:val="0"/>
      <w:jc w:val="left"/>
    </w:pPr>
    <w:rPr>
      <w:sz w:val="18"/>
    </w:rPr>
  </w:style>
  <w:style w:type="paragraph" w:customStyle="1" w:styleId="57">
    <w:name w:val="header49b1823249b18232"/>
    <w:basedOn w:val="48"/>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8">
    <w:name w:val="toc 1b2becd38b2becd38"/>
    <w:basedOn w:val="48"/>
    <w:next w:val="1"/>
    <w:qFormat/>
    <w:uiPriority w:val="0"/>
  </w:style>
  <w:style w:type="paragraph" w:customStyle="1" w:styleId="59">
    <w:name w:val="toc 4694e7676694e7676"/>
    <w:basedOn w:val="48"/>
    <w:next w:val="1"/>
    <w:qFormat/>
    <w:uiPriority w:val="0"/>
    <w:pPr>
      <w:ind w:left="1260"/>
    </w:pPr>
  </w:style>
  <w:style w:type="paragraph" w:customStyle="1" w:styleId="60">
    <w:name w:val="toc 2523d5357523d5357"/>
    <w:basedOn w:val="48"/>
    <w:next w:val="1"/>
    <w:qFormat/>
    <w:uiPriority w:val="0"/>
    <w:pPr>
      <w:ind w:left="420"/>
    </w:pPr>
  </w:style>
  <w:style w:type="paragraph" w:customStyle="1" w:styleId="61">
    <w:name w:val="列出段落1b32994c1b32994c1"/>
    <w:link w:val="6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character" w:customStyle="1" w:styleId="62">
    <w:name w:val="列出段落1b32994c1b32994c1 Char"/>
    <w:basedOn w:val="17"/>
    <w:link w:val="61"/>
    <w:qFormat/>
    <w:uiPriority w:val="0"/>
    <w:rPr>
      <w:rFonts w:asci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63">
    <w:name w:val="Normal950dbae9950dbae9"/>
    <w:next w:val="1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Times New Roman"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64">
    <w:name w:val="列表段落1"/>
    <w:basedOn w:val="1"/>
    <w:unhideWhenUsed/>
    <w:qFormat/>
    <w:uiPriority w:val="34"/>
    <w:pPr>
      <w:ind w:firstLine="420" w:firstLineChars="200"/>
    </w:pPr>
  </w:style>
  <w:style w:type="paragraph" w:customStyle="1" w:styleId="65">
    <w:name w:val="列出段落1"/>
    <w:basedOn w:val="1"/>
    <w:qFormat/>
    <w:uiPriority w:val="99"/>
    <w:pPr>
      <w:ind w:firstLine="420" w:firstLineChars="200"/>
    </w:pPr>
  </w:style>
  <w:style w:type="character" w:customStyle="1" w:styleId="66">
    <w:name w:val="fontstyle01"/>
    <w:basedOn w:val="17"/>
    <w:qFormat/>
    <w:uiPriority w:val="0"/>
    <w:rPr>
      <w:rFonts w:hint="default" w:ascii="MicrosoftYaHei_PDF_Subset" w:hAnsi="MicrosoftYaHei_PDF_Subset"/>
      <w:color w:val="000000"/>
      <w:sz w:val="20"/>
      <w:szCs w:val="20"/>
    </w:rPr>
  </w:style>
  <w:style w:type="paragraph" w:customStyle="1" w:styleId="67">
    <w:name w:val="Default"/>
    <w:qFormat/>
    <w:uiPriority w:val="0"/>
    <w:pPr>
      <w:widowControl w:val="0"/>
      <w:autoSpaceDE w:val="0"/>
      <w:autoSpaceDN w:val="0"/>
      <w:adjustRightInd w:val="0"/>
    </w:pPr>
    <w:rPr>
      <w:rFonts w:ascii="宋体" w:hAnsi="等线"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Pages>
  <Words>23171</Words>
  <Characters>23751</Characters>
  <Lines>802</Lines>
  <Paragraphs>445</Paragraphs>
  <TotalTime>0</TotalTime>
  <ScaleCrop>false</ScaleCrop>
  <LinksUpToDate>false</LinksUpToDate>
  <CharactersWithSpaces>23898</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lenovo</cp:lastModifiedBy>
  <dcterms:modified xsi:type="dcterms:W3CDTF">2024-11-13T09:28:58Z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161F9C47D2CB4B04BEC1CCA2FEA4962E_13</vt:lpwstr>
  </property>
</Properties>
</file>