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南银理财珠联璧合鑫逸稳两年38期封闭式公募人民币理财产品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南银理财珠联璧合鑫逸稳两年38期封闭式公募人民币理财产品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Z7003223000166（投资者可依据该编码在中国理财网www.chinawealth.com.cn查询理财产品相关信息）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2023年09月06日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436,104,954.00份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100.54%</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中信信托有限责任公司,国联基金管理有限公司,中国对外经济贸易信托有限公司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Y60038</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146,680,352.96</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1.0364</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1.0364</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8,400.00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Y61038</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137,558,802.85</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1.0372</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1.0372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Y62038</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168,120,835.68</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1.0380</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1.0380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ascii="方正仿宋简体" w:eastAsia="方正仿宋简体" w:hint="eastAsia"/>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截至报告期末，本产品Y60038份额净值为1.0365元，Y61038份额净值为1.0373元，Y62038份额净值为1.0381元。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XTDKX202311010021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中信信托·兴邦61号固定收益类信托计划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158,364,624.50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35.01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136,496,658.42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30.17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108,774,871.27</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24.04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XTDKX202310170001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中信信托·兴邦58号固定收益类信托计划-第【1】期信托单位</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50,115,007.50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11.08</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淮安市清江浦城投控股集团有限公司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中信信托·兴邦58号固定收益类信托计划-第【1】期信托单位</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446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盐城市盐州实业有限公司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中信信托·兴邦61号固定收益类信托计划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439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0101090000000679</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南京银行南京分行南银理财鑫逸稳两年38期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152,775.07</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