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南银理财珠联璧合鑫逸稳一年147期封闭式公募人民币理财产品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南银理财珠联璧合鑫逸稳一年147期封闭式公募人民币理财产品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Z7003223000238（投资者可依据该编码在中国理财网www.chinawealth.com.cn查询理财产品相关信息）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2023年12月27日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667,434,298.00份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100.29%</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中粮信托有限责任公司,五矿国际信托有限公司,广东粤财信托有限公司,紫金信托有限责任公司,鑫元基金管理有限公司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Y30147</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524,413,609.53</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1.0194</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1.0194</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Y31147</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129,256,196.71</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1.0199</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Y32147</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26,805,376.45</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1.0203</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产品对于合意的信用债资产保持积极配置，保持适度杠杆以增厚票息收益，控制久期。</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截至报告期末，本产品Y30147份额净值为1.0194元，Y31147份额净值为1.0199元，Y32147份额净值为1.0205元。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ZJQTT202401040001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五矿信托-苏鑫1号集合资金信托计划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261,479,383.34</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38.42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XTDKX202401190002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粤财信托·瑞兴73号集合资金信托计划(第2期)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150,306,283.50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22.09</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XTDKX202401100001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粤财信托·瑞兴70号集合资金信托计划第1期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100,182,963.00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14.72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ZZGJT202005290001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鑫元基金-鑫安利得51号</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81,754,681.96</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12.01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XTDKX202401290021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中粮信托南盈2号集合资金信托计划第1期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80,152,209.60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11.78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ZJQTT202312130001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6,001,263.29</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0.88</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江苏新海连能源有限公司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中粮信托南盈2号集合资金信托计划第1期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东台市国有资产经营集团有限公司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粤财信托·瑞兴73号集合资金信托计划(第2期)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盐城市交通投资建设控股集团有限公司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粤财信托·瑞兴70号集合资金信托计划第1期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0101090000000815</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南京银行南京分行南银理财鑫逸稳一年147期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86,000,000.00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234,556.54</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