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南银理财珠联璧合鑫逸稳一年144期封闭式公募人民币理财产品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南银理财珠联璧合鑫逸稳一年144期封闭式公募人民币理财产品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Z7003223000225（投资者可依据该编码在中国理财网www.chinawealth.com.cn查询理财产品相关信息）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2023年12月06日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685,924,950.00份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100.27%</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西部信托有限公司,中粮信托有限责任公司,五矿国际信托有限公司,紫金信托有限责任公司,鑫元基金管理有限公司,安徽国元信托有限责任公司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514,107,783.03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97,431,925.04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88,760,553.22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截至报告期末，本产品Y30144份额净值为1.0207元，Y31144份额净值为1.0213元，Y32144份额净值为1.0218元。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266,507,833.01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102,860,025.00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XTDKX202312070002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国元·安鼎09052号资产管理（固定收益类）集合资金信托计划（第1期）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100,160,787.00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XTDKX202312190043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西部信托·瑞泰4号集合资金信托计划（第2期）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92,574,022.50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81,754,681.96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西部信托·瑞龙7号集合资金信托计划（第1期）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40,068,871.20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XTDKX202312280022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10,018,691.50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6,001,263.29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0.86</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连云港市建工建设集团有限公司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靖江市恒通路桥工程有限公司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西部信托·瑞泰3号集合资金信托计划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常州新运城市发展集团有限公司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西部信托·瑞龙7号集合资金信托计划（第1期）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江苏武进绿色建筑产业投资有限公司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国元·安鼎09052号资产管理（固定收益类）集合资金信托计划（第1期）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0101090000000778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南京银行南京分行南银理财鑫逸稳一年144期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86,000,000.00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248,624.79</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