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南银理财珠联璧合鑫逸稳一年140期封闭式公募人民币理财产品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南银理财珠联璧合鑫逸稳一年140期封闭式公募人民币理财产品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Z7003223000209（投资者可依据该编码在中国理财网www.chinawealth.com.cn查询理财产品相关信息）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2023年11月08日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1,019,700,678.00份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100.26%</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华鑫国际信托有限公司,国投泰康信托有限公司,鑫元基金管理有限公司,建信保险资产管理有限公司,中国对外经济贸易信托有限公司,光大永明资产管理股份有限公司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Y30140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584,864,369.31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Y31140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330,231,475.86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Y32140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127,512,432.99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截至报告期末，本产品Y30140份额净值为1.0221元，Y31140份额净值为1.0227元，Y32140份额净值为1.0234元。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415,572,406.80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39.86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XTDKX202311210003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华鑫信托·嘉盈和颜24号集合资金信托计划（第2期）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204,500,000.00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125,051,485.16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11.99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122,766,658.22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ZCZQT202311270003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光大永明-景和1号资产支持计划第1期优先A级</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90,190,414.38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ZCZQT202311270021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光大永明-景和1号资产支持计划第1期优先B级</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56,188,218.54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ZCZQT202311270007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光大永明-景和1号资产支持计划第1期优先C级</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28,093,324.25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华鑫信托·嘉盈和颜24号集合资金信托计划（第2期）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光大永明-景和1号资产支持计划第1期优先B级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光大永明-景和1号资产支持计划第1期优先C级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光大永明-景和1号资产支持计划第1期优先A级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建信保险资管-浦江惠盈1号资产支持计划第2期优先A级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0101090000000759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南京银行南京分行南银理财鑫逸稳一年140期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120,000,000.00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496,943.07</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