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南银理财珠联璧合鑫逸稳一年137期封闭式公募人民币理财产品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南银理财珠联璧合鑫逸稳一年137期封闭式公募人民币理财产品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Z7003223000186（投资者可依据该编码在中国理财网www.chinawealth.com.cn查询理财产品相关信息）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2023年10月18日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1,005,201,837.00份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100.31%</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中信信托有限责任公司,五矿国际信托有限公司,紫金信托有限责任公司,鑫元基金管理有限公司,建信保险资产管理有限公司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Y30137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596,387,876.03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8,500.00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Y31137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338,167,679.68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Y32137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96,377,473.73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截至报告期末，本产品Y30137份额净值为1.0252元，Y31137份额净值为1.0259元，Y32137份额净值为1.0266元。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422,159,801.84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40.95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XTDKX202311160022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中信信托·兴邦63号固定收益类信托计划（第1期）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206,573,576.00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XTDKX202310270001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中信信托·兴邦56号固定收益类信托计划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206,077,518.00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103,062,787.13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95,020,002.22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9.22</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泰州市泰政交通投资有限公司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中信信托·兴邦56号固定收益类信托计划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建信保险资管-浦江惠盈1号资产支持计划第2期优先A级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泰州市凯明城市建设有限公司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中信信托·兴邦63号固定收益类信托计划（第1期）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0101070000000717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南京银行南京分行南银理财鑫逸稳一年137期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95,000,000.00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562,776.91</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