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247593" w:rsidRDefault="00247593" w:rsidP="001F4177">
      <w:pPr>
        <w:spacing w:before="240" w:afterLines="30" w:line="360" w:lineRule="auto"/>
        <w:jc w:val="center"/>
      </w:pPr>
    </w:p>
    <w:p w:rsidR="00247593" w:rsidRDefault="00247593" w:rsidP="001F4177">
      <w:pPr>
        <w:spacing w:before="240" w:afterLines="30" w:line="360" w:lineRule="auto"/>
        <w:jc w:val="center"/>
      </w:pPr>
    </w:p>
    <w:p w:rsidR="00247593" w:rsidRDefault="00247593" w:rsidP="001F4177">
      <w:pPr>
        <w:spacing w:before="240" w:afterLines="30" w:line="360" w:lineRule="auto"/>
        <w:jc w:val="center"/>
      </w:pPr>
    </w:p>
    <w:p w:rsidR="00247593" w:rsidRDefault="0083403C" w:rsidP="001F4177">
      <w:pPr>
        <w:spacing w:before="240" w:afterLines="30" w:line="360" w:lineRule="auto"/>
        <w:jc w:val="center"/>
        <w:rPr>
          <w:rFonts w:ascii="方正黑体简体" w:eastAsia="方正黑体简体"/>
          <w:sz w:val="36"/>
        </w:rPr>
      </w:pPr>
      <w:r>
        <w:rPr>
          <w:rFonts w:ascii="方正黑体简体" w:eastAsia="方正黑体简体"/>
          <w:sz w:val="36"/>
        </w:rPr>
        <w:t>南银理财珠联璧合日日聚鑫现金管理类公募人民币理财产品</w:t>
      </w:r>
    </w:p>
    <w:p w:rsidR="00247593" w:rsidRDefault="0083403C" w:rsidP="001F4177">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247593" w:rsidRDefault="0083403C">
      <w:pPr>
        <w:widowControl/>
        <w:jc w:val="left"/>
        <w:rPr>
          <w:rFonts w:ascii="方正仿宋简体" w:eastAsia="方正仿宋简体"/>
        </w:rPr>
      </w:pPr>
      <w:r>
        <w:rPr>
          <w:rFonts w:ascii="方正仿宋简体" w:eastAsia="方正仿宋简体"/>
        </w:rPr>
        <w:br w:type="page"/>
      </w:r>
    </w:p>
    <w:p w:rsidR="00247593" w:rsidRDefault="0083403C" w:rsidP="001F4177">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094"/>
      </w:tblGrid>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南银理财珠联璧合日日聚鑫现金管理类公募人民币理财产品</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Z7003220000008（投资者可依据该编码在中国理财网www.chinawealth.com.cn查询理财产品相关信息）</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2019年09月11日</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9,411,703,268.45份</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sz w:val="24"/>
                <w:szCs w:val="24"/>
              </w:rPr>
              <w:t>113.16%</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中粮信托有限责任公司,中诚信托有限责任公司,华润深国投信托有限公司,光大永明资产管理股份有限公司</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247593" w:rsidRDefault="00247593" w:rsidP="001F4177">
      <w:pPr>
        <w:spacing w:before="240" w:afterLines="30" w:line="360" w:lineRule="auto"/>
        <w:rPr>
          <w:rFonts w:ascii="方正仿宋简体" w:eastAsia="方正仿宋简体" w:hAnsi="Calibri"/>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247593" w:rsidRDefault="0083403C" w:rsidP="001F4177">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271"/>
        <w:gridCol w:w="2693"/>
        <w:gridCol w:w="1563"/>
        <w:gridCol w:w="1556"/>
        <w:gridCol w:w="1819"/>
      </w:tblGrid>
      <w:tr w:rsidR="00247593">
        <w:tc>
          <w:tcPr>
            <w:tcW w:w="1271" w:type="dxa"/>
            <w:vMerge w:val="restart"/>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631" w:type="dxa"/>
            <w:gridSpan w:val="4"/>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247593">
        <w:trPr>
          <w:trHeight w:val="835"/>
        </w:trPr>
        <w:tc>
          <w:tcPr>
            <w:tcW w:w="1271" w:type="dxa"/>
            <w:vMerge/>
            <w:vAlign w:val="center"/>
          </w:tcPr>
          <w:p w:rsidR="00247593" w:rsidRDefault="00247593" w:rsidP="001F4177">
            <w:pPr>
              <w:spacing w:beforeLines="20" w:afterLines="20"/>
              <w:jc w:val="center"/>
              <w:rPr>
                <w:rFonts w:ascii="方正仿宋简体" w:eastAsia="方正仿宋简体"/>
                <w:sz w:val="24"/>
                <w:szCs w:val="24"/>
                <w:shd w:val="clear" w:color="auto" w:fill="FFFFFF"/>
              </w:rPr>
            </w:pPr>
          </w:p>
        </w:tc>
        <w:tc>
          <w:tcPr>
            <w:tcW w:w="2693"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563"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556"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819"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A20001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8,114,279,775.60</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27,650.00</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565,202,050.22</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A23001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1,485,822.64</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A24001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9,178,849.51</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A25001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30.29</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A26001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511,084,451.16</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A27001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210,472,289.03</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的状态，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债券收益率整体呈现缓慢下行趋势，4月初受政治局会议等影响收益率快速上行，随后在经济修复较慢和资金利率宽松的背景下收益率持续回落。</w:t>
        <w:br w:type="textWrapping" w:clear="all"/>
      </w:r>
      <w:r>
        <w:rPr>
          <w:rFonts w:ascii="方正仿宋简体" w:eastAsia="方正仿宋简体" w:hint="eastAsia"/>
          <w:sz w:val="24"/>
          <w:szCs w:val="24"/>
        </w:rPr>
        <w:t>  三季度扰动因素在于地方债发行提速和强刺激政策能否出台，但基本面、供需关系对债市仍构成支撑，货币政策预计能够维持宽松基调，债市调整风险可控，票息策略可能仍相对占优，可以关注震荡带来的投资机会。</w:t>
        <w:br w:type="textWrapping" w:clear="all"/>
      </w:r>
      <w:r>
        <w:rPr>
          <w:rFonts w:ascii="方正仿宋简体" w:eastAsia="方正仿宋简体" w:hint="eastAsia"/>
          <w:sz w:val="24"/>
          <w:szCs w:val="24"/>
        </w:rPr>
        <w:t>  操作方面，产品延续了稳健的投资风格，积极加大对存款、存单等高流动性资产的配置力度，不断优化资产结构。未来将继续在保证流动性安全、守住信用风险底线的基础上，强化资产获取能力，为客户提供稳定的收益回报，提升客户体验。</w:t>
      </w:r>
      <w:r>
        <w:rPr>
          <w:rFonts w:ascii="方正仿宋简体" w:eastAsia="方正仿宋简体" w:hint="eastAsia"/>
          <w:sz w:val="24"/>
          <w:szCs w:val="24"/>
        </w:rPr>
        <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  下阶段产品将继续保持稳健的投资风格，在风险可控的前提下灵活运用杠杆。同时关注市场各关键时点资金波动情况，做好流动性预判和资产到期分布安排，提前做好应对方案，防范流动性风险。</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247593" w:rsidRDefault="0083403C" w:rsidP="001F4177">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截至报告期末，本产品A20001份额净值为1.0000元，A21001份额净值为1.0000元，A23001份额净值为1.0000元，A24001份额净值为1.0000元，A25001份额净值为1.0000元，A26001份额净值为1.0000元，A27001份额净值为1.0000元。</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F33E30">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247593" w:rsidRDefault="00247593" w:rsidP="001F4177">
      <w:pPr>
        <w:spacing w:before="240" w:afterLines="30" w:line="360" w:lineRule="auto"/>
        <w:rPr>
          <w:rFonts w:ascii="方正仿宋简体" w:eastAsia="方正仿宋简体"/>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247593" w:rsidRDefault="00247593" w:rsidP="001F4177">
      <w:pPr>
        <w:spacing w:before="240" w:afterLines="30" w:line="360" w:lineRule="auto"/>
        <w:rPr>
          <w:rFonts w:ascii="方正仿宋简体" w:eastAsia="方正仿宋简体" w:cs="宋体"/>
          <w:kern w:val="0"/>
          <w:sz w:val="24"/>
          <w:szCs w:val="24"/>
        </w:rPr>
      </w:pPr>
    </w:p>
    <w:p w:rsidR="00247593" w:rsidRDefault="0083403C" w:rsidP="001F4177">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62"/>
        <w:gridCol w:w="1575"/>
        <w:gridCol w:w="2721"/>
        <w:gridCol w:w="2059"/>
        <w:gridCol w:w="1785"/>
      </w:tblGrid>
      <w:tr w:rsidR="00247593">
        <w:trPr>
          <w:trHeight w:val="870"/>
          <w:jc w:val="center"/>
        </w:trPr>
        <w:tc>
          <w:tcPr>
            <w:tcW w:w="76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7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ZJQTT202305230001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802,123,085.83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8.52</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ZJQTT202307240001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光大永明资产永聚固收243号固定收益类资产管理产品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564,074,541.90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5.99</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XJCKX202308110001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浦发银行约期存款20230811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5.31</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ZJQTT202309130003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343,116,818.89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吉林银行长春分行定期存款20240221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XJCKX202308070001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兴业银行约期存款20230807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XJCKX202307110001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兴业银行约期存款20230711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230,558,238.62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XJCKX202307130001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兴业银行约期存款20230713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恒丰银行约期存款20240528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r>
    </w:tbl>
    <w:p w:rsidR="00247593" w:rsidRDefault="00247593" w:rsidP="001F4177">
      <w:pPr>
        <w:spacing w:before="240" w:afterLines="30" w:line="360" w:lineRule="auto"/>
        <w:rPr>
          <w:rFonts w:ascii="方正仿宋简体" w:eastAsia="方正仿宋简体" w:hAnsi="宋体" w:cs="宋体"/>
          <w:sz w:val="24"/>
          <w:szCs w:val="24"/>
          <w:shd w:val="clear" w:color="auto" w:fill="FFFFFF"/>
        </w:rPr>
      </w:pPr>
    </w:p>
    <w:p w:rsidR="00247593" w:rsidRDefault="0083403C" w:rsidP="001F4177">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247593">
        <w:trPr>
          <w:jc w:val="center"/>
        </w:trPr>
        <w:tc>
          <w:tcPr>
            <w:tcW w:w="707"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559"/>
        <w:gridCol w:w="2671"/>
        <w:gridCol w:w="1984"/>
        <w:gridCol w:w="1984"/>
      </w:tblGrid>
      <w:tr w:rsidR="00247593">
        <w:trPr>
          <w:trHeight w:val="705"/>
          <w:jc w:val="center"/>
        </w:trPr>
        <w:tc>
          <w:tcPr>
            <w:tcW w:w="7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67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70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67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0120000000000328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南京银行日日聚鑫</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247593" w:rsidRDefault="00247593" w:rsidP="001F4177">
      <w:pPr>
        <w:spacing w:before="240" w:afterLines="30" w:line="360" w:lineRule="auto"/>
        <w:rPr>
          <w:rFonts w:ascii="方正仿宋简体" w:eastAsia="方正仿宋简体"/>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1F4177"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83403C">
        <w:rPr>
          <w:rFonts w:ascii="方正仿宋简体" w:eastAsia="方正仿宋简体" w:hAnsi="宋体" w:cs="宋体" w:hint="eastAsia"/>
          <w:color w:val="000000"/>
          <w:kern w:val="0"/>
          <w:sz w:val="24"/>
          <w:szCs w:val="24"/>
        </w:rPr>
        <w:t>支付关联方托管费</w:t>
      </w:r>
      <w:r w:rsidR="0083403C">
        <w:rPr>
          <w:rFonts w:ascii="方正仿宋简体" w:eastAsia="方正仿宋简体" w:hAnsi="宋体" w:cs="宋体"/>
          <w:color w:val="000000"/>
          <w:kern w:val="0"/>
          <w:sz w:val="24"/>
          <w:szCs w:val="24"/>
        </w:rPr>
        <w:t/>
      </w:r>
      <w:r w:rsidR="0083403C">
        <w:rPr>
          <w:rFonts w:ascii="方正仿宋简体" w:eastAsia="方正仿宋简体" w:hAnsi="宋体" w:cs="宋体" w:hint="eastAsia"/>
          <w:color w:val="000000"/>
          <w:kern w:val="0"/>
          <w:sz w:val="24"/>
          <w:szCs w:val="24"/>
        </w:rPr>
        <w:t/>
      </w:r>
      <w:r w:rsidR="0083403C">
        <w:rPr>
          <w:rFonts w:ascii="方正仿宋简体" w:eastAsia="方正仿宋简体" w:hAnsi="宋体" w:cs="宋体"/>
          <w:color w:val="000000"/>
          <w:kern w:val="0"/>
          <w:sz w:val="24"/>
          <w:szCs w:val="24"/>
        </w:rPr>
        <w:t>1,166,385.02</w:t>
      </w:r>
      <w:r>
        <w:rPr>
          <w:rFonts w:ascii="方正仿宋简体" w:eastAsia="方正仿宋简体" w:hAnsi="宋体" w:cs="宋体" w:hint="eastAsia"/>
          <w:color w:val="000000"/>
          <w:kern w:val="0"/>
          <w:sz w:val="24"/>
          <w:szCs w:val="24"/>
        </w:rPr>
        <w:t>元，</w:t>
      </w:r>
      <w:r w:rsidR="0083403C">
        <w:rPr>
          <w:rFonts w:ascii="方正仿宋简体" w:eastAsia="方正仿宋简体" w:hAnsi="宋体" w:cs="宋体" w:hint="eastAsia"/>
          <w:color w:val="000000"/>
          <w:kern w:val="0"/>
          <w:sz w:val="24"/>
          <w:szCs w:val="24"/>
        </w:rPr>
        <w:t>支付关联方代销费</w:t>
      </w:r>
      <w:r w:rsidR="0083403C">
        <w:rPr>
          <w:rFonts w:ascii="方正仿宋简体" w:eastAsia="方正仿宋简体" w:hAnsi="宋体" w:cs="宋体"/>
          <w:color w:val="000000"/>
          <w:kern w:val="0"/>
          <w:sz w:val="24"/>
          <w:szCs w:val="24"/>
        </w:rPr>
        <w:t/>
      </w:r>
      <w:r w:rsidR="0083403C">
        <w:rPr>
          <w:rFonts w:ascii="方正仿宋简体" w:eastAsia="方正仿宋简体" w:hAnsi="宋体" w:cs="宋体" w:hint="eastAsia"/>
          <w:color w:val="000000"/>
          <w:kern w:val="0"/>
          <w:sz w:val="24"/>
          <w:szCs w:val="24"/>
        </w:rPr>
        <w:t/>
      </w:r>
      <w:r w:rsidR="0083403C">
        <w:rPr>
          <w:rFonts w:ascii="方正仿宋简体" w:eastAsia="方正仿宋简体" w:hAnsi="宋体" w:cs="宋体"/>
          <w:color w:val="000000"/>
          <w:kern w:val="0"/>
          <w:sz w:val="24"/>
          <w:szCs w:val="24"/>
        </w:rPr>
        <w:t>7,400,312.23</w:t>
      </w:r>
      <w:r w:rsidR="0083403C">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b/>
          <w:sz w:val="24"/>
          <w:szCs w:val="24"/>
        </w:rPr>
        <w:t>8</w:t>
      </w:r>
      <w:r>
        <w:rPr>
          <w:rFonts w:ascii="方正仿宋简体" w:eastAsia="方正仿宋简体" w:hint="eastAsia"/>
          <w:b/>
          <w:sz w:val="24"/>
          <w:szCs w:val="24"/>
        </w:rPr>
        <w:t>前10名投资者情况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559"/>
        <w:gridCol w:w="3686"/>
        <w:gridCol w:w="2811"/>
      </w:tblGrid>
      <w:tr w:rsidR="00247593">
        <w:trPr>
          <w:trHeight w:val="705"/>
          <w:jc w:val="center"/>
        </w:trPr>
        <w:tc>
          <w:tcPr>
            <w:tcW w:w="846"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686"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143,281,489.17</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114,658,786.54</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100,278,777.11</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98,598,961.92</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85,574,885.78</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0.91</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84,573,705.87</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50,005,100.14</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0.53</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46,942,705.84</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42,904,223.45</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0.46</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42,704,445.88</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0.45</w:t>
            </w:r>
          </w:p>
        </w:tc>
      </w:tr>
    </w:tbl>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247593" w:rsidRDefault="0083403C" w:rsidP="00393C8C">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247593" w:rsidSect="00247593">
      <w:headerReference w:type="default" r:id="rId8"/>
      <w:footerReference w:type="even" r:id="rId9"/>
      <w:footerReference w:type="default" r:id="rId10"/>
      <w:headerReference w:type="first" r:id="rId11"/>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0DD" w:rsidRDefault="00DD30DD" w:rsidP="00247593">
      <w:r>
        <w:separator/>
      </w:r>
    </w:p>
  </w:endnote>
  <w:endnote w:type="continuationSeparator" w:id="1">
    <w:p w:rsidR="00DD30DD" w:rsidRDefault="00DD30DD" w:rsidP="002475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393C8C">
    <w:pPr>
      <w:pStyle w:val="a6"/>
      <w:framePr w:wrap="around" w:vAnchor="text" w:hAnchor="margin" w:xAlign="center" w:y="1"/>
      <w:rPr>
        <w:rStyle w:val="aa"/>
      </w:rPr>
    </w:pPr>
    <w:r>
      <w:fldChar w:fldCharType="begin"/>
    </w:r>
    <w:r w:rsidR="0083403C">
      <w:rPr>
        <w:rStyle w:val="aa"/>
      </w:rPr>
      <w:instrText xml:space="preserve">PAGE  </w:instrText>
    </w:r>
    <w:r>
      <w:fldChar w:fldCharType="end"/>
    </w:r>
  </w:p>
  <w:p w:rsidR="00247593" w:rsidRDefault="0024759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0DD" w:rsidRDefault="00DD30DD" w:rsidP="00247593">
      <w:r>
        <w:separator/>
      </w:r>
    </w:p>
  </w:footnote>
  <w:footnote w:type="continuationSeparator" w:id="1">
    <w:p w:rsidR="00DD30DD" w:rsidRDefault="00DD30DD" w:rsidP="002475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367D9"/>
    <w:rsid w:val="00044BFF"/>
    <w:rsid w:val="000470C2"/>
    <w:rsid w:val="0005474A"/>
    <w:rsid w:val="00061725"/>
    <w:rsid w:val="000633AA"/>
    <w:rsid w:val="00066A9A"/>
    <w:rsid w:val="000737ED"/>
    <w:rsid w:val="00095B95"/>
    <w:rsid w:val="00095BB4"/>
    <w:rsid w:val="000A3711"/>
    <w:rsid w:val="000D5066"/>
    <w:rsid w:val="000E1673"/>
    <w:rsid w:val="000E6ACE"/>
    <w:rsid w:val="000F06ED"/>
    <w:rsid w:val="000F27F1"/>
    <w:rsid w:val="000F6191"/>
    <w:rsid w:val="00117505"/>
    <w:rsid w:val="001279EA"/>
    <w:rsid w:val="00130CE8"/>
    <w:rsid w:val="0013364F"/>
    <w:rsid w:val="00141AB4"/>
    <w:rsid w:val="0014449D"/>
    <w:rsid w:val="00150E2C"/>
    <w:rsid w:val="00152201"/>
    <w:rsid w:val="00172A27"/>
    <w:rsid w:val="00173478"/>
    <w:rsid w:val="001735BA"/>
    <w:rsid w:val="00176636"/>
    <w:rsid w:val="00183C84"/>
    <w:rsid w:val="001B497D"/>
    <w:rsid w:val="001C05F9"/>
    <w:rsid w:val="001C5395"/>
    <w:rsid w:val="001E2EEA"/>
    <w:rsid w:val="001E5905"/>
    <w:rsid w:val="001E7120"/>
    <w:rsid w:val="001F4177"/>
    <w:rsid w:val="002051AF"/>
    <w:rsid w:val="00211F26"/>
    <w:rsid w:val="00220B2B"/>
    <w:rsid w:val="00224D9D"/>
    <w:rsid w:val="00225D2E"/>
    <w:rsid w:val="002263FC"/>
    <w:rsid w:val="002448E3"/>
    <w:rsid w:val="00247593"/>
    <w:rsid w:val="00247A0A"/>
    <w:rsid w:val="00290B55"/>
    <w:rsid w:val="00295E85"/>
    <w:rsid w:val="002A3AE9"/>
    <w:rsid w:val="002B7F5A"/>
    <w:rsid w:val="002C196E"/>
    <w:rsid w:val="002D2DB0"/>
    <w:rsid w:val="002D75D0"/>
    <w:rsid w:val="002E7131"/>
    <w:rsid w:val="002E795C"/>
    <w:rsid w:val="00301467"/>
    <w:rsid w:val="00302167"/>
    <w:rsid w:val="00305714"/>
    <w:rsid w:val="00313E71"/>
    <w:rsid w:val="00321CB7"/>
    <w:rsid w:val="003379A9"/>
    <w:rsid w:val="00341B28"/>
    <w:rsid w:val="00350ADF"/>
    <w:rsid w:val="00355623"/>
    <w:rsid w:val="00387F9B"/>
    <w:rsid w:val="00393C8C"/>
    <w:rsid w:val="003A0419"/>
    <w:rsid w:val="003B117F"/>
    <w:rsid w:val="003B4AB4"/>
    <w:rsid w:val="003C4D3B"/>
    <w:rsid w:val="003E09EA"/>
    <w:rsid w:val="003E412C"/>
    <w:rsid w:val="003F098E"/>
    <w:rsid w:val="003F0AC3"/>
    <w:rsid w:val="00433022"/>
    <w:rsid w:val="00455600"/>
    <w:rsid w:val="00456251"/>
    <w:rsid w:val="004A0363"/>
    <w:rsid w:val="004A156A"/>
    <w:rsid w:val="004B5DED"/>
    <w:rsid w:val="004C1607"/>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5514"/>
    <w:rsid w:val="0065419A"/>
    <w:rsid w:val="00654220"/>
    <w:rsid w:val="006624C2"/>
    <w:rsid w:val="00663B94"/>
    <w:rsid w:val="00676076"/>
    <w:rsid w:val="00677F66"/>
    <w:rsid w:val="006C1014"/>
    <w:rsid w:val="006D5D22"/>
    <w:rsid w:val="006E3BA0"/>
    <w:rsid w:val="006E4E94"/>
    <w:rsid w:val="006E70D5"/>
    <w:rsid w:val="006F69B2"/>
    <w:rsid w:val="007017D8"/>
    <w:rsid w:val="00730BEE"/>
    <w:rsid w:val="0073101E"/>
    <w:rsid w:val="00733378"/>
    <w:rsid w:val="00735153"/>
    <w:rsid w:val="00735E29"/>
    <w:rsid w:val="00745421"/>
    <w:rsid w:val="00745F96"/>
    <w:rsid w:val="0074729D"/>
    <w:rsid w:val="00782F29"/>
    <w:rsid w:val="00796214"/>
    <w:rsid w:val="007A4219"/>
    <w:rsid w:val="007B08DF"/>
    <w:rsid w:val="007C4F56"/>
    <w:rsid w:val="007C516D"/>
    <w:rsid w:val="007E0B6E"/>
    <w:rsid w:val="007E4637"/>
    <w:rsid w:val="007E6537"/>
    <w:rsid w:val="00800690"/>
    <w:rsid w:val="0080200C"/>
    <w:rsid w:val="00802D0C"/>
    <w:rsid w:val="00814110"/>
    <w:rsid w:val="00822116"/>
    <w:rsid w:val="0082561A"/>
    <w:rsid w:val="0083403C"/>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3DCD"/>
    <w:rsid w:val="00AA4549"/>
    <w:rsid w:val="00AA5B04"/>
    <w:rsid w:val="00AA6CFF"/>
    <w:rsid w:val="00AC3D79"/>
    <w:rsid w:val="00AC5144"/>
    <w:rsid w:val="00AD3853"/>
    <w:rsid w:val="00AF7510"/>
    <w:rsid w:val="00B13014"/>
    <w:rsid w:val="00B17559"/>
    <w:rsid w:val="00B176FA"/>
    <w:rsid w:val="00B21BF0"/>
    <w:rsid w:val="00B23E1D"/>
    <w:rsid w:val="00B33978"/>
    <w:rsid w:val="00B33B19"/>
    <w:rsid w:val="00B3722F"/>
    <w:rsid w:val="00B404E6"/>
    <w:rsid w:val="00B4360D"/>
    <w:rsid w:val="00B534AE"/>
    <w:rsid w:val="00B61EA9"/>
    <w:rsid w:val="00B62586"/>
    <w:rsid w:val="00B670D1"/>
    <w:rsid w:val="00B74DCA"/>
    <w:rsid w:val="00B763A5"/>
    <w:rsid w:val="00B94CD4"/>
    <w:rsid w:val="00B964AE"/>
    <w:rsid w:val="00BA2C7F"/>
    <w:rsid w:val="00BA5103"/>
    <w:rsid w:val="00BA632A"/>
    <w:rsid w:val="00BC3903"/>
    <w:rsid w:val="00BE106D"/>
    <w:rsid w:val="00BE47E0"/>
    <w:rsid w:val="00BF3D9D"/>
    <w:rsid w:val="00BF75C8"/>
    <w:rsid w:val="00C00058"/>
    <w:rsid w:val="00C0286D"/>
    <w:rsid w:val="00C11797"/>
    <w:rsid w:val="00C15C25"/>
    <w:rsid w:val="00C1762E"/>
    <w:rsid w:val="00C20F36"/>
    <w:rsid w:val="00C20F84"/>
    <w:rsid w:val="00C25123"/>
    <w:rsid w:val="00C2582A"/>
    <w:rsid w:val="00C30A48"/>
    <w:rsid w:val="00C375A7"/>
    <w:rsid w:val="00C44DFE"/>
    <w:rsid w:val="00C62DF8"/>
    <w:rsid w:val="00C640FB"/>
    <w:rsid w:val="00C86023"/>
    <w:rsid w:val="00C94EBA"/>
    <w:rsid w:val="00C973B4"/>
    <w:rsid w:val="00CA2770"/>
    <w:rsid w:val="00CB054E"/>
    <w:rsid w:val="00CC52D7"/>
    <w:rsid w:val="00CE4DED"/>
    <w:rsid w:val="00D04811"/>
    <w:rsid w:val="00D20F53"/>
    <w:rsid w:val="00D23611"/>
    <w:rsid w:val="00D23AB6"/>
    <w:rsid w:val="00D50309"/>
    <w:rsid w:val="00D51AA9"/>
    <w:rsid w:val="00D57677"/>
    <w:rsid w:val="00D7264A"/>
    <w:rsid w:val="00D84E43"/>
    <w:rsid w:val="00D870DF"/>
    <w:rsid w:val="00DA30A0"/>
    <w:rsid w:val="00DB0C2F"/>
    <w:rsid w:val="00DB3BF6"/>
    <w:rsid w:val="00DB56A2"/>
    <w:rsid w:val="00DC31CC"/>
    <w:rsid w:val="00DC728A"/>
    <w:rsid w:val="00DD2F3C"/>
    <w:rsid w:val="00DD30DD"/>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944FA"/>
    <w:rsid w:val="00E9797A"/>
    <w:rsid w:val="00EB0DB4"/>
    <w:rsid w:val="00EB44BE"/>
    <w:rsid w:val="00ED1047"/>
    <w:rsid w:val="00ED781F"/>
    <w:rsid w:val="00EE0436"/>
    <w:rsid w:val="00EE2819"/>
    <w:rsid w:val="00EF04A5"/>
    <w:rsid w:val="00F258C8"/>
    <w:rsid w:val="00F30035"/>
    <w:rsid w:val="00F33E30"/>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C61B9"/>
    <w:rsid w:val="00FD1F12"/>
    <w:rsid w:val="00FD412B"/>
    <w:rsid w:val="00FF26C8"/>
    <w:rsid w:val="016D581F"/>
    <w:rsid w:val="030F2BA7"/>
    <w:rsid w:val="04240CEE"/>
    <w:rsid w:val="065551D3"/>
    <w:rsid w:val="06C37561"/>
    <w:rsid w:val="0A236A5A"/>
    <w:rsid w:val="10992483"/>
    <w:rsid w:val="111D4539"/>
    <w:rsid w:val="13297F9C"/>
    <w:rsid w:val="134727C6"/>
    <w:rsid w:val="141A5102"/>
    <w:rsid w:val="14E8025C"/>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C1648F"/>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5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247593"/>
    <w:rPr>
      <w:b/>
      <w:bCs/>
    </w:rPr>
  </w:style>
  <w:style w:type="paragraph" w:styleId="a4">
    <w:name w:val="annotation text"/>
    <w:basedOn w:val="a"/>
    <w:link w:val="Char0"/>
    <w:uiPriority w:val="99"/>
    <w:unhideWhenUsed/>
    <w:qFormat/>
    <w:rsid w:val="00247593"/>
    <w:pPr>
      <w:jc w:val="left"/>
    </w:pPr>
  </w:style>
  <w:style w:type="paragraph" w:styleId="a5">
    <w:name w:val="Balloon Text"/>
    <w:basedOn w:val="a"/>
    <w:link w:val="Char1"/>
    <w:uiPriority w:val="99"/>
    <w:unhideWhenUsed/>
    <w:qFormat/>
    <w:rsid w:val="00247593"/>
    <w:rPr>
      <w:sz w:val="18"/>
      <w:szCs w:val="18"/>
    </w:rPr>
  </w:style>
  <w:style w:type="paragraph" w:styleId="a6">
    <w:name w:val="footer"/>
    <w:basedOn w:val="a"/>
    <w:link w:val="Char2"/>
    <w:uiPriority w:val="99"/>
    <w:unhideWhenUsed/>
    <w:qFormat/>
    <w:rsid w:val="0024759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247593"/>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247593"/>
    <w:pPr>
      <w:snapToGrid w:val="0"/>
      <w:jc w:val="left"/>
    </w:pPr>
    <w:rPr>
      <w:sz w:val="18"/>
    </w:rPr>
  </w:style>
  <w:style w:type="paragraph" w:styleId="a9">
    <w:name w:val="Normal (Web)"/>
    <w:basedOn w:val="a"/>
    <w:qFormat/>
    <w:rsid w:val="00247593"/>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247593"/>
  </w:style>
  <w:style w:type="character" w:styleId="ab">
    <w:name w:val="annotation reference"/>
    <w:uiPriority w:val="99"/>
    <w:unhideWhenUsed/>
    <w:qFormat/>
    <w:rsid w:val="00247593"/>
    <w:rPr>
      <w:sz w:val="21"/>
      <w:szCs w:val="21"/>
    </w:rPr>
  </w:style>
  <w:style w:type="character" w:styleId="ac">
    <w:name w:val="footnote reference"/>
    <w:uiPriority w:val="99"/>
    <w:unhideWhenUsed/>
    <w:qFormat/>
    <w:rsid w:val="00247593"/>
    <w:rPr>
      <w:vertAlign w:val="superscript"/>
    </w:rPr>
  </w:style>
  <w:style w:type="table" w:styleId="ad">
    <w:name w:val="Table Grid"/>
    <w:basedOn w:val="a1"/>
    <w:uiPriority w:val="59"/>
    <w:qFormat/>
    <w:rsid w:val="002475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link w:val="a5"/>
    <w:uiPriority w:val="99"/>
    <w:semiHidden/>
    <w:qFormat/>
    <w:rsid w:val="00247593"/>
    <w:rPr>
      <w:kern w:val="2"/>
      <w:sz w:val="18"/>
      <w:szCs w:val="18"/>
    </w:rPr>
  </w:style>
  <w:style w:type="character" w:customStyle="1" w:styleId="Char3">
    <w:name w:val="页眉 Char"/>
    <w:link w:val="a7"/>
    <w:uiPriority w:val="99"/>
    <w:semiHidden/>
    <w:qFormat/>
    <w:locked/>
    <w:rsid w:val="00247593"/>
    <w:rPr>
      <w:rFonts w:ascii="Times New Roman" w:hAnsi="Times New Roman" w:cs="Times New Roman" w:hint="default"/>
      <w:sz w:val="18"/>
      <w:szCs w:val="18"/>
    </w:rPr>
  </w:style>
  <w:style w:type="character" w:customStyle="1" w:styleId="Char">
    <w:name w:val="批注主题 Char"/>
    <w:link w:val="a3"/>
    <w:uiPriority w:val="99"/>
    <w:semiHidden/>
    <w:qFormat/>
    <w:rsid w:val="00247593"/>
    <w:rPr>
      <w:b/>
      <w:bCs/>
      <w:kern w:val="2"/>
      <w:sz w:val="21"/>
      <w:szCs w:val="22"/>
    </w:rPr>
  </w:style>
  <w:style w:type="character" w:customStyle="1" w:styleId="Char2">
    <w:name w:val="页脚 Char"/>
    <w:link w:val="a6"/>
    <w:uiPriority w:val="99"/>
    <w:semiHidden/>
    <w:qFormat/>
    <w:locked/>
    <w:rsid w:val="00247593"/>
    <w:rPr>
      <w:rFonts w:ascii="Times New Roman" w:hAnsi="Times New Roman" w:cs="Times New Roman" w:hint="default"/>
      <w:sz w:val="18"/>
      <w:szCs w:val="18"/>
    </w:rPr>
  </w:style>
  <w:style w:type="character" w:customStyle="1" w:styleId="Char0">
    <w:name w:val="批注文字 Char"/>
    <w:link w:val="a4"/>
    <w:uiPriority w:val="99"/>
    <w:qFormat/>
    <w:rsid w:val="00247593"/>
    <w:rPr>
      <w:kern w:val="2"/>
      <w:sz w:val="21"/>
      <w:szCs w:val="22"/>
    </w:rPr>
  </w:style>
  <w:style w:type="paragraph" w:customStyle="1" w:styleId="zhongyaotishi">
    <w:name w:val="zhongyaotishi"/>
    <w:basedOn w:val="a"/>
    <w:qFormat/>
    <w:rsid w:val="0024759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24759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24759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24759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24759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247593"/>
    <w:pPr>
      <w:widowControl w:val="0"/>
      <w:jc w:val="center"/>
    </w:pPr>
    <w:rPr>
      <w:kern w:val="2"/>
      <w:sz w:val="33"/>
      <w:szCs w:val="22"/>
    </w:rPr>
  </w:style>
  <w:style w:type="paragraph" w:customStyle="1" w:styleId="biaogeleft">
    <w:name w:val="biaoge_left"/>
    <w:basedOn w:val="a"/>
    <w:qFormat/>
    <w:rsid w:val="0024759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24759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24759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24759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24759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247593"/>
    <w:pPr>
      <w:widowControl w:val="0"/>
    </w:pPr>
    <w:rPr>
      <w:kern w:val="2"/>
      <w:sz w:val="21"/>
      <w:szCs w:val="22"/>
    </w:rPr>
  </w:style>
  <w:style w:type="paragraph" w:customStyle="1" w:styleId="neirong">
    <w:name w:val="neirong"/>
    <w:basedOn w:val="a"/>
    <w:qFormat/>
    <w:rsid w:val="0024759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247593"/>
    <w:pPr>
      <w:jc w:val="both"/>
    </w:pPr>
    <w:rPr>
      <w:kern w:val="2"/>
      <w:sz w:val="21"/>
      <w:szCs w:val="21"/>
    </w:rPr>
  </w:style>
  <w:style w:type="paragraph" w:customStyle="1" w:styleId="Default">
    <w:name w:val="Default"/>
    <w:qFormat/>
    <w:rsid w:val="0024759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2.xml" Type="http://schemas.openxmlformats.org/officeDocument/2006/relationships/header"/><Relationship Id="rId12" Target="fontTable.xml" Type="http://schemas.openxmlformats.org/officeDocument/2006/relationships/fontTable"/><Relationship Id="rId13" Target="theme/theme1.xml" Type="http://schemas.openxmlformats.org/officeDocument/2006/relationships/theme"/><Relationship Id="rId2" Target="../customXml/item2.xml" Type="http://schemas.openxmlformats.org/officeDocument/2006/relationships/customXml"/><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BB8A1BB-1FCB-4050-B290-013ED83B52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371</Words>
  <Characters>2121</Characters>
  <Application>Microsoft Office Word</Application>
  <DocSecurity>0</DocSecurity>
  <Lines>17</Lines>
  <Paragraphs>4</Paragraphs>
  <ScaleCrop>false</ScaleCrop>
  <Company>微软中国</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