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4630" w:rsidRDefault="00474630" w:rsidP="00AF666C">
      <w:pPr>
        <w:spacing w:before="240" w:afterLines="30" w:line="360" w:lineRule="auto"/>
        <w:jc w:val="center"/>
      </w:pPr>
    </w:p>
    <w:p w:rsidR="00474630" w:rsidRDefault="00474630" w:rsidP="00AF666C">
      <w:pPr>
        <w:spacing w:before="240" w:afterLines="30" w:line="360" w:lineRule="auto"/>
        <w:jc w:val="center"/>
      </w:pPr>
    </w:p>
    <w:p w:rsidR="00474630" w:rsidRDefault="00474630" w:rsidP="00AF666C">
      <w:pPr>
        <w:spacing w:before="240" w:afterLines="30" w:line="360" w:lineRule="auto"/>
        <w:jc w:val="center"/>
      </w:pPr>
    </w:p>
    <w:p w:rsidR="00474630" w:rsidRDefault="00E63E73" w:rsidP="00AF666C">
      <w:pPr>
        <w:spacing w:before="240" w:afterLines="30" w:line="360" w:lineRule="auto"/>
        <w:jc w:val="center"/>
        <w:rPr>
          <w:rFonts w:ascii="方正黑体简体" w:eastAsia="方正黑体简体"/>
          <w:sz w:val="36"/>
        </w:rPr>
      </w:pPr>
      <w:r>
        <w:rPr>
          <w:rFonts w:ascii="方正黑体简体" w:eastAsia="方正黑体简体"/>
          <w:sz w:val="36"/>
        </w:rPr>
        <w:t>南银理财鼎瑞悦稳（最低持有7天）3号公募人民币理财产品</w:t>
      </w:r>
    </w:p>
    <w:p w:rsidR="00474630" w:rsidRDefault="00E63E73" w:rsidP="00AF666C">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2024年半</w:t>
      </w:r>
      <w:r>
        <w:rPr>
          <w:rFonts w:ascii="方正黑体简体" w:eastAsia="方正黑体简体" w:hAnsi="Calibri" w:hint="eastAsia"/>
          <w:sz w:val="36"/>
        </w:rPr>
        <w:t>年度</w:t>
      </w:r>
      <w:r>
        <w:rPr>
          <w:rFonts w:ascii="方正黑体简体" w:eastAsia="方正黑体简体" w:hAnsi="黑体"/>
          <w:sz w:val="36"/>
        </w:rPr>
        <w:t>报告</w:t>
      </w: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b/>
          <w:sz w:val="24"/>
          <w:szCs w:val="24"/>
        </w:rPr>
        <w:t>南银理财有限责任公司</w:t>
      </w: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b/>
          <w:sz w:val="24"/>
          <w:szCs w:val="24"/>
        </w:rPr>
        <w:t>南京银行股份有限公司</w:t>
      </w:r>
    </w:p>
    <w:p w:rsidR="00474630" w:rsidRDefault="00474630" w:rsidP="00AF666C">
      <w:pPr>
        <w:spacing w:before="240" w:afterLines="30" w:line="360" w:lineRule="auto"/>
        <w:jc w:val="center"/>
        <w:rPr>
          <w:rFonts w:ascii="方正黑体简体" w:eastAsia="方正黑体简体"/>
          <w:sz w:val="36"/>
        </w:rPr>
      </w:pPr>
    </w:p>
    <w:p w:rsidR="00474630" w:rsidRDefault="00E63E73">
      <w:pPr>
        <w:widowControl/>
        <w:jc w:val="left"/>
        <w:rPr>
          <w:rFonts w:ascii="方正黑体简体" w:eastAsia="方正黑体简体"/>
          <w:sz w:val="36"/>
        </w:rPr>
      </w:pPr>
      <w:r>
        <w:rPr>
          <w:rFonts w:ascii="方正黑体简体" w:eastAsia="方正黑体简体"/>
          <w:sz w:val="36"/>
        </w:rPr>
        <w:br w:type="page"/>
      </w:r>
    </w:p>
    <w:p w:rsidR="00474630" w:rsidRDefault="00E63E73" w:rsidP="00AF666C">
      <w:pPr>
        <w:widowControl/>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lastRenderedPageBreak/>
        <w:t>§1 产品概况</w:t>
      </w:r>
    </w:p>
    <w:tbl>
      <w:tblPr>
        <w:tblW w:w="881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894"/>
        <w:gridCol w:w="5924"/>
      </w:tblGrid>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南银理财鼎瑞悦稳（最低持有7天）3号公募人民币理财产品</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Z7003224000047（投资者可依据该编码在中国理财网www.chinawealth.com.cn查询理财产品相关信息）</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开放式净值型</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2024年02月02日</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4,105,243,849.11份</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sz w:val="24"/>
                <w:szCs w:val="24"/>
              </w:rPr>
              <w:t>106.08%</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中粮信托有限责任公司,国投泰康信托有限公司,陆家嘴国际信托有限公司,江苏省国际信托有限责任公司</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474630" w:rsidRDefault="00474630" w:rsidP="00AF666C">
      <w:pPr>
        <w:spacing w:before="240" w:afterLines="30" w:line="360" w:lineRule="auto"/>
        <w:rPr>
          <w:rFonts w:ascii="方正仿宋简体" w:eastAsia="方正仿宋简体" w:hAnsi="Calibri"/>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§2  主要财务指标</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474630" w:rsidRDefault="00E63E73" w:rsidP="00AF666C">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348"/>
        <w:gridCol w:w="2291"/>
        <w:gridCol w:w="1888"/>
        <w:gridCol w:w="1981"/>
        <w:gridCol w:w="1394"/>
      </w:tblGrid>
      <w:tr w:rsidR="00474630">
        <w:trPr>
          <w:trHeight w:val="744"/>
          <w:jc w:val="center"/>
        </w:trPr>
        <w:tc>
          <w:tcPr>
            <w:tcW w:w="1348" w:type="dxa"/>
            <w:vMerge w:val="restart"/>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554" w:type="dxa"/>
            <w:gridSpan w:val="4"/>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报告期（2024年02月02日 - 2024年06月30日）</w:t>
            </w:r>
          </w:p>
        </w:tc>
      </w:tr>
      <w:tr w:rsidR="00474630">
        <w:trPr>
          <w:trHeight w:val="1563"/>
          <w:jc w:val="center"/>
        </w:trPr>
        <w:tc>
          <w:tcPr>
            <w:tcW w:w="1348" w:type="dxa"/>
            <w:vMerge/>
            <w:vAlign w:val="center"/>
          </w:tcPr>
          <w:p w:rsidR="00474630" w:rsidRDefault="00474630" w:rsidP="00AF666C">
            <w:pPr>
              <w:spacing w:beforeLines="20" w:afterLines="20"/>
              <w:jc w:val="center"/>
              <w:rPr>
                <w:rFonts w:ascii="方正仿宋简体" w:eastAsia="方正仿宋简体"/>
                <w:sz w:val="24"/>
                <w:szCs w:val="24"/>
                <w:shd w:val="clear" w:color="auto" w:fill="FFFFFF"/>
              </w:rPr>
            </w:pPr>
          </w:p>
        </w:tc>
        <w:tc>
          <w:tcPr>
            <w:tcW w:w="2291"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1.期末产品最后一个市场交易日资产净值</w:t>
            </w:r>
          </w:p>
        </w:tc>
        <w:tc>
          <w:tcPr>
            <w:tcW w:w="1888"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2.期末产品最后一个市场交易日份额净值</w:t>
            </w:r>
          </w:p>
        </w:tc>
        <w:tc>
          <w:tcPr>
            <w:tcW w:w="1981"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4.其它费用</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A32020</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1,866,383,922.31</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1.006655</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1.006655</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1,675.00</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A32021</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445,045,904.53</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1.006435</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1.006435</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A32022</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701,206,519.45</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1.006099</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1.006099</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A32023</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1,118,772,132.06</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1.006050</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1.006050</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注：产品净值可能存在未扣除管理人及投资合作机构业绩报酬、赎回费等费用（如有）</w:t>
      </w:r>
      <w:r>
        <w:rPr>
          <w:rFonts w:ascii="方正仿宋简体" w:eastAsia="方正仿宋简体" w:hint="eastAsia"/>
          <w:sz w:val="24"/>
          <w:szCs w:val="24"/>
        </w:rPr>
        <w:lastRenderedPageBreak/>
        <w:t>的情况，实际收益以兑付为准。</w:t>
      </w: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§3  管理人报告</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上半年经济整体呈现需求偏弱、生产旺盛的状态，对经济形成拖累的：一是地产投资增速持续下行，二是居民消费偏保守，三是基建投资进度较慢。二季度，在经济下行压力之下，4月政治局会议提出加快财政支出力度、地产去库存等，并在后续陆续出台相关政策。二季度央行多数时间缩量开展逆回购，资金面整体较为平稳，流动性分层明显缓解，央行货币政策有发力空间，但短期面临内外部因素制约。二季度利率整体呈现缓慢下行趋势，4月初受政治局会议等影响利率快速上行，随后在经济修复较慢和资金利率宽松的背景下，收益率持续回落。10年国债从4月初的2.3%下行至6月末的2.2%，信用债下行30-50bp不等，其中中低评级、长久期的品种下行幅度更大。</w:t>
        <w:br w:type="textWrapping" w:clear="all"/>
      </w:r>
      <w:r>
        <w:rPr>
          <w:rFonts w:ascii="方正仿宋简体" w:eastAsia="方正仿宋简体" w:hint="eastAsia"/>
          <w:sz w:val="24"/>
          <w:szCs w:val="24"/>
        </w:rPr>
        <w:t>  往后看，地产销售仍较为一般，居民预期普遍偏弱，地产对经济的拖累仍存，地产新政出台后效果也有限，地方债发行速度有所加快，但基建进度仍较慢，金融数据显示实体经济融资需求较弱，货币政策预计维持宽松基调。三季度基本面、供需关系对债市仍构成支撑，货币政策维持宽松仍提供了安全边际，利率预计维持震荡下行格局，在这种背景下，对于合意的信用债资产保持积极配置，保持适度杠杆以增厚票息收益，控制久期。</w:t>
        <w:br w:type="textWrapping" w:clear="all"/>
      </w:r>
      <w:r>
        <w:rPr>
          <w:rFonts w:ascii="方正仿宋简体" w:eastAsia="方正仿宋简体" w:hint="eastAsia"/>
          <w:sz w:val="24"/>
          <w:szCs w:val="24"/>
        </w:rPr>
        <w:t>  本产品为短期产品，坚持稳健配置的管理思路，精选中短久期信用债、银行存款、债券回购为主要配置资产，兼顾收益与流动性。往后看，本产品操作上将以中性策略应对，持续关注低波票息资产的配置价值，提升高流动性资产收益，控制市值久期，为客户提供稳定的收益回报。</w:t>
      </w:r>
      <w:r>
        <w:rPr>
          <w:rFonts w:ascii="方正仿宋简体" w:eastAsia="方正仿宋简体" w:hint="eastAsia"/>
          <w:sz w:val="24"/>
          <w:szCs w:val="24"/>
        </w:rPr>
        <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  本产品持仓资产以债券为主，在持仓中维持合理比例高流动性资产，产品流动性状况较好。</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474630" w:rsidRDefault="00E63E73" w:rsidP="00AF666C">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截至报告期末，本产品A32020份额净值为1.006683元，A32021份额净值为1.006455元，A32022份额净值为1.006107元，A32023份额净值为1.006063元。</w:t>
      </w: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§4  托管人报告</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4.1报告期内托管人遵规守信情况声明</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4.2 托管人对报告期内投资运作遵规守信、净值计算、利润分配等情况的说明</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4.3 托管人对本</w:t>
      </w:r>
      <w:r w:rsidR="00DC5A6B">
        <w:rPr>
          <w:rFonts w:ascii="方正仿宋简体" w:eastAsia="方正仿宋简体" w:hint="eastAsia"/>
          <w:b/>
          <w:sz w:val="24"/>
          <w:szCs w:val="24"/>
        </w:rPr>
        <w:t>报告期内</w:t>
      </w:r>
      <w:r>
        <w:rPr>
          <w:rFonts w:ascii="方正仿宋简体" w:eastAsia="方正仿宋简体" w:hint="eastAsia"/>
          <w:b/>
          <w:sz w:val="24"/>
          <w:szCs w:val="24"/>
        </w:rPr>
        <w:t>报告中财务信息等内容的真实、准确和完整发表意见</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474630" w:rsidRDefault="00474630" w:rsidP="00AF666C">
      <w:pPr>
        <w:spacing w:before="240" w:afterLines="30" w:line="360" w:lineRule="auto"/>
        <w:rPr>
          <w:rFonts w:ascii="方正仿宋简体" w:eastAsia="方正仿宋简体"/>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§5  投资组合报告</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91.63</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8.37</w:t>
            </w:r>
            <w:r>
              <w:rPr>
                <w:rFonts w:ascii="方正仿宋简体" w:eastAsia="方正仿宋简体" w:hAnsiTheme="minorEastAsia"/>
                <w:sz w:val="24"/>
                <w:szCs w:val="24"/>
              </w:rPr>
              <w:t>%</w:t>
            </w:r>
          </w:p>
        </w:tc>
      </w:tr>
      <w:tr w:rsidR="00474630">
        <w:trPr>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474630" w:rsidRDefault="00474630" w:rsidP="00AF666C">
      <w:pPr>
        <w:spacing w:before="240" w:afterLines="30" w:line="360" w:lineRule="auto"/>
        <w:rPr>
          <w:rFonts w:ascii="方正仿宋简体" w:eastAsia="方正仿宋简体"/>
          <w:b/>
          <w:sz w:val="24"/>
          <w:szCs w:val="24"/>
        </w:rPr>
      </w:pPr>
    </w:p>
    <w:p w:rsidR="00474630" w:rsidRDefault="00E63E73" w:rsidP="00AF666C">
      <w:pPr>
        <w:spacing w:before="240" w:afterLines="30" w:line="360" w:lineRule="auto"/>
        <w:rPr>
          <w:rFonts w:ascii="方正仿宋简体" w:eastAsia="方正仿宋简体"/>
          <w:b/>
          <w:sz w:val="24"/>
          <w:szCs w:val="24"/>
          <w:shd w:val="clear" w:color="auto" w:fill="FFFFFF"/>
        </w:rPr>
      </w:pPr>
      <w:r>
        <w:rPr>
          <w:rFonts w:ascii="方正仿宋简体" w:eastAsia="方正仿宋简体" w:hint="eastAsia"/>
          <w:b/>
          <w:sz w:val="24"/>
          <w:szCs w:val="24"/>
        </w:rPr>
        <w:t>5.2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4"/>
        <w:gridCol w:w="1633"/>
        <w:gridCol w:w="2721"/>
        <w:gridCol w:w="2059"/>
        <w:gridCol w:w="1785"/>
      </w:tblGrid>
      <w:tr w:rsidR="00474630">
        <w:trPr>
          <w:trHeight w:val="1322"/>
          <w:jc w:val="center"/>
        </w:trPr>
        <w:tc>
          <w:tcPr>
            <w:tcW w:w="704"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633"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85"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ZJQTT202311080001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国投泰康信托福佳1号集合资金信托计划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1,719,199,832.62</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41.61</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ZJQTT202306010001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中粮信托-鼎兴2号集合资金信托计划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951,193,528.94</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23.02</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XJCKX202403250001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农业银行安庆分行活期存款</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480,708,388.88</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11.64</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ZJQTT202405170001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陆家嘴信托-陆享15号集合资金信托计划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412,772,785.77</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9.99</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ZJQTT202311080002</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国投泰康信托福佳2号集合资金信托计划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215,843,167.91</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5.22</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112308261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23中信银行CD261</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195,445,600.00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4.73</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ZJQTT202209050001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江苏信托鑫盈2号集合资金信托计划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100,370,709.01</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2.43</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DQCKX202406170003</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中国银行定期存款20240617B</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100,000,000.00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2.42</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112303181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23农业银行CD181</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97,834,500.00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2.37</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ZJQTT202308180021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中粮信托鼎兴1号集合资金信托计划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30,015,835.98</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0.73</w:t>
            </w:r>
          </w:p>
        </w:tc>
      </w:tr>
    </w:tbl>
    <w:p w:rsidR="00474630" w:rsidRDefault="00474630" w:rsidP="00AF666C">
      <w:pPr>
        <w:spacing w:before="240" w:afterLines="30" w:line="360" w:lineRule="auto"/>
        <w:rPr>
          <w:rFonts w:ascii="方正仿宋简体" w:eastAsia="方正仿宋简体" w:hAnsi="宋体" w:cs="宋体"/>
          <w:sz w:val="24"/>
          <w:szCs w:val="24"/>
          <w:shd w:val="clear" w:color="auto" w:fill="FFFFFF"/>
        </w:rPr>
      </w:pPr>
    </w:p>
    <w:p w:rsidR="00474630" w:rsidRDefault="00E63E73" w:rsidP="00AF666C">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474630">
        <w:trPr>
          <w:jc w:val="center"/>
        </w:trPr>
        <w:tc>
          <w:tcPr>
            <w:tcW w:w="707"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w:t>
            </w:r>
          </w:p>
        </w:tc>
        <w:tc>
          <w:tcPr>
            <w:tcW w:w="1695"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437"/>
        <w:gridCol w:w="2529"/>
        <w:gridCol w:w="1984"/>
        <w:gridCol w:w="1984"/>
      </w:tblGrid>
      <w:tr w:rsidR="00474630">
        <w:trPr>
          <w:trHeight w:val="705"/>
          <w:jc w:val="center"/>
        </w:trPr>
        <w:tc>
          <w:tcPr>
            <w:tcW w:w="968"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437"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529"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43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52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0101090000000924</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南京银行南京分行南银理财鼎瑞悦稳最低持有7天3号</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474630" w:rsidRDefault="00474630" w:rsidP="00AF666C">
      <w:pPr>
        <w:spacing w:before="240" w:afterLines="30" w:line="360" w:lineRule="auto"/>
        <w:rPr>
          <w:rFonts w:ascii="方正仿宋简体" w:eastAsia="方正仿宋简体"/>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§7 关联交易情况</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bookmarkStart w:id="0" w:name="_GoBack"/>
      <w:bookmarkEnd w:id="0"/>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219,960,000.00</w:t>
      </w:r>
      <w:r>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AF666C"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w:t>
      </w:r>
      <w:r w:rsidR="00E63E73">
        <w:rPr>
          <w:rFonts w:ascii="方正仿宋简体" w:eastAsia="方正仿宋简体" w:hAnsi="宋体" w:cs="宋体" w:hint="eastAsia"/>
          <w:color w:val="000000"/>
          <w:kern w:val="0"/>
          <w:sz w:val="24"/>
          <w:szCs w:val="24"/>
        </w:rPr>
        <w:t>支付关联方托管费</w:t>
      </w:r>
      <w:r w:rsidR="00E63E73">
        <w:rPr>
          <w:rFonts w:ascii="方正仿宋简体" w:eastAsia="方正仿宋简体" w:hAnsi="宋体" w:cs="宋体"/>
          <w:color w:val="000000"/>
          <w:kern w:val="0"/>
          <w:sz w:val="24"/>
          <w:szCs w:val="24"/>
        </w:rPr>
        <w:t/>
      </w:r>
      <w:r w:rsidR="00E63E73">
        <w:rPr>
          <w:rFonts w:ascii="方正仿宋简体" w:eastAsia="方正仿宋简体" w:hAnsi="宋体" w:cs="宋体" w:hint="eastAsia"/>
          <w:color w:val="000000"/>
          <w:kern w:val="0"/>
          <w:sz w:val="24"/>
          <w:szCs w:val="24"/>
        </w:rPr>
        <w:t/>
      </w:r>
      <w:r w:rsidR="00E63E73">
        <w:rPr>
          <w:rFonts w:ascii="方正仿宋简体" w:eastAsia="方正仿宋简体" w:hAnsi="宋体" w:cs="宋体"/>
          <w:color w:val="000000"/>
          <w:kern w:val="0"/>
          <w:sz w:val="24"/>
          <w:szCs w:val="24"/>
        </w:rPr>
        <w:t>21,383.70</w:t>
      </w:r>
      <w:r>
        <w:rPr>
          <w:rFonts w:ascii="方正仿宋简体" w:eastAsia="方正仿宋简体" w:hAnsi="宋体" w:cs="宋体" w:hint="eastAsia"/>
          <w:color w:val="000000"/>
          <w:kern w:val="0"/>
          <w:sz w:val="24"/>
          <w:szCs w:val="24"/>
        </w:rPr>
        <w:t>元，</w:t>
      </w:r>
      <w:r w:rsidR="00E63E73">
        <w:rPr>
          <w:rFonts w:ascii="方正仿宋简体" w:eastAsia="方正仿宋简体" w:hAnsi="宋体" w:cs="宋体" w:hint="eastAsia"/>
          <w:color w:val="000000"/>
          <w:kern w:val="0"/>
          <w:sz w:val="24"/>
          <w:szCs w:val="24"/>
        </w:rPr>
        <w:t>支付关联方代销费</w:t>
      </w:r>
      <w:r w:rsidR="00E63E73">
        <w:rPr>
          <w:rFonts w:ascii="方正仿宋简体" w:eastAsia="方正仿宋简体" w:hAnsi="宋体" w:cs="宋体"/>
          <w:color w:val="000000"/>
          <w:kern w:val="0"/>
          <w:sz w:val="24"/>
          <w:szCs w:val="24"/>
        </w:rPr>
        <w:t/>
      </w:r>
      <w:r w:rsidR="00E63E73">
        <w:rPr>
          <w:rFonts w:ascii="方正仿宋简体" w:eastAsia="方正仿宋简体" w:hAnsi="宋体" w:cs="宋体" w:hint="eastAsia"/>
          <w:color w:val="000000"/>
          <w:kern w:val="0"/>
          <w:sz w:val="24"/>
          <w:szCs w:val="24"/>
        </w:rPr>
        <w:t/>
      </w:r>
      <w:r w:rsidR="00E63E73">
        <w:rPr>
          <w:rFonts w:ascii="方正仿宋简体" w:eastAsia="方正仿宋简体" w:hAnsi="宋体" w:cs="宋体"/>
          <w:color w:val="000000"/>
          <w:kern w:val="0"/>
          <w:sz w:val="24"/>
          <w:szCs w:val="24"/>
        </w:rPr>
        <w:t>0.00</w:t>
      </w:r>
      <w:r w:rsidR="00E63E73">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474630" w:rsidRDefault="00E63E73" w:rsidP="00677AB7">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2024年06月30日</w:t>
      </w:r>
    </w:p>
    <w:sectPr w:rsidR="00474630" w:rsidSect="00474630">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40660" w:rsidRDefault="00140660" w:rsidP="00474630">
      <w:r>
        <w:separator/>
      </w:r>
    </w:p>
  </w:endnote>
  <w:endnote w:type="continuationSeparator" w:id="1">
    <w:p w:rsidR="00140660" w:rsidRDefault="00140660" w:rsidP="0047463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677AB7">
    <w:pPr>
      <w:pStyle w:val="a6"/>
      <w:framePr w:wrap="around" w:vAnchor="text" w:hAnchor="margin" w:xAlign="center" w:y="1"/>
      <w:rPr>
        <w:rStyle w:val="aa"/>
      </w:rPr>
    </w:pPr>
    <w:r>
      <w:fldChar w:fldCharType="begin"/>
    </w:r>
    <w:r w:rsidR="00E63E73">
      <w:rPr>
        <w:rStyle w:val="aa"/>
      </w:rPr>
      <w:instrText xml:space="preserve">PAGE  </w:instrText>
    </w:r>
    <w:r>
      <w:fldChar w:fldCharType="end"/>
    </w:r>
  </w:p>
  <w:p w:rsidR="00474630" w:rsidRDefault="00474630">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40660" w:rsidRDefault="00140660" w:rsidP="00474630">
      <w:r>
        <w:separator/>
      </w:r>
    </w:p>
  </w:footnote>
  <w:footnote w:type="continuationSeparator" w:id="1">
    <w:p w:rsidR="00140660" w:rsidRDefault="00140660" w:rsidP="0047463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5122"/>
  </w:hdrShapeDefaults>
  <w:footnotePr>
    <w:footnote w:id="0"/>
    <w:footnote w:id="1"/>
  </w:footnotePr>
  <w:endnotePr>
    <w:endnote w:id="0"/>
    <w:endnote w:id="1"/>
  </w:endnotePr>
  <w:compat>
    <w:doNotExpandShiftReturn/>
    <w:useFELayout/>
  </w:compat>
  <w:rsids>
    <w:rsidRoot w:val="00172A27"/>
    <w:rsid w:val="00000A95"/>
    <w:rsid w:val="000060E5"/>
    <w:rsid w:val="00015019"/>
    <w:rsid w:val="000234FF"/>
    <w:rsid w:val="00026D52"/>
    <w:rsid w:val="000318AA"/>
    <w:rsid w:val="00034FF6"/>
    <w:rsid w:val="00044BFF"/>
    <w:rsid w:val="000470C2"/>
    <w:rsid w:val="0005474A"/>
    <w:rsid w:val="00061725"/>
    <w:rsid w:val="000633AA"/>
    <w:rsid w:val="00066A9A"/>
    <w:rsid w:val="000737ED"/>
    <w:rsid w:val="00095B95"/>
    <w:rsid w:val="000A3711"/>
    <w:rsid w:val="000D5066"/>
    <w:rsid w:val="000E6ACE"/>
    <w:rsid w:val="000F06ED"/>
    <w:rsid w:val="000F27F1"/>
    <w:rsid w:val="000F6191"/>
    <w:rsid w:val="00113F5F"/>
    <w:rsid w:val="001279EA"/>
    <w:rsid w:val="00130CE8"/>
    <w:rsid w:val="0013364F"/>
    <w:rsid w:val="00140660"/>
    <w:rsid w:val="0014449D"/>
    <w:rsid w:val="00150E2C"/>
    <w:rsid w:val="00152201"/>
    <w:rsid w:val="00171891"/>
    <w:rsid w:val="00172A27"/>
    <w:rsid w:val="00173478"/>
    <w:rsid w:val="001735BA"/>
    <w:rsid w:val="00176636"/>
    <w:rsid w:val="00183C84"/>
    <w:rsid w:val="001B497D"/>
    <w:rsid w:val="001C05F9"/>
    <w:rsid w:val="001C5395"/>
    <w:rsid w:val="001E2EEA"/>
    <w:rsid w:val="001E5905"/>
    <w:rsid w:val="001E5DF7"/>
    <w:rsid w:val="001E7120"/>
    <w:rsid w:val="00211F26"/>
    <w:rsid w:val="00220B2B"/>
    <w:rsid w:val="00224D9D"/>
    <w:rsid w:val="00225D2E"/>
    <w:rsid w:val="002263FC"/>
    <w:rsid w:val="002448E3"/>
    <w:rsid w:val="00247A0A"/>
    <w:rsid w:val="00290B55"/>
    <w:rsid w:val="00295E85"/>
    <w:rsid w:val="002A3AE9"/>
    <w:rsid w:val="002B7F5A"/>
    <w:rsid w:val="002C196E"/>
    <w:rsid w:val="002D2DB0"/>
    <w:rsid w:val="002D75D0"/>
    <w:rsid w:val="002E7131"/>
    <w:rsid w:val="002E795C"/>
    <w:rsid w:val="00302167"/>
    <w:rsid w:val="00305714"/>
    <w:rsid w:val="00313E71"/>
    <w:rsid w:val="00321CB7"/>
    <w:rsid w:val="003379A9"/>
    <w:rsid w:val="00341B28"/>
    <w:rsid w:val="00350ADF"/>
    <w:rsid w:val="00355623"/>
    <w:rsid w:val="00387F9B"/>
    <w:rsid w:val="003A0419"/>
    <w:rsid w:val="003B117F"/>
    <w:rsid w:val="003B4AB4"/>
    <w:rsid w:val="003C4D3B"/>
    <w:rsid w:val="003D30C4"/>
    <w:rsid w:val="003E09EA"/>
    <w:rsid w:val="003E412C"/>
    <w:rsid w:val="003F0AC3"/>
    <w:rsid w:val="00433022"/>
    <w:rsid w:val="00455600"/>
    <w:rsid w:val="00456251"/>
    <w:rsid w:val="004660E6"/>
    <w:rsid w:val="00474630"/>
    <w:rsid w:val="004A0363"/>
    <w:rsid w:val="004B5DED"/>
    <w:rsid w:val="004C1607"/>
    <w:rsid w:val="004D1578"/>
    <w:rsid w:val="004E621E"/>
    <w:rsid w:val="004F2359"/>
    <w:rsid w:val="004F313C"/>
    <w:rsid w:val="0050244A"/>
    <w:rsid w:val="005069D8"/>
    <w:rsid w:val="0051077F"/>
    <w:rsid w:val="00522179"/>
    <w:rsid w:val="00522858"/>
    <w:rsid w:val="0056162E"/>
    <w:rsid w:val="00563B93"/>
    <w:rsid w:val="00565BF6"/>
    <w:rsid w:val="00567DB3"/>
    <w:rsid w:val="00594CF2"/>
    <w:rsid w:val="005B272E"/>
    <w:rsid w:val="005B3434"/>
    <w:rsid w:val="005B7384"/>
    <w:rsid w:val="005D5ED6"/>
    <w:rsid w:val="005D7503"/>
    <w:rsid w:val="005E0686"/>
    <w:rsid w:val="005E2884"/>
    <w:rsid w:val="005E40C5"/>
    <w:rsid w:val="005E5050"/>
    <w:rsid w:val="005F0633"/>
    <w:rsid w:val="005F2C7B"/>
    <w:rsid w:val="005F4D04"/>
    <w:rsid w:val="005F7DA9"/>
    <w:rsid w:val="006054F8"/>
    <w:rsid w:val="00617E25"/>
    <w:rsid w:val="00641FC1"/>
    <w:rsid w:val="0065419A"/>
    <w:rsid w:val="00654220"/>
    <w:rsid w:val="0065529B"/>
    <w:rsid w:val="006624C2"/>
    <w:rsid w:val="00663B94"/>
    <w:rsid w:val="00676076"/>
    <w:rsid w:val="00677AB7"/>
    <w:rsid w:val="00677F66"/>
    <w:rsid w:val="006C1014"/>
    <w:rsid w:val="006D5D22"/>
    <w:rsid w:val="006E3BA0"/>
    <w:rsid w:val="006E4E94"/>
    <w:rsid w:val="006E70D5"/>
    <w:rsid w:val="006F69B2"/>
    <w:rsid w:val="007017D8"/>
    <w:rsid w:val="007110ED"/>
    <w:rsid w:val="00730BEE"/>
    <w:rsid w:val="0073101E"/>
    <w:rsid w:val="00733378"/>
    <w:rsid w:val="00735153"/>
    <w:rsid w:val="00735E29"/>
    <w:rsid w:val="00745421"/>
    <w:rsid w:val="00745F96"/>
    <w:rsid w:val="0074729D"/>
    <w:rsid w:val="00782F29"/>
    <w:rsid w:val="00790CB3"/>
    <w:rsid w:val="00796214"/>
    <w:rsid w:val="007A4219"/>
    <w:rsid w:val="007B08DF"/>
    <w:rsid w:val="007C4F56"/>
    <w:rsid w:val="007E0B6E"/>
    <w:rsid w:val="007E4637"/>
    <w:rsid w:val="00800690"/>
    <w:rsid w:val="0080200C"/>
    <w:rsid w:val="00802D0C"/>
    <w:rsid w:val="00810B7D"/>
    <w:rsid w:val="00814110"/>
    <w:rsid w:val="00822116"/>
    <w:rsid w:val="0082561A"/>
    <w:rsid w:val="00846B2E"/>
    <w:rsid w:val="0085663C"/>
    <w:rsid w:val="00870717"/>
    <w:rsid w:val="008768AB"/>
    <w:rsid w:val="008870FD"/>
    <w:rsid w:val="008904CC"/>
    <w:rsid w:val="008926F7"/>
    <w:rsid w:val="00895C9A"/>
    <w:rsid w:val="008A7510"/>
    <w:rsid w:val="008B2B66"/>
    <w:rsid w:val="008C18AE"/>
    <w:rsid w:val="008C3CBF"/>
    <w:rsid w:val="008C670A"/>
    <w:rsid w:val="008C78BD"/>
    <w:rsid w:val="008F099C"/>
    <w:rsid w:val="008F0FA3"/>
    <w:rsid w:val="00900D90"/>
    <w:rsid w:val="0090315A"/>
    <w:rsid w:val="00907C39"/>
    <w:rsid w:val="009354D6"/>
    <w:rsid w:val="00956754"/>
    <w:rsid w:val="009679B0"/>
    <w:rsid w:val="00970A98"/>
    <w:rsid w:val="00977E89"/>
    <w:rsid w:val="00991B0F"/>
    <w:rsid w:val="009A00E4"/>
    <w:rsid w:val="009A4E79"/>
    <w:rsid w:val="009B1695"/>
    <w:rsid w:val="009B2EEF"/>
    <w:rsid w:val="009B50F2"/>
    <w:rsid w:val="009C6A99"/>
    <w:rsid w:val="009C781F"/>
    <w:rsid w:val="009D5296"/>
    <w:rsid w:val="009D6978"/>
    <w:rsid w:val="009E6170"/>
    <w:rsid w:val="009F1FD4"/>
    <w:rsid w:val="009F4338"/>
    <w:rsid w:val="00A061C5"/>
    <w:rsid w:val="00A204A0"/>
    <w:rsid w:val="00A30A44"/>
    <w:rsid w:val="00A4484F"/>
    <w:rsid w:val="00A66D8E"/>
    <w:rsid w:val="00A7328D"/>
    <w:rsid w:val="00A76D4B"/>
    <w:rsid w:val="00A77C47"/>
    <w:rsid w:val="00A8398D"/>
    <w:rsid w:val="00A9119C"/>
    <w:rsid w:val="00A94A56"/>
    <w:rsid w:val="00AA36EB"/>
    <w:rsid w:val="00AA4549"/>
    <w:rsid w:val="00AA5B04"/>
    <w:rsid w:val="00AA6CFF"/>
    <w:rsid w:val="00AC3D79"/>
    <w:rsid w:val="00AC5144"/>
    <w:rsid w:val="00AD3853"/>
    <w:rsid w:val="00AF666C"/>
    <w:rsid w:val="00B13014"/>
    <w:rsid w:val="00B17559"/>
    <w:rsid w:val="00B176FA"/>
    <w:rsid w:val="00B23E1D"/>
    <w:rsid w:val="00B33978"/>
    <w:rsid w:val="00B33B19"/>
    <w:rsid w:val="00B3722F"/>
    <w:rsid w:val="00B404E6"/>
    <w:rsid w:val="00B4360D"/>
    <w:rsid w:val="00B534AE"/>
    <w:rsid w:val="00B61EA9"/>
    <w:rsid w:val="00B670D1"/>
    <w:rsid w:val="00B74DCA"/>
    <w:rsid w:val="00B94CD4"/>
    <w:rsid w:val="00B964AE"/>
    <w:rsid w:val="00BA2C7F"/>
    <w:rsid w:val="00BA5103"/>
    <w:rsid w:val="00BA632A"/>
    <w:rsid w:val="00BC3903"/>
    <w:rsid w:val="00BD7DB5"/>
    <w:rsid w:val="00BE106D"/>
    <w:rsid w:val="00BE47E0"/>
    <w:rsid w:val="00BF3D9D"/>
    <w:rsid w:val="00BF75C8"/>
    <w:rsid w:val="00C00058"/>
    <w:rsid w:val="00C02F0B"/>
    <w:rsid w:val="00C11797"/>
    <w:rsid w:val="00C1762E"/>
    <w:rsid w:val="00C20F36"/>
    <w:rsid w:val="00C20F84"/>
    <w:rsid w:val="00C25123"/>
    <w:rsid w:val="00C2582A"/>
    <w:rsid w:val="00C30A48"/>
    <w:rsid w:val="00C375A7"/>
    <w:rsid w:val="00C44DD0"/>
    <w:rsid w:val="00C44DFE"/>
    <w:rsid w:val="00C62DF8"/>
    <w:rsid w:val="00C640FB"/>
    <w:rsid w:val="00C86023"/>
    <w:rsid w:val="00C94EBA"/>
    <w:rsid w:val="00C973B4"/>
    <w:rsid w:val="00CA2770"/>
    <w:rsid w:val="00CB054E"/>
    <w:rsid w:val="00CC52D7"/>
    <w:rsid w:val="00CD4ADA"/>
    <w:rsid w:val="00CE4DED"/>
    <w:rsid w:val="00D20F53"/>
    <w:rsid w:val="00D23611"/>
    <w:rsid w:val="00D23AB6"/>
    <w:rsid w:val="00D50309"/>
    <w:rsid w:val="00D51AA9"/>
    <w:rsid w:val="00D7264A"/>
    <w:rsid w:val="00D84E43"/>
    <w:rsid w:val="00D870DF"/>
    <w:rsid w:val="00DA139A"/>
    <w:rsid w:val="00DA2489"/>
    <w:rsid w:val="00DA30A0"/>
    <w:rsid w:val="00DB0C2F"/>
    <w:rsid w:val="00DB3BF6"/>
    <w:rsid w:val="00DB56A2"/>
    <w:rsid w:val="00DC31CC"/>
    <w:rsid w:val="00DC5A6B"/>
    <w:rsid w:val="00DC728A"/>
    <w:rsid w:val="00DD2F3C"/>
    <w:rsid w:val="00DD4A55"/>
    <w:rsid w:val="00DD65B5"/>
    <w:rsid w:val="00DD782E"/>
    <w:rsid w:val="00DF6907"/>
    <w:rsid w:val="00E1059D"/>
    <w:rsid w:val="00E126A1"/>
    <w:rsid w:val="00E155DF"/>
    <w:rsid w:val="00E174FA"/>
    <w:rsid w:val="00E246E1"/>
    <w:rsid w:val="00E314CE"/>
    <w:rsid w:val="00E514EB"/>
    <w:rsid w:val="00E52823"/>
    <w:rsid w:val="00E52B10"/>
    <w:rsid w:val="00E600D0"/>
    <w:rsid w:val="00E63E73"/>
    <w:rsid w:val="00E7192D"/>
    <w:rsid w:val="00E81033"/>
    <w:rsid w:val="00E944FA"/>
    <w:rsid w:val="00E9797A"/>
    <w:rsid w:val="00EB0DB4"/>
    <w:rsid w:val="00EB44BE"/>
    <w:rsid w:val="00EC5C4D"/>
    <w:rsid w:val="00ED1047"/>
    <w:rsid w:val="00EE0436"/>
    <w:rsid w:val="00EF04A5"/>
    <w:rsid w:val="00F258C8"/>
    <w:rsid w:val="00F30035"/>
    <w:rsid w:val="00F41324"/>
    <w:rsid w:val="00F47D39"/>
    <w:rsid w:val="00F47E18"/>
    <w:rsid w:val="00F57C12"/>
    <w:rsid w:val="00F609FD"/>
    <w:rsid w:val="00F64BD9"/>
    <w:rsid w:val="00F65ACC"/>
    <w:rsid w:val="00F7052D"/>
    <w:rsid w:val="00F771E3"/>
    <w:rsid w:val="00F8162C"/>
    <w:rsid w:val="00F859AB"/>
    <w:rsid w:val="00F950D0"/>
    <w:rsid w:val="00FA0110"/>
    <w:rsid w:val="00FA2C26"/>
    <w:rsid w:val="00FA4F66"/>
    <w:rsid w:val="00FC027F"/>
    <w:rsid w:val="00FD1F12"/>
    <w:rsid w:val="00FD412B"/>
    <w:rsid w:val="00FF26C8"/>
    <w:rsid w:val="016D581F"/>
    <w:rsid w:val="030F2BA7"/>
    <w:rsid w:val="04240CEE"/>
    <w:rsid w:val="065551D3"/>
    <w:rsid w:val="06C37561"/>
    <w:rsid w:val="0A236A5A"/>
    <w:rsid w:val="10992483"/>
    <w:rsid w:val="111D4539"/>
    <w:rsid w:val="13297F9C"/>
    <w:rsid w:val="134727C6"/>
    <w:rsid w:val="141A5102"/>
    <w:rsid w:val="15FE575C"/>
    <w:rsid w:val="1ADC05C7"/>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B4429A4"/>
    <w:rsid w:val="3C753CC7"/>
    <w:rsid w:val="3F2C3B54"/>
    <w:rsid w:val="40990310"/>
    <w:rsid w:val="459870AF"/>
    <w:rsid w:val="45ED49CE"/>
    <w:rsid w:val="46F0109E"/>
    <w:rsid w:val="47475A63"/>
    <w:rsid w:val="4E276A76"/>
    <w:rsid w:val="509017BA"/>
    <w:rsid w:val="51482FC3"/>
    <w:rsid w:val="52830253"/>
    <w:rsid w:val="541C469D"/>
    <w:rsid w:val="5BAD62F8"/>
    <w:rsid w:val="5BE61B5E"/>
    <w:rsid w:val="602D020F"/>
    <w:rsid w:val="64C67B5C"/>
    <w:rsid w:val="66F47EBC"/>
    <w:rsid w:val="681903E9"/>
    <w:rsid w:val="68823415"/>
    <w:rsid w:val="6898111C"/>
    <w:rsid w:val="6A485270"/>
    <w:rsid w:val="6D05415D"/>
    <w:rsid w:val="6F66394D"/>
    <w:rsid w:val="73193673"/>
    <w:rsid w:val="74543F24"/>
    <w:rsid w:val="74BE328D"/>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463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474630"/>
    <w:rPr>
      <w:b/>
      <w:bCs/>
    </w:rPr>
  </w:style>
  <w:style w:type="paragraph" w:styleId="a4">
    <w:name w:val="annotation text"/>
    <w:basedOn w:val="a"/>
    <w:link w:val="Char0"/>
    <w:uiPriority w:val="99"/>
    <w:unhideWhenUsed/>
    <w:qFormat/>
    <w:rsid w:val="00474630"/>
    <w:pPr>
      <w:jc w:val="left"/>
    </w:pPr>
  </w:style>
  <w:style w:type="paragraph" w:styleId="a5">
    <w:name w:val="Balloon Text"/>
    <w:basedOn w:val="a"/>
    <w:link w:val="Char1"/>
    <w:uiPriority w:val="99"/>
    <w:unhideWhenUsed/>
    <w:qFormat/>
    <w:rsid w:val="00474630"/>
    <w:rPr>
      <w:sz w:val="18"/>
      <w:szCs w:val="18"/>
    </w:rPr>
  </w:style>
  <w:style w:type="paragraph" w:styleId="a6">
    <w:name w:val="footer"/>
    <w:basedOn w:val="a"/>
    <w:link w:val="Char2"/>
    <w:uiPriority w:val="99"/>
    <w:unhideWhenUsed/>
    <w:qFormat/>
    <w:rsid w:val="00474630"/>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474630"/>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474630"/>
    <w:pPr>
      <w:snapToGrid w:val="0"/>
      <w:jc w:val="left"/>
    </w:pPr>
    <w:rPr>
      <w:sz w:val="18"/>
    </w:rPr>
  </w:style>
  <w:style w:type="paragraph" w:styleId="a9">
    <w:name w:val="Normal (Web)"/>
    <w:basedOn w:val="a"/>
    <w:qFormat/>
    <w:rsid w:val="00474630"/>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474630"/>
  </w:style>
  <w:style w:type="character" w:styleId="ab">
    <w:name w:val="annotation reference"/>
    <w:uiPriority w:val="99"/>
    <w:unhideWhenUsed/>
    <w:qFormat/>
    <w:rsid w:val="00474630"/>
    <w:rPr>
      <w:sz w:val="21"/>
      <w:szCs w:val="21"/>
    </w:rPr>
  </w:style>
  <w:style w:type="character" w:styleId="ac">
    <w:name w:val="footnote reference"/>
    <w:uiPriority w:val="99"/>
    <w:unhideWhenUsed/>
    <w:qFormat/>
    <w:rsid w:val="00474630"/>
    <w:rPr>
      <w:vertAlign w:val="superscript"/>
    </w:rPr>
  </w:style>
  <w:style w:type="character" w:customStyle="1" w:styleId="Char1">
    <w:name w:val="批注框文本 Char"/>
    <w:link w:val="a5"/>
    <w:uiPriority w:val="99"/>
    <w:semiHidden/>
    <w:qFormat/>
    <w:rsid w:val="00474630"/>
    <w:rPr>
      <w:kern w:val="2"/>
      <w:sz w:val="18"/>
      <w:szCs w:val="18"/>
    </w:rPr>
  </w:style>
  <w:style w:type="character" w:customStyle="1" w:styleId="Char3">
    <w:name w:val="页眉 Char"/>
    <w:link w:val="a7"/>
    <w:uiPriority w:val="99"/>
    <w:semiHidden/>
    <w:qFormat/>
    <w:locked/>
    <w:rsid w:val="00474630"/>
    <w:rPr>
      <w:rFonts w:ascii="Times New Roman" w:hAnsi="Times New Roman" w:cs="Times New Roman" w:hint="default"/>
      <w:sz w:val="18"/>
      <w:szCs w:val="18"/>
    </w:rPr>
  </w:style>
  <w:style w:type="character" w:customStyle="1" w:styleId="Char">
    <w:name w:val="批注主题 Char"/>
    <w:link w:val="a3"/>
    <w:uiPriority w:val="99"/>
    <w:semiHidden/>
    <w:qFormat/>
    <w:rsid w:val="00474630"/>
    <w:rPr>
      <w:b/>
      <w:bCs/>
      <w:kern w:val="2"/>
      <w:sz w:val="21"/>
      <w:szCs w:val="22"/>
    </w:rPr>
  </w:style>
  <w:style w:type="character" w:customStyle="1" w:styleId="Char2">
    <w:name w:val="页脚 Char"/>
    <w:link w:val="a6"/>
    <w:uiPriority w:val="99"/>
    <w:semiHidden/>
    <w:qFormat/>
    <w:locked/>
    <w:rsid w:val="00474630"/>
    <w:rPr>
      <w:rFonts w:ascii="Times New Roman" w:hAnsi="Times New Roman" w:cs="Times New Roman" w:hint="default"/>
      <w:sz w:val="18"/>
      <w:szCs w:val="18"/>
    </w:rPr>
  </w:style>
  <w:style w:type="character" w:customStyle="1" w:styleId="Char0">
    <w:name w:val="批注文字 Char"/>
    <w:link w:val="a4"/>
    <w:uiPriority w:val="99"/>
    <w:qFormat/>
    <w:rsid w:val="00474630"/>
    <w:rPr>
      <w:kern w:val="2"/>
      <w:sz w:val="21"/>
      <w:szCs w:val="22"/>
    </w:rPr>
  </w:style>
  <w:style w:type="paragraph" w:customStyle="1" w:styleId="zhongyaotishi">
    <w:name w:val="zhongyaotishi"/>
    <w:basedOn w:val="a"/>
    <w:qFormat/>
    <w:rsid w:val="0047463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47463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47463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47463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47463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474630"/>
    <w:pPr>
      <w:widowControl w:val="0"/>
      <w:jc w:val="center"/>
    </w:pPr>
    <w:rPr>
      <w:kern w:val="2"/>
      <w:sz w:val="33"/>
      <w:szCs w:val="22"/>
    </w:rPr>
  </w:style>
  <w:style w:type="paragraph" w:customStyle="1" w:styleId="biaogeleft">
    <w:name w:val="biaoge_left"/>
    <w:basedOn w:val="a"/>
    <w:qFormat/>
    <w:rsid w:val="0047463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47463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47463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474630"/>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474630"/>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474630"/>
    <w:pPr>
      <w:widowControl w:val="0"/>
    </w:pPr>
    <w:rPr>
      <w:kern w:val="2"/>
      <w:sz w:val="21"/>
      <w:szCs w:val="22"/>
    </w:rPr>
  </w:style>
  <w:style w:type="paragraph" w:customStyle="1" w:styleId="neirong">
    <w:name w:val="neirong"/>
    <w:basedOn w:val="a"/>
    <w:qFormat/>
    <w:rsid w:val="0047463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474630"/>
    <w:pPr>
      <w:jc w:val="both"/>
    </w:pPr>
    <w:rPr>
      <w:kern w:val="2"/>
      <w:sz w:val="21"/>
      <w:szCs w:val="21"/>
    </w:rPr>
  </w:style>
  <w:style w:type="paragraph" w:customStyle="1" w:styleId="Default">
    <w:name w:val="Default"/>
    <w:qFormat/>
    <w:rsid w:val="00474630"/>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347</Words>
  <Characters>1982</Characters>
  <Application>Microsoft Office Word</Application>
  <DocSecurity>0</DocSecurity>
  <Lines>16</Lines>
  <Paragraphs>4</Paragraphs>
  <ScaleCrop>false</ScaleCrop>
  <Company>微软中国</Company>
  <LinksUpToDate>false</LinksUpToDate>
  <CharactersWithSpaces>2325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2022-08-03T07:49:00Z</dcterms:created>
  <dc:creator>总行金融市场部本币投资交易部梅浩超</dc:creator>
  <cp:lastModifiedBy>未定义</cp:lastModifiedBy>
  <cp:lastPrinted>2019-09-11T00:56:00Z</cp:lastPrinted>
  <dcterms:modified xsi:type="dcterms:W3CDTF">2024-08-08T06:16:00Z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