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南银理财珠联璧合悦稳（最低持有28天）公募人民币理财产品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南银理财珠联璧合悦稳（最低持有28天）公募人民币理财产品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Z7003223000077（投资者可依据该编码在中国理财网www.chinawealth.com.cn查询理财产品相关信息）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2023年04月25日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9,453,959,645.12份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100.08%</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中粮信托有限责任公司,国投泰康信托有限公司,鑫元基金管理有限公司,鑫沅资产管理有限公司,泰康资产管理有限责任公司,江苏省国际信托有限责任公司,光大永明资产管理股份有限公司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7,562,418,542.66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9,550.61</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1,932,292,045.17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8,639,327.11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290,786,509.69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截至报告期末，本产品A32009份额净值为1.0357元，A32010份额净值为1.0367元，A32029份额净值为1.0345元，A32032份额净值为1.0359元。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88.28</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11.72</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2,510,365,249.66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1,880,404,648.66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1,267,744,360.98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720,340,331.85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561,728,186.93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482,351,508.69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泰康资产纯泰33号资产管理产品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349,999,097.54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XJCKX202406180021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浦发银行南京分行活期存款（约期）20240618</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275,780,000.00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262,134,725.83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XJCKX202406170005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浦发银行南京分行活期存款（约期）20240617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0120030000001147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南银理财悦稳最低持有28天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202,000,000.00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726,235.49</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1,823,907.65</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