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after="0"/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36"/>
        </w:rPr>
        <w:t>关于代销苏银理财恒源封闭债权</w:t>
      </w:r>
      <w:r>
        <w:rPr>
          <w:rFonts w:hint="eastAsia" w:ascii="宋体" w:hAnsi="宋体" w:eastAsia="宋体" w:cs="宋体"/>
          <w:b/>
          <w:bCs/>
          <w:sz w:val="36"/>
          <w:lang w:eastAsia="zh-CN"/>
        </w:rPr>
        <w:t>12</w:t>
      </w:r>
      <w:r>
        <w:rPr>
          <w:rFonts w:hint="eastAsia" w:ascii="宋体" w:hAnsi="宋体" w:eastAsia="宋体" w:cs="宋体"/>
          <w:b/>
          <w:bCs/>
          <w:sz w:val="36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sz w:val="36"/>
          <w:lang w:eastAsia="zh-CN"/>
        </w:rPr>
        <w:t>期</w:t>
      </w:r>
      <w:r>
        <w:rPr>
          <w:rFonts w:hint="eastAsia" w:ascii="宋体" w:hAnsi="宋体" w:eastAsia="宋体" w:cs="宋体"/>
          <w:b/>
          <w:bCs/>
          <w:sz w:val="36"/>
        </w:rPr>
        <w:t>的通知</w:t>
      </w:r>
    </w:p>
    <w:p>
      <w:pPr>
        <w:adjustRightInd/>
        <w:snapToGrid/>
        <w:spacing w:after="0" w:line="555" w:lineRule="atLeast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各分(支)行、总行营业部：</w:t>
      </w:r>
    </w:p>
    <w:p>
      <w:pPr>
        <w:adjustRightInd/>
        <w:snapToGrid/>
        <w:spacing w:after="0"/>
        <w:ind w:firstLine="63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我行代销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苏银理财有限责任公司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发行的苏银理财恒源封闭债权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127期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将</w:t>
      </w:r>
      <w:r>
        <w:rPr>
          <w:rFonts w:hint="eastAsia" w:ascii="仿宋_GB2312" w:hAnsi="微软雅黑" w:eastAsia="仿宋_GB2312" w:cs="宋体"/>
          <w:sz w:val="32"/>
          <w:szCs w:val="32"/>
        </w:rPr>
        <w:t>于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2024年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7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30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日9:00</w:t>
      </w:r>
      <w:r>
        <w:rPr>
          <w:rFonts w:hint="eastAsia" w:ascii="仿宋_GB2312" w:hAnsi="微软雅黑" w:eastAsia="仿宋_GB2312" w:cs="宋体"/>
          <w:sz w:val="32"/>
          <w:szCs w:val="32"/>
        </w:rPr>
        <w:t>至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2024年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8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  <w:lang w:val="en-US" w:eastAsia="zh-CN"/>
        </w:rPr>
        <w:t>5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日17:00</w:t>
      </w:r>
      <w:r>
        <w:rPr>
          <w:rFonts w:hint="eastAsia" w:ascii="仿宋_GB2312" w:hAnsi="微软雅黑" w:eastAsia="仿宋_GB2312" w:cs="宋体"/>
          <w:sz w:val="32"/>
          <w:szCs w:val="32"/>
        </w:rPr>
        <w:t>销售，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目前在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柜面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和</w:t>
      </w: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手机银行</w:t>
      </w:r>
      <w:r>
        <w:rPr>
          <w:rFonts w:hint="eastAsia" w:ascii="仿宋_GB2312" w:hAnsi="微软雅黑" w:eastAsia="仿宋_GB2312" w:cs="宋体"/>
          <w:color w:val="000000" w:themeColor="text1"/>
          <w:sz w:val="32"/>
          <w:szCs w:val="32"/>
        </w:rPr>
        <w:t>等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销售。销售服务费率为0.2%/年。部分要素如下：</w:t>
      </w:r>
    </w:p>
    <w:tbl>
      <w:tblPr>
        <w:tblStyle w:val="6"/>
        <w:tblW w:w="8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78"/>
        <w:gridCol w:w="66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1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产品名称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苏银理财恒源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封闭债权127期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ind w:left="57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理财产品登记编码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Z700312400010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0</w:t>
            </w:r>
          </w:p>
          <w:p>
            <w:pPr>
              <w:pStyle w:val="14"/>
              <w:kinsoku w:val="0"/>
              <w:overflowPunct w:val="0"/>
              <w:spacing w:line="260" w:lineRule="exact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（投资者可依据该编码在中国理财网</w:t>
            </w:r>
            <w:r>
              <w:fldChar w:fldCharType="begin"/>
            </w:r>
            <w:r>
              <w:instrText xml:space="preserve"> HYPERLINK "http://www.chinawealth.com.cn/" </w:instrText>
            </w:r>
            <w:r>
              <w:fldChar w:fldCharType="separate"/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www.chinawealth.com.cn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fldChar w:fldCharType="end"/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查询产品信息）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销售简称/销售代码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hint="default" w:ascii="楷体" w:hAnsi="楷体" w:eastAsia="楷体" w:cs="宋体"/>
                <w:spacing w:val="-2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B份额：苏银理财恒源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封闭债权127期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12月B/J03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4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62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产品管理人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苏银理财有限责任公司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产品托管人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江苏银行股份有限公司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产品内部风险评级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1、★★二级，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本评级为苏银理财有限责任公司内部评级，由苏银理财根据理财产品的投资组合、同类产品过往业绩和风险状况等因素，对理财产品进行评级，仅供客户参考。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、如本产品通过代理销售机构渠道销售，代理销售机构应当根据本机构的方式和方法，依据理财产品的投资组合、同类产品过往业绩和风险状况等因素，独立、审慎地对代理销售的理财产品进行销售评级，并向苏银理财及时、准确提供本机构销售评级结果等信息。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销售评级与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苏银理财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产品评级结果不一致的，代理销售机构应当采用对应较高风险等级的评级结果并予以披露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。</w:t>
            </w:r>
          </w:p>
          <w:p>
            <w:pPr>
              <w:pStyle w:val="14"/>
              <w:kinsoku w:val="0"/>
              <w:overflowPunct w:val="0"/>
              <w:spacing w:before="13"/>
              <w:ind w:left="59" w:right="77" w:rightChars="35"/>
              <w:jc w:val="both"/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3、如本产品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通过代理销售机构渠道销售，理财产品评级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以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代理销售机构最终披露的评级结果为准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。</w:t>
            </w:r>
          </w:p>
          <w:p>
            <w:pP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仿宋" w:hAnsi="仿宋" w:eastAsia="仿宋"/>
                <w:b/>
                <w:color w:val="FF0000"/>
                <w:sz w:val="20"/>
                <w:szCs w:val="20"/>
                <w:lang w:val="en-US" w:eastAsia="zh-CN"/>
              </w:rPr>
              <w:t>4、</w:t>
            </w:r>
            <w:r>
              <w:rPr>
                <w:rFonts w:hint="eastAsia" w:ascii="仿宋" w:hAnsi="仿宋" w:eastAsia="仿宋"/>
                <w:b/>
                <w:color w:val="FF0000"/>
                <w:sz w:val="20"/>
                <w:szCs w:val="20"/>
              </w:rPr>
              <w:t>紫金农商银行对本产品的风险评级为中低风险。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净值型（非保本浮动收益）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产品类型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  <w:u w:val="single"/>
              </w:rPr>
              <w:t>固定收益类、公募、封闭式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销售对象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面向个人和机构投资者销售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募集币种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4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计划发行规模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计划发行总规模：6亿份。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募集过程中管理人有权根据产品的募集情况调整计划发行规模。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认购起点</w:t>
            </w:r>
            <w:r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  <w:t>/</w:t>
            </w: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追加金额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投资者单笔</w:t>
            </w:r>
            <w:r>
              <w:rPr>
                <w:rFonts w:hint="eastAsia" w:ascii="楷体" w:hAnsi="楷体" w:eastAsia="楷体"/>
                <w:szCs w:val="21"/>
              </w:rPr>
              <w:t>认购起点金额为</w:t>
            </w:r>
            <w:r>
              <w:rPr>
                <w:rFonts w:ascii="楷体" w:hAnsi="楷体" w:eastAsia="楷体"/>
                <w:szCs w:val="21"/>
              </w:rPr>
              <w:t>1</w:t>
            </w:r>
            <w:r>
              <w:rPr>
                <w:rFonts w:hint="eastAsia" w:ascii="楷体" w:hAnsi="楷体" w:eastAsia="楷体"/>
                <w:szCs w:val="21"/>
              </w:rPr>
              <w:t>元，追加金额为</w:t>
            </w:r>
            <w:r>
              <w:rPr>
                <w:rFonts w:ascii="楷体" w:hAnsi="楷体" w:eastAsia="楷体"/>
                <w:szCs w:val="21"/>
              </w:rPr>
              <w:t>1</w:t>
            </w:r>
            <w:r>
              <w:rPr>
                <w:rFonts w:hint="eastAsia" w:ascii="楷体" w:hAnsi="楷体" w:eastAsia="楷体"/>
                <w:szCs w:val="21"/>
              </w:rPr>
              <w:t>元的整数倍。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认购资金的清算和认购份额的计算详见</w:t>
            </w:r>
            <w:r>
              <w:rPr>
                <w:rFonts w:hint="eastAsia" w:ascii="楷体" w:hAnsi="楷体" w:eastAsia="楷体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/>
                <w:szCs w:val="21"/>
              </w:rPr>
              <w:t>“八、产品认购”。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份额面值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1元/份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3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募集期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2024年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7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日9:00至2024年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日17:00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管理人在法律允许的范围内保留延长或提前终止产品募集期的权利。如有变动，实际产品募集期以管理人公告为准。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产品成立日/份额登记日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2024年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若产品认购份额未达到最低发行总规模3000万，或新的法律、法规导致本产品无法合法合规运行，或出现其他导致影响产品成立不可抗力因素，产品管理人有权利但无义务宣布产品不成立，并于产品募集期结束后5个工作日内将投资者认购资金返还至投资者资金账户，募集期及资金在途期间投资者投资本金不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产品到期日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2025年</w:t>
            </w:r>
            <w:r>
              <w:rPr>
                <w:rFonts w:ascii="楷体" w:hAnsi="楷体" w:eastAsia="楷体" w:cs="宋体"/>
                <w:spacing w:val="-2"/>
                <w:sz w:val="21"/>
                <w:szCs w:val="21"/>
              </w:rPr>
              <w:t>8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月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val="en-US" w:eastAsia="zh-CN"/>
              </w:rPr>
              <w:t>15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日（如遇节假日，顺延至下一工作日）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在符合产品说明书约定的条件下，管理人有权提前终止该产品，产品到期日受制于提前终止条款。详见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产品存续期限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3</w:t>
            </w:r>
            <w:r>
              <w:rPr>
                <w:rFonts w:ascii="楷体" w:hAnsi="楷体" w:eastAsia="楷体" w:cs="宋体"/>
                <w:spacing w:val="-2"/>
                <w:kern w:val="0"/>
                <w:szCs w:val="21"/>
              </w:rPr>
              <w:t>74</w:t>
            </w: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天（以理财产品实际存续天数为准），</w:t>
            </w:r>
            <w:r>
              <w:rPr>
                <w:rFonts w:hint="eastAsia" w:ascii="楷体" w:hAnsi="楷体" w:eastAsia="楷体" w:cs="Calibri"/>
                <w:b/>
                <w:szCs w:val="21"/>
                <w:u w:val="single"/>
              </w:rPr>
              <w:t>本产品运行期间，不开放申购、赎回。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单个客户持有份额上限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Cs w:val="21"/>
              </w:rPr>
              <w:t>单一投资者持有份额不得超过总份额50%；非因主观因素导致突破前款规定比例限制的，在单一投资者持有份额占理财产品总份额比例降至50%以下之前，不再接受该单一投资者对理财产品的认购申请。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业绩比较基准（年化）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37"/>
              <w:ind w:left="22" w:leftChars="10" w:right="77" w:rightChars="3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苏银理财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参考过往投资经验，依据近期货币市场工具、债券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、非标准化债权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等资产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投资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收益水平，在产品说明书约定的投资范围和投资比例内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，综合考虑各份额收取的销售服务费和投资管理费的情况，</w:t>
            </w:r>
            <w:r>
              <w:rPr>
                <w:rFonts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模拟测算得出</w:t>
            </w:r>
            <w:r>
              <w:rPr>
                <w:rFonts w:hint="eastAsia" w:ascii="楷体" w:hAnsi="楷体" w:eastAsia="楷体" w:cs="宋体"/>
                <w:b/>
                <w:bCs/>
                <w:spacing w:val="-2"/>
                <w:sz w:val="21"/>
                <w:szCs w:val="21"/>
                <w:u w:val="single"/>
              </w:rPr>
              <w:t>业绩比较基准。本产品各份额因收取的销售服务费和投资管理费存在差异，业绩比较基准设置将有所不同。</w:t>
            </w:r>
            <w:r>
              <w:rPr>
                <w:rFonts w:hint="eastAsia" w:ascii="楷体" w:hAnsi="楷体" w:eastAsia="楷体" w:cs="宋体"/>
                <w:spacing w:val="-2"/>
                <w:sz w:val="21"/>
                <w:szCs w:val="21"/>
              </w:rPr>
              <w:t>各份额业绩比较基准如下：</w:t>
            </w:r>
          </w:p>
          <w:p>
            <w:pPr>
              <w:pStyle w:val="14"/>
              <w:kinsoku w:val="0"/>
              <w:overflowPunct w:val="0"/>
              <w:spacing w:before="12"/>
              <w:ind w:left="59" w:right="77" w:rightChars="35"/>
              <w:jc w:val="both"/>
              <w:rPr>
                <w:rFonts w:ascii="楷体" w:hAnsi="楷体" w:eastAsia="楷体" w:cs="宋体"/>
                <w:bCs/>
                <w:spacing w:val="-2"/>
                <w:kern w:val="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B份额：年化</w:t>
            </w:r>
            <w:r>
              <w:rPr>
                <w:rFonts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2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.</w:t>
            </w:r>
            <w:r>
              <w:rPr>
                <w:rFonts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80</w:t>
            </w:r>
            <w:r>
              <w:rPr>
                <w:rFonts w:hint="eastAsia" w:ascii="楷体" w:hAnsi="楷体" w:eastAsia="楷体" w:cs="宋体"/>
                <w:bCs/>
                <w:spacing w:val="-2"/>
                <w:kern w:val="2"/>
                <w:sz w:val="21"/>
                <w:szCs w:val="21"/>
              </w:rPr>
              <w:t>%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b/>
                <w:spacing w:val="-2"/>
                <w:szCs w:val="21"/>
                <w:u w:val="single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本产品为净值型产品，业绩表现将随市场波动，具有不确定性。业绩比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较基准为管理人对本产品所设定的投资目标，不代表理财产品未来表现，不等于理财产品实际收益，不构成管理人对产品实际投资收益率的承诺或担保，投资者的实际收益由产品净值表现决定。产品存续期内管理人有权根据市场情况调整业绩比较基准，如有调整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产品费用</w:t>
            </w:r>
          </w:p>
        </w:tc>
        <w:tc>
          <w:tcPr>
            <w:tcW w:w="6614" w:type="dxa"/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本产品费用包括托管费、销售服务费、投资管理费、超额业绩报酬（如有）以及产品运作和清算中产生的其他费用等。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1.托管费率：0.02%/年；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2.销售服务费率：B份额0.20%/年；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3.投资管理费率：0.2</w:t>
            </w:r>
            <w:r>
              <w:rPr>
                <w:rFonts w:ascii="楷体" w:hAnsi="楷体" w:eastAsia="楷体" w:cs="宋体"/>
                <w:spacing w:val="-2"/>
                <w:szCs w:val="21"/>
              </w:rPr>
              <w:t>5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%/年；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4.超额业绩报酬：若产品各份额实际投资收益在扣除托管费、销售服务费、投资管理费、运作产品所必须缴纳的税费后超过各份额业绩比较基准，产品管理人将按照超出部分的60%收取超额业绩报酬。</w:t>
            </w:r>
          </w:p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产品存续期内理财产品将每日暂估超额业绩报酬，仅用于理财产品会计核算，并将扣除“暂估超额业绩报酬”后的理财产品份额净值按照说明书约定向投资者进行披露。理财产品实际的超额业绩报酬以到期日计提核算的数值为准。计算累计年化收益率和业绩比较基准时，1年按365日计算。</w:t>
            </w:r>
          </w:p>
          <w:p>
            <w:pPr>
              <w:ind w:left="59" w:right="77" w:rightChars="35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产品存续期内苏银理财可对费用进行调整，实际收取费率以管理人公告为准。</w:t>
            </w:r>
            <w:r>
              <w:rPr>
                <w:rFonts w:hint="eastAsia" w:ascii="楷体" w:hAnsi="楷体" w:eastAsia="楷体" w:cs="宋体"/>
                <w:b/>
                <w:spacing w:val="-2"/>
                <w:szCs w:val="21"/>
                <w:u w:val="single"/>
              </w:rPr>
              <w:t>本产品设置有多个份额，各份额按照设置的销售对象和销售起点进行销售，各份额实际收取的销售服务费率和投资管理费率可能存在差异，客户根据产品销售时设置的条件自主选择购买。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估值日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每周估值，并于估值日后第2个工作日内，通过本产品说明书约定方式披露产品单位净值。详见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“九、产品估值”。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信息披露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管理人将按照《产品说明书》中约定的方式进行信息披露，详见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“十四、信息披露”。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收益分配</w:t>
            </w:r>
          </w:p>
        </w:tc>
        <w:tc>
          <w:tcPr>
            <w:tcW w:w="6614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本产品无分红机制，投资运作情况体现为产品净值变化。产品投资运作到期，投资收益扣除相关费用后，全部分配给投资者。</w:t>
            </w:r>
            <w:r>
              <w:rPr>
                <w:rFonts w:ascii="楷体" w:hAnsi="楷体" w:eastAsia="楷体" w:cs="宋体"/>
                <w:spacing w:val="-2"/>
                <w:szCs w:val="21"/>
              </w:rPr>
              <w:t>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>“十、产品的终止与清算”。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4"/>
              <w:kinsoku w:val="0"/>
              <w:overflowPunct w:val="0"/>
              <w:spacing w:before="18"/>
              <w:ind w:left="55"/>
              <w:jc w:val="both"/>
              <w:rPr>
                <w:rFonts w:ascii="楷体" w:hAnsi="楷体" w:eastAsia="楷体" w:cs="宋体"/>
                <w:b/>
                <w:spacing w:val="-2"/>
                <w:sz w:val="21"/>
                <w:szCs w:val="21"/>
              </w:rPr>
            </w:pPr>
            <w:r>
              <w:rPr>
                <w:rFonts w:hint="eastAsia" w:ascii="楷体" w:hAnsi="楷体" w:eastAsia="楷体" w:cs="宋体"/>
                <w:b/>
                <w:spacing w:val="-2"/>
                <w:sz w:val="21"/>
                <w:szCs w:val="21"/>
              </w:rPr>
              <w:t>税款</w:t>
            </w:r>
          </w:p>
        </w:tc>
        <w:tc>
          <w:tcPr>
            <w:tcW w:w="6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59" w:right="77" w:rightChars="35"/>
              <w:rPr>
                <w:rFonts w:ascii="楷体" w:hAnsi="楷体" w:eastAsia="楷体" w:cs="宋体"/>
                <w:spacing w:val="-2"/>
                <w:szCs w:val="21"/>
              </w:rPr>
            </w:pPr>
            <w:r>
              <w:rPr>
                <w:rFonts w:hint="eastAsia" w:ascii="楷体" w:hAnsi="楷体" w:eastAsia="楷体" w:cs="宋体"/>
                <w:spacing w:val="-2"/>
                <w:szCs w:val="21"/>
              </w:rPr>
              <w:t>本产品运作过程中涉及的各纳税主体，其纳税义务按国家税收法律、法规执行。详见</w:t>
            </w:r>
            <w:r>
              <w:rPr>
                <w:rFonts w:hint="eastAsia" w:ascii="楷体" w:hAnsi="楷体" w:eastAsia="楷体" w:cs="宋体"/>
                <w:spacing w:val="-2"/>
                <w:szCs w:val="21"/>
                <w:lang w:eastAsia="zh-CN"/>
              </w:rPr>
              <w:t>产品说明书</w:t>
            </w:r>
            <w:r>
              <w:rPr>
                <w:rFonts w:hint="eastAsia" w:ascii="楷体" w:hAnsi="楷体" w:eastAsia="楷体" w:cs="宋体"/>
                <w:spacing w:val="-2"/>
                <w:szCs w:val="21"/>
              </w:rPr>
              <w:t xml:space="preserve">“十二、税收规定”。 </w:t>
            </w:r>
          </w:p>
        </w:tc>
      </w:tr>
    </w:tbl>
    <w:p>
      <w:pPr>
        <w:adjustRightInd/>
        <w:snapToGrid/>
        <w:spacing w:after="0"/>
        <w:ind w:firstLine="630"/>
        <w:jc w:val="center"/>
        <w:rPr>
          <w:rFonts w:ascii="仿宋_GB2312" w:hAnsi="微软雅黑" w:eastAsia="仿宋_GB2312" w:cs="宋体"/>
          <w:color w:val="FF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FF0000"/>
          <w:sz w:val="32"/>
          <w:szCs w:val="32"/>
        </w:rPr>
        <w:t>（更多具体要素请详阅产品说明书）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注意事项：</w:t>
      </w:r>
    </w:p>
    <w:p>
      <w:pPr>
        <w:adjustRightInd/>
        <w:snapToGrid/>
        <w:spacing w:after="0"/>
        <w:ind w:firstLine="640" w:firstLineChars="20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1.该产品销售要求参照我行自营理财销售相关规定执行。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2.相关产品销售文件见附件。</w:t>
      </w: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3.如有其他未尽事宜以私人银行部解释为准。</w:t>
      </w:r>
    </w:p>
    <w:p>
      <w:pPr>
        <w:adjustRightInd/>
        <w:snapToGrid/>
        <w:spacing w:after="0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640" w:firstLineChars="2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附件：1.“苏银理财恒源封闭债权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127期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”理财产品说明书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2. 理财产品代理销售协议书、苏银理财有限责任公司理财产品投资协议书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3.“苏银理财恒源封闭债权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eastAsia="zh-CN"/>
        </w:rPr>
        <w:t>127期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”理财产品风险揭示书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4.苏银理财有限责任公司投资者权益须知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5. 个人客户风险承受能力评估表</w:t>
      </w:r>
    </w:p>
    <w:p>
      <w:pPr>
        <w:adjustRightInd/>
        <w:snapToGrid/>
        <w:spacing w:after="0"/>
        <w:ind w:firstLine="1600" w:firstLineChars="500"/>
        <w:rPr>
          <w:rFonts w:ascii="仿宋_GB2312" w:hAnsi="微软雅黑" w:eastAsia="仿宋_GB2312" w:cs="宋体"/>
          <w:color w:val="000000"/>
          <w:sz w:val="32"/>
          <w:szCs w:val="32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6. 机构客户风险承受能力评估表</w:t>
      </w:r>
    </w:p>
    <w:p>
      <w:pPr>
        <w:adjustRightInd/>
        <w:snapToGrid/>
        <w:spacing w:after="0"/>
        <w:ind w:firstLine="645"/>
        <w:rPr>
          <w:rFonts w:ascii="微软雅黑" w:hAnsi="微软雅黑" w:cs="宋体"/>
          <w:color w:val="000000"/>
          <w:sz w:val="30"/>
          <w:szCs w:val="30"/>
        </w:rPr>
      </w:pPr>
    </w:p>
    <w:p>
      <w:pPr>
        <w:adjustRightInd/>
        <w:snapToGrid/>
        <w:spacing w:after="0"/>
        <w:ind w:firstLine="5760"/>
        <w:rPr>
          <w:rFonts w:ascii="微软雅黑" w:hAnsi="微软雅黑" w:cs="宋体"/>
          <w:color w:val="000000"/>
          <w:sz w:val="30"/>
          <w:szCs w:val="30"/>
        </w:rPr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私人银行部</w:t>
      </w:r>
    </w:p>
    <w:p>
      <w:pPr>
        <w:adjustRightInd/>
        <w:snapToGrid/>
        <w:spacing w:after="0"/>
        <w:ind w:firstLine="5445"/>
      </w:pP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2024年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7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月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  <w:lang w:val="en-US" w:eastAsia="zh-CN"/>
        </w:rPr>
        <w:t>29</w:t>
      </w:r>
      <w:r>
        <w:rPr>
          <w:rFonts w:hint="eastAsia" w:ascii="仿宋_GB2312" w:hAnsi="微软雅黑" w:eastAsia="仿宋_GB2312" w:cs="宋体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rsids>
    <w:rsidRoot w:val="00D31D50"/>
    <w:rsid w:val="00002A13"/>
    <w:rsid w:val="00014D89"/>
    <w:rsid w:val="0002233E"/>
    <w:rsid w:val="00025736"/>
    <w:rsid w:val="00030E86"/>
    <w:rsid w:val="000430CA"/>
    <w:rsid w:val="00050465"/>
    <w:rsid w:val="000547BB"/>
    <w:rsid w:val="000618D3"/>
    <w:rsid w:val="0006322B"/>
    <w:rsid w:val="0006327A"/>
    <w:rsid w:val="000729EB"/>
    <w:rsid w:val="00074AD2"/>
    <w:rsid w:val="000812F4"/>
    <w:rsid w:val="000910E1"/>
    <w:rsid w:val="000936F7"/>
    <w:rsid w:val="00095294"/>
    <w:rsid w:val="000957AC"/>
    <w:rsid w:val="000A5028"/>
    <w:rsid w:val="000A7695"/>
    <w:rsid w:val="000B5C2A"/>
    <w:rsid w:val="000D30E3"/>
    <w:rsid w:val="000D3348"/>
    <w:rsid w:val="000E18A2"/>
    <w:rsid w:val="000E1FA9"/>
    <w:rsid w:val="000E7543"/>
    <w:rsid w:val="000F4049"/>
    <w:rsid w:val="0010440D"/>
    <w:rsid w:val="00110B5C"/>
    <w:rsid w:val="0011188B"/>
    <w:rsid w:val="00113224"/>
    <w:rsid w:val="001157D7"/>
    <w:rsid w:val="001225F8"/>
    <w:rsid w:val="00134BE7"/>
    <w:rsid w:val="0014766F"/>
    <w:rsid w:val="00152D94"/>
    <w:rsid w:val="00156217"/>
    <w:rsid w:val="00157799"/>
    <w:rsid w:val="0016069B"/>
    <w:rsid w:val="00160908"/>
    <w:rsid w:val="00170032"/>
    <w:rsid w:val="00174CF3"/>
    <w:rsid w:val="00174FC8"/>
    <w:rsid w:val="001810F6"/>
    <w:rsid w:val="00182785"/>
    <w:rsid w:val="00190048"/>
    <w:rsid w:val="00194C32"/>
    <w:rsid w:val="00196E1B"/>
    <w:rsid w:val="001A32AD"/>
    <w:rsid w:val="001A556D"/>
    <w:rsid w:val="001B2273"/>
    <w:rsid w:val="001D3092"/>
    <w:rsid w:val="001D40A6"/>
    <w:rsid w:val="001F3153"/>
    <w:rsid w:val="001F72B5"/>
    <w:rsid w:val="00201E20"/>
    <w:rsid w:val="00206F8F"/>
    <w:rsid w:val="00207F97"/>
    <w:rsid w:val="00214CF7"/>
    <w:rsid w:val="00216E71"/>
    <w:rsid w:val="002235BC"/>
    <w:rsid w:val="00233CED"/>
    <w:rsid w:val="00236FDA"/>
    <w:rsid w:val="00244EE2"/>
    <w:rsid w:val="002463C9"/>
    <w:rsid w:val="002513BD"/>
    <w:rsid w:val="00257856"/>
    <w:rsid w:val="00277323"/>
    <w:rsid w:val="002777A1"/>
    <w:rsid w:val="00283408"/>
    <w:rsid w:val="0028525D"/>
    <w:rsid w:val="002866F6"/>
    <w:rsid w:val="0029028F"/>
    <w:rsid w:val="002A3E43"/>
    <w:rsid w:val="002B1948"/>
    <w:rsid w:val="002C122F"/>
    <w:rsid w:val="002C248B"/>
    <w:rsid w:val="002C70E5"/>
    <w:rsid w:val="002D757D"/>
    <w:rsid w:val="002D7671"/>
    <w:rsid w:val="002E2A41"/>
    <w:rsid w:val="002E3ECB"/>
    <w:rsid w:val="002E7145"/>
    <w:rsid w:val="002F00B3"/>
    <w:rsid w:val="002F02FE"/>
    <w:rsid w:val="002F07C0"/>
    <w:rsid w:val="003059D5"/>
    <w:rsid w:val="00307AFA"/>
    <w:rsid w:val="00320D56"/>
    <w:rsid w:val="00322F4C"/>
    <w:rsid w:val="00323B43"/>
    <w:rsid w:val="00335FBE"/>
    <w:rsid w:val="003447B3"/>
    <w:rsid w:val="00347193"/>
    <w:rsid w:val="003476A4"/>
    <w:rsid w:val="00353BA9"/>
    <w:rsid w:val="00355E21"/>
    <w:rsid w:val="00357EB7"/>
    <w:rsid w:val="00361A72"/>
    <w:rsid w:val="00363805"/>
    <w:rsid w:val="00374AE2"/>
    <w:rsid w:val="00386CE1"/>
    <w:rsid w:val="00393219"/>
    <w:rsid w:val="003936A4"/>
    <w:rsid w:val="003936B9"/>
    <w:rsid w:val="003A15E6"/>
    <w:rsid w:val="003C0D6B"/>
    <w:rsid w:val="003C1D41"/>
    <w:rsid w:val="003C2C03"/>
    <w:rsid w:val="003D37D8"/>
    <w:rsid w:val="003D4715"/>
    <w:rsid w:val="003D710A"/>
    <w:rsid w:val="003E2BFC"/>
    <w:rsid w:val="003E5A9F"/>
    <w:rsid w:val="003F70AB"/>
    <w:rsid w:val="00410A33"/>
    <w:rsid w:val="00422AD1"/>
    <w:rsid w:val="00424A38"/>
    <w:rsid w:val="00426133"/>
    <w:rsid w:val="004349C0"/>
    <w:rsid w:val="004358AB"/>
    <w:rsid w:val="00443E90"/>
    <w:rsid w:val="00450005"/>
    <w:rsid w:val="00450C77"/>
    <w:rsid w:val="0045680A"/>
    <w:rsid w:val="00463028"/>
    <w:rsid w:val="00471A3B"/>
    <w:rsid w:val="004749F0"/>
    <w:rsid w:val="00476C3B"/>
    <w:rsid w:val="0047785F"/>
    <w:rsid w:val="0049140E"/>
    <w:rsid w:val="00496E4F"/>
    <w:rsid w:val="004B4CFA"/>
    <w:rsid w:val="004C175A"/>
    <w:rsid w:val="004C7CF2"/>
    <w:rsid w:val="004F0CCD"/>
    <w:rsid w:val="00510995"/>
    <w:rsid w:val="005168C5"/>
    <w:rsid w:val="005218F6"/>
    <w:rsid w:val="00523BDD"/>
    <w:rsid w:val="0052515C"/>
    <w:rsid w:val="00530F2D"/>
    <w:rsid w:val="0053663D"/>
    <w:rsid w:val="00536DF2"/>
    <w:rsid w:val="00537BF8"/>
    <w:rsid w:val="00540DC7"/>
    <w:rsid w:val="00543584"/>
    <w:rsid w:val="00543782"/>
    <w:rsid w:val="0055369F"/>
    <w:rsid w:val="0055709E"/>
    <w:rsid w:val="00566993"/>
    <w:rsid w:val="00566C07"/>
    <w:rsid w:val="00570005"/>
    <w:rsid w:val="005873AF"/>
    <w:rsid w:val="005A6CFB"/>
    <w:rsid w:val="005A7A21"/>
    <w:rsid w:val="005B1774"/>
    <w:rsid w:val="005B45CF"/>
    <w:rsid w:val="005C0D21"/>
    <w:rsid w:val="005C155D"/>
    <w:rsid w:val="005C31E9"/>
    <w:rsid w:val="005C4206"/>
    <w:rsid w:val="005C5781"/>
    <w:rsid w:val="005D072F"/>
    <w:rsid w:val="005D0DEE"/>
    <w:rsid w:val="005F2B78"/>
    <w:rsid w:val="00606205"/>
    <w:rsid w:val="00607358"/>
    <w:rsid w:val="00607EC0"/>
    <w:rsid w:val="00610019"/>
    <w:rsid w:val="006110FC"/>
    <w:rsid w:val="00611544"/>
    <w:rsid w:val="006128D5"/>
    <w:rsid w:val="006148C9"/>
    <w:rsid w:val="0061606F"/>
    <w:rsid w:val="00620A17"/>
    <w:rsid w:val="006214F4"/>
    <w:rsid w:val="006648D9"/>
    <w:rsid w:val="00677D5A"/>
    <w:rsid w:val="006919F0"/>
    <w:rsid w:val="006A1D72"/>
    <w:rsid w:val="006A48A0"/>
    <w:rsid w:val="006C44CC"/>
    <w:rsid w:val="006E08D8"/>
    <w:rsid w:val="006F04BE"/>
    <w:rsid w:val="006F7856"/>
    <w:rsid w:val="00701C74"/>
    <w:rsid w:val="0070239F"/>
    <w:rsid w:val="00702508"/>
    <w:rsid w:val="007121C4"/>
    <w:rsid w:val="00714B02"/>
    <w:rsid w:val="007248B8"/>
    <w:rsid w:val="00727337"/>
    <w:rsid w:val="0073205A"/>
    <w:rsid w:val="00732B85"/>
    <w:rsid w:val="00740E8C"/>
    <w:rsid w:val="00741563"/>
    <w:rsid w:val="007471D4"/>
    <w:rsid w:val="00747E0A"/>
    <w:rsid w:val="00750298"/>
    <w:rsid w:val="00761130"/>
    <w:rsid w:val="007673F5"/>
    <w:rsid w:val="007675CD"/>
    <w:rsid w:val="007745AD"/>
    <w:rsid w:val="00783419"/>
    <w:rsid w:val="00785657"/>
    <w:rsid w:val="007865C9"/>
    <w:rsid w:val="007873F2"/>
    <w:rsid w:val="00793A91"/>
    <w:rsid w:val="00796629"/>
    <w:rsid w:val="007A6260"/>
    <w:rsid w:val="007C416B"/>
    <w:rsid w:val="007C44C4"/>
    <w:rsid w:val="007D0528"/>
    <w:rsid w:val="007D35F2"/>
    <w:rsid w:val="007D3BB9"/>
    <w:rsid w:val="007D6855"/>
    <w:rsid w:val="00817F98"/>
    <w:rsid w:val="008201C5"/>
    <w:rsid w:val="00827FB9"/>
    <w:rsid w:val="008445DB"/>
    <w:rsid w:val="008450A8"/>
    <w:rsid w:val="008507C0"/>
    <w:rsid w:val="0085497C"/>
    <w:rsid w:val="00854BCB"/>
    <w:rsid w:val="0086092D"/>
    <w:rsid w:val="00862981"/>
    <w:rsid w:val="00867E9B"/>
    <w:rsid w:val="00884835"/>
    <w:rsid w:val="008930CD"/>
    <w:rsid w:val="00893277"/>
    <w:rsid w:val="00894AA0"/>
    <w:rsid w:val="00895EEF"/>
    <w:rsid w:val="00896D1C"/>
    <w:rsid w:val="008972C8"/>
    <w:rsid w:val="00897920"/>
    <w:rsid w:val="008A6AC1"/>
    <w:rsid w:val="008B008A"/>
    <w:rsid w:val="008B4334"/>
    <w:rsid w:val="008B450C"/>
    <w:rsid w:val="008B4E39"/>
    <w:rsid w:val="008B6523"/>
    <w:rsid w:val="008B7726"/>
    <w:rsid w:val="008C49E6"/>
    <w:rsid w:val="008D4402"/>
    <w:rsid w:val="008F2B7A"/>
    <w:rsid w:val="008F3B9E"/>
    <w:rsid w:val="008F7CA5"/>
    <w:rsid w:val="00903E35"/>
    <w:rsid w:val="00906053"/>
    <w:rsid w:val="00911DE1"/>
    <w:rsid w:val="00916AFD"/>
    <w:rsid w:val="0094064E"/>
    <w:rsid w:val="00951BFC"/>
    <w:rsid w:val="00953E58"/>
    <w:rsid w:val="00954AA4"/>
    <w:rsid w:val="0096633A"/>
    <w:rsid w:val="0096677C"/>
    <w:rsid w:val="00971266"/>
    <w:rsid w:val="00975280"/>
    <w:rsid w:val="00986A17"/>
    <w:rsid w:val="00986ED0"/>
    <w:rsid w:val="00996AC4"/>
    <w:rsid w:val="009A5FF7"/>
    <w:rsid w:val="009A6871"/>
    <w:rsid w:val="009B21F1"/>
    <w:rsid w:val="009B2786"/>
    <w:rsid w:val="009B2C38"/>
    <w:rsid w:val="009D1D85"/>
    <w:rsid w:val="009D5A75"/>
    <w:rsid w:val="009E16F2"/>
    <w:rsid w:val="009E18E4"/>
    <w:rsid w:val="009F7C7A"/>
    <w:rsid w:val="00A01DF4"/>
    <w:rsid w:val="00A215C9"/>
    <w:rsid w:val="00A30CF8"/>
    <w:rsid w:val="00A4169B"/>
    <w:rsid w:val="00A54155"/>
    <w:rsid w:val="00A65280"/>
    <w:rsid w:val="00A6775F"/>
    <w:rsid w:val="00A7707D"/>
    <w:rsid w:val="00A838DC"/>
    <w:rsid w:val="00A84AE0"/>
    <w:rsid w:val="00A90D0C"/>
    <w:rsid w:val="00A9135E"/>
    <w:rsid w:val="00A9294C"/>
    <w:rsid w:val="00AA23FA"/>
    <w:rsid w:val="00AB14BA"/>
    <w:rsid w:val="00AB4B2F"/>
    <w:rsid w:val="00AB6BA4"/>
    <w:rsid w:val="00AC33B2"/>
    <w:rsid w:val="00AC6774"/>
    <w:rsid w:val="00AD4C9C"/>
    <w:rsid w:val="00AE0AF2"/>
    <w:rsid w:val="00AE42D4"/>
    <w:rsid w:val="00AE6487"/>
    <w:rsid w:val="00B01B88"/>
    <w:rsid w:val="00B02F94"/>
    <w:rsid w:val="00B126A7"/>
    <w:rsid w:val="00B17CEE"/>
    <w:rsid w:val="00B20784"/>
    <w:rsid w:val="00B21220"/>
    <w:rsid w:val="00B22801"/>
    <w:rsid w:val="00B24A4C"/>
    <w:rsid w:val="00B252B4"/>
    <w:rsid w:val="00B27E33"/>
    <w:rsid w:val="00B33E38"/>
    <w:rsid w:val="00B4326E"/>
    <w:rsid w:val="00B73A10"/>
    <w:rsid w:val="00B86723"/>
    <w:rsid w:val="00B941A3"/>
    <w:rsid w:val="00B941AB"/>
    <w:rsid w:val="00B974A9"/>
    <w:rsid w:val="00BA2412"/>
    <w:rsid w:val="00BA7C4A"/>
    <w:rsid w:val="00BB0278"/>
    <w:rsid w:val="00BB554B"/>
    <w:rsid w:val="00BF73F3"/>
    <w:rsid w:val="00C00041"/>
    <w:rsid w:val="00C0423C"/>
    <w:rsid w:val="00C07A9F"/>
    <w:rsid w:val="00C15704"/>
    <w:rsid w:val="00C17395"/>
    <w:rsid w:val="00C23A87"/>
    <w:rsid w:val="00C344A1"/>
    <w:rsid w:val="00C468C3"/>
    <w:rsid w:val="00C50931"/>
    <w:rsid w:val="00C60359"/>
    <w:rsid w:val="00C61324"/>
    <w:rsid w:val="00C63EDB"/>
    <w:rsid w:val="00C66A8C"/>
    <w:rsid w:val="00C71423"/>
    <w:rsid w:val="00C77D66"/>
    <w:rsid w:val="00C849D4"/>
    <w:rsid w:val="00C858B2"/>
    <w:rsid w:val="00CA5843"/>
    <w:rsid w:val="00CA70DD"/>
    <w:rsid w:val="00CB16FF"/>
    <w:rsid w:val="00CB29BA"/>
    <w:rsid w:val="00CB2A01"/>
    <w:rsid w:val="00CB39C9"/>
    <w:rsid w:val="00CD21BA"/>
    <w:rsid w:val="00CD328F"/>
    <w:rsid w:val="00CD4295"/>
    <w:rsid w:val="00CD4F0F"/>
    <w:rsid w:val="00CD5295"/>
    <w:rsid w:val="00CD74BD"/>
    <w:rsid w:val="00CE0BFB"/>
    <w:rsid w:val="00CE0C36"/>
    <w:rsid w:val="00CE2CE5"/>
    <w:rsid w:val="00CF5224"/>
    <w:rsid w:val="00D0319E"/>
    <w:rsid w:val="00D10241"/>
    <w:rsid w:val="00D11BD4"/>
    <w:rsid w:val="00D30D95"/>
    <w:rsid w:val="00D31D50"/>
    <w:rsid w:val="00D33751"/>
    <w:rsid w:val="00D34922"/>
    <w:rsid w:val="00D35072"/>
    <w:rsid w:val="00D3536D"/>
    <w:rsid w:val="00D37D23"/>
    <w:rsid w:val="00D42DFD"/>
    <w:rsid w:val="00D4593C"/>
    <w:rsid w:val="00D476F9"/>
    <w:rsid w:val="00D51249"/>
    <w:rsid w:val="00D5218E"/>
    <w:rsid w:val="00D5491D"/>
    <w:rsid w:val="00D54FDC"/>
    <w:rsid w:val="00D57471"/>
    <w:rsid w:val="00D67754"/>
    <w:rsid w:val="00D7627A"/>
    <w:rsid w:val="00D763B7"/>
    <w:rsid w:val="00D8428B"/>
    <w:rsid w:val="00D92419"/>
    <w:rsid w:val="00DA20C2"/>
    <w:rsid w:val="00DA521E"/>
    <w:rsid w:val="00DA6344"/>
    <w:rsid w:val="00DB1998"/>
    <w:rsid w:val="00DB267C"/>
    <w:rsid w:val="00DC08E6"/>
    <w:rsid w:val="00DC09A0"/>
    <w:rsid w:val="00DC1A5A"/>
    <w:rsid w:val="00DC23CA"/>
    <w:rsid w:val="00DD1E41"/>
    <w:rsid w:val="00DD52AA"/>
    <w:rsid w:val="00DE103B"/>
    <w:rsid w:val="00DE145A"/>
    <w:rsid w:val="00DE39B7"/>
    <w:rsid w:val="00DF6EDD"/>
    <w:rsid w:val="00DF7361"/>
    <w:rsid w:val="00DF7E82"/>
    <w:rsid w:val="00E05633"/>
    <w:rsid w:val="00E210A0"/>
    <w:rsid w:val="00E328E5"/>
    <w:rsid w:val="00E342C9"/>
    <w:rsid w:val="00E37B32"/>
    <w:rsid w:val="00E42E54"/>
    <w:rsid w:val="00E4437E"/>
    <w:rsid w:val="00E51943"/>
    <w:rsid w:val="00E545D0"/>
    <w:rsid w:val="00E65FB9"/>
    <w:rsid w:val="00E73BDD"/>
    <w:rsid w:val="00E74D03"/>
    <w:rsid w:val="00E773E2"/>
    <w:rsid w:val="00E774C6"/>
    <w:rsid w:val="00E775F8"/>
    <w:rsid w:val="00E807D3"/>
    <w:rsid w:val="00E85118"/>
    <w:rsid w:val="00E85459"/>
    <w:rsid w:val="00E86AD3"/>
    <w:rsid w:val="00EA1489"/>
    <w:rsid w:val="00EA2655"/>
    <w:rsid w:val="00EB3586"/>
    <w:rsid w:val="00EC780B"/>
    <w:rsid w:val="00ED576C"/>
    <w:rsid w:val="00EE0CF8"/>
    <w:rsid w:val="00EE3A96"/>
    <w:rsid w:val="00EE50F7"/>
    <w:rsid w:val="00EF297D"/>
    <w:rsid w:val="00EF76FE"/>
    <w:rsid w:val="00F04234"/>
    <w:rsid w:val="00F047DC"/>
    <w:rsid w:val="00F070F5"/>
    <w:rsid w:val="00F11CB2"/>
    <w:rsid w:val="00F20187"/>
    <w:rsid w:val="00F21AAA"/>
    <w:rsid w:val="00F21F5B"/>
    <w:rsid w:val="00F234C6"/>
    <w:rsid w:val="00F24E77"/>
    <w:rsid w:val="00F24FA8"/>
    <w:rsid w:val="00F474DE"/>
    <w:rsid w:val="00F634A7"/>
    <w:rsid w:val="00F7443F"/>
    <w:rsid w:val="00F805F0"/>
    <w:rsid w:val="00F825A1"/>
    <w:rsid w:val="00F9041B"/>
    <w:rsid w:val="00F94E57"/>
    <w:rsid w:val="00F957A8"/>
    <w:rsid w:val="00F96EC9"/>
    <w:rsid w:val="00FA233C"/>
    <w:rsid w:val="00FA5448"/>
    <w:rsid w:val="00FA792A"/>
    <w:rsid w:val="00FB04F3"/>
    <w:rsid w:val="00FB07AF"/>
    <w:rsid w:val="00FB39AB"/>
    <w:rsid w:val="00FC1CBF"/>
    <w:rsid w:val="00FC73A4"/>
    <w:rsid w:val="00FD35EB"/>
    <w:rsid w:val="00FE0475"/>
    <w:rsid w:val="00FF00D9"/>
    <w:rsid w:val="00FF24E9"/>
    <w:rsid w:val="09FF56E8"/>
    <w:rsid w:val="0D061CD4"/>
    <w:rsid w:val="0D637775"/>
    <w:rsid w:val="11E470A0"/>
    <w:rsid w:val="18024DC4"/>
    <w:rsid w:val="1C4E296B"/>
    <w:rsid w:val="1FF27F0A"/>
    <w:rsid w:val="37D92952"/>
    <w:rsid w:val="437A0EFD"/>
    <w:rsid w:val="52C1180B"/>
    <w:rsid w:val="569A1942"/>
    <w:rsid w:val="573E6F54"/>
    <w:rsid w:val="5D6B5C61"/>
    <w:rsid w:val="6F753C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rFonts w:ascii="Tahoma" w:hAnsi="Tahoma"/>
      <w:sz w:val="18"/>
      <w:szCs w:val="18"/>
    </w:rPr>
  </w:style>
  <w:style w:type="character" w:customStyle="1" w:styleId="12">
    <w:name w:val="apple-converted-space"/>
    <w:basedOn w:val="7"/>
    <w:qFormat/>
    <w:uiPriority w:val="0"/>
  </w:style>
  <w:style w:type="character" w:customStyle="1" w:styleId="13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  <w:style w:type="paragraph" w:customStyle="1" w:styleId="14">
    <w:name w:val="Table Paragraph"/>
    <w:basedOn w:val="1"/>
    <w:qFormat/>
    <w:uiPriority w:val="1"/>
    <w:pPr>
      <w:widowControl w:val="0"/>
      <w:autoSpaceDE w:val="0"/>
      <w:autoSpaceDN w:val="0"/>
      <w:snapToGrid/>
      <w:spacing w:after="0"/>
    </w:pPr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398</Words>
  <Characters>2269</Characters>
  <Lines>18</Lines>
  <Paragraphs>5</Paragraphs>
  <TotalTime>3</TotalTime>
  <ScaleCrop>false</ScaleCrop>
  <LinksUpToDate>false</LinksUpToDate>
  <CharactersWithSpaces>2662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cp:lastPrinted>2021-06-03T04:20:00Z</cp:lastPrinted>
  <dcterms:modified xsi:type="dcterms:W3CDTF">2024-07-29T07:43:45Z</dcterms:modified>
  <cp:revision>389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048AEE60E7C840B2AF11B73D7D5F2800</vt:lpwstr>
  </property>
</Properties>
</file>