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D21" w:rsidRDefault="000B5C2A">
      <w:pPr>
        <w:adjustRightInd/>
        <w:snapToGrid/>
        <w:spacing w:after="0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36"/>
        </w:rPr>
        <w:t>关于代销苏银理财</w:t>
      </w:r>
      <w:r w:rsidR="00D11BD4">
        <w:rPr>
          <w:rFonts w:ascii="宋体" w:eastAsia="宋体" w:hAnsi="宋体" w:cs="宋体" w:hint="eastAsia"/>
          <w:b/>
          <w:bCs/>
          <w:sz w:val="36"/>
        </w:rPr>
        <w:t>恒源</w:t>
      </w:r>
      <w:r w:rsidR="00BF73F3">
        <w:rPr>
          <w:rFonts w:ascii="宋体" w:eastAsia="宋体" w:hAnsi="宋体" w:cs="宋体" w:hint="eastAsia"/>
          <w:b/>
          <w:bCs/>
          <w:sz w:val="36"/>
        </w:rPr>
        <w:t>封闭债权121期</w:t>
      </w:r>
      <w:r>
        <w:rPr>
          <w:rFonts w:ascii="宋体" w:eastAsia="宋体" w:hAnsi="宋体" w:cs="宋体" w:hint="eastAsia"/>
          <w:b/>
          <w:bCs/>
          <w:sz w:val="36"/>
        </w:rPr>
        <w:t>的通知</w:t>
      </w:r>
    </w:p>
    <w:p w:rsidR="005C0D21" w:rsidRDefault="000B5C2A"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各分(支)行、总行营业部：</w:t>
      </w:r>
    </w:p>
    <w:p w:rsidR="005C0D21" w:rsidRDefault="000B5C2A">
      <w:pPr>
        <w:adjustRightInd/>
        <w:snapToGrid/>
        <w:spacing w:after="0"/>
        <w:ind w:firstLine="63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我行代销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苏银理财有限责任公司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发行的苏银理财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</w:t>
      </w:r>
      <w:r w:rsidR="00BF73F3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封闭债权121期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将</w:t>
      </w:r>
      <w:r>
        <w:rPr>
          <w:rFonts w:ascii="仿宋_GB2312" w:eastAsia="仿宋_GB2312" w:hAnsi="微软雅黑" w:cs="宋体" w:hint="eastAsia"/>
          <w:sz w:val="32"/>
          <w:szCs w:val="32"/>
        </w:rPr>
        <w:t>于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202</w:t>
      </w:r>
      <w:r w:rsidR="001F3153">
        <w:rPr>
          <w:rFonts w:ascii="仿宋_GB2312" w:eastAsia="仿宋_GB2312" w:hAnsi="微软雅黑" w:cs="宋体" w:hint="eastAsia"/>
          <w:color w:val="FF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750298">
        <w:rPr>
          <w:rFonts w:ascii="仿宋_GB2312" w:eastAsia="仿宋_GB2312" w:hAnsi="微软雅黑" w:cs="宋体" w:hint="eastAsia"/>
          <w:color w:val="FF0000"/>
          <w:sz w:val="32"/>
          <w:szCs w:val="32"/>
        </w:rPr>
        <w:t>6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r w:rsidR="00E37B32">
        <w:rPr>
          <w:rFonts w:ascii="仿宋_GB2312" w:eastAsia="仿宋_GB2312" w:hAnsi="微软雅黑" w:cs="宋体" w:hint="eastAsia"/>
          <w:color w:val="FF0000"/>
          <w:sz w:val="32"/>
          <w:szCs w:val="32"/>
        </w:rPr>
        <w:t>18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日9:00</w:t>
      </w:r>
      <w:r>
        <w:rPr>
          <w:rFonts w:ascii="仿宋_GB2312" w:eastAsia="仿宋_GB2312" w:hAnsi="微软雅黑" w:cs="宋体" w:hint="eastAsia"/>
          <w:sz w:val="32"/>
          <w:szCs w:val="32"/>
        </w:rPr>
        <w:t>至</w:t>
      </w:r>
      <w:r w:rsidR="00570005">
        <w:rPr>
          <w:rFonts w:ascii="仿宋_GB2312" w:eastAsia="仿宋_GB2312" w:hAnsi="微软雅黑" w:cs="宋体" w:hint="eastAsia"/>
          <w:color w:val="FF0000"/>
          <w:sz w:val="32"/>
          <w:szCs w:val="32"/>
        </w:rPr>
        <w:t>202</w:t>
      </w:r>
      <w:r w:rsidR="007471D4">
        <w:rPr>
          <w:rFonts w:ascii="仿宋_GB2312" w:eastAsia="仿宋_GB2312" w:hAnsi="微软雅黑" w:cs="宋体" w:hint="eastAsia"/>
          <w:color w:val="FF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750298">
        <w:rPr>
          <w:rFonts w:ascii="仿宋_GB2312" w:eastAsia="仿宋_GB2312" w:hAnsi="微软雅黑" w:cs="宋体" w:hint="eastAsia"/>
          <w:color w:val="FF0000"/>
          <w:sz w:val="32"/>
          <w:szCs w:val="32"/>
        </w:rPr>
        <w:t>6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bookmarkStart w:id="0" w:name="_GoBack"/>
      <w:bookmarkEnd w:id="0"/>
      <w:r w:rsidR="00E37B32">
        <w:rPr>
          <w:rFonts w:ascii="仿宋_GB2312" w:eastAsia="仿宋_GB2312" w:hAnsi="微软雅黑" w:cs="宋体" w:hint="eastAsia"/>
          <w:color w:val="FF0000"/>
          <w:sz w:val="32"/>
          <w:szCs w:val="32"/>
        </w:rPr>
        <w:t>21</w:t>
      </w:r>
      <w:r w:rsidR="00750298">
        <w:rPr>
          <w:rFonts w:ascii="仿宋_GB2312" w:eastAsia="仿宋_GB2312" w:hAnsi="微软雅黑" w:cs="宋体" w:hint="eastAsia"/>
          <w:color w:val="FF0000"/>
          <w:sz w:val="32"/>
          <w:szCs w:val="32"/>
        </w:rPr>
        <w:t>日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17:00</w:t>
      </w:r>
      <w:r>
        <w:rPr>
          <w:rFonts w:ascii="仿宋_GB2312" w:eastAsia="仿宋_GB2312" w:hAnsi="微软雅黑" w:cs="宋体" w:hint="eastAsia"/>
          <w:sz w:val="32"/>
          <w:szCs w:val="32"/>
        </w:rPr>
        <w:t>销售，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目前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在</w:t>
      </w:r>
      <w:r w:rsidR="00D7627A" w:rsidRPr="00B252B4">
        <w:rPr>
          <w:rFonts w:ascii="仿宋_GB2312" w:eastAsia="仿宋_GB2312" w:hAnsi="微软雅黑" w:cs="宋体" w:hint="eastAsia"/>
          <w:color w:val="FF0000"/>
          <w:sz w:val="32"/>
          <w:szCs w:val="32"/>
        </w:rPr>
        <w:t>柜面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和</w:t>
      </w:r>
      <w:r w:rsidR="00D7627A" w:rsidRPr="00B252B4">
        <w:rPr>
          <w:rFonts w:ascii="仿宋_GB2312" w:eastAsia="仿宋_GB2312" w:hAnsi="微软雅黑" w:cs="宋体" w:hint="eastAsia"/>
          <w:color w:val="FF0000"/>
          <w:sz w:val="32"/>
          <w:szCs w:val="32"/>
        </w:rPr>
        <w:t>手机银行</w:t>
      </w:r>
      <w:r w:rsidR="00C60359" w:rsidRPr="00FB04F3">
        <w:rPr>
          <w:rFonts w:ascii="仿宋_GB2312" w:eastAsia="仿宋_GB2312" w:hAnsi="微软雅黑" w:cs="宋体" w:hint="eastAsia"/>
          <w:color w:val="000000" w:themeColor="text1"/>
          <w:sz w:val="32"/>
          <w:szCs w:val="32"/>
        </w:rPr>
        <w:t>等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销售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。</w:t>
      </w:r>
      <w:r w:rsidR="00FA5448">
        <w:rPr>
          <w:rFonts w:ascii="仿宋_GB2312" w:eastAsia="仿宋_GB2312" w:hAnsi="微软雅黑" w:cs="宋体" w:hint="eastAsia"/>
          <w:color w:val="000000"/>
          <w:sz w:val="32"/>
          <w:szCs w:val="32"/>
        </w:rPr>
        <w:t>销售服务费率为0.2%/年。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部分要素如下：</w:t>
      </w:r>
    </w:p>
    <w:tbl>
      <w:tblPr>
        <w:tblW w:w="8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8"/>
        <w:gridCol w:w="6614"/>
      </w:tblGrid>
      <w:tr w:rsidR="00E37B32" w:rsidTr="00E37B3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>
            <w:pPr>
              <w:pStyle w:val="TableParagraph"/>
              <w:kinsoku w:val="0"/>
              <w:overflowPunct w:val="0"/>
              <w:spacing w:before="11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 w:rsidP="00E37B32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苏银理财恒源封闭债权121期</w:t>
            </w:r>
          </w:p>
        </w:tc>
      </w:tr>
      <w:tr w:rsidR="00E37B32" w:rsidTr="00E37B3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>
            <w:pPr>
              <w:pStyle w:val="TableParagraph"/>
              <w:kinsoku w:val="0"/>
              <w:overflowPunct w:val="0"/>
              <w:ind w:left="5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 w:rsidP="00E37B32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Z7003124000088</w:t>
            </w:r>
          </w:p>
          <w:p w:rsidR="00E37B32" w:rsidRDefault="00E37B32" w:rsidP="00E37B32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（投资者可依据该编码在中国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理财网</w:t>
            </w:r>
            <w:proofErr w:type="gramEnd"/>
            <w:r>
              <w:rPr>
                <w:kern w:val="2"/>
              </w:rPr>
              <w:fldChar w:fldCharType="begin"/>
            </w:r>
            <w:r>
              <w:rPr>
                <w:kern w:val="2"/>
              </w:rPr>
              <w:instrText xml:space="preserve"> HYPERLINK "http://www.chinawealth.com.cn/" </w:instrText>
            </w:r>
            <w:r>
              <w:rPr>
                <w:kern w:val="2"/>
              </w:rPr>
              <w:fldChar w:fldCharType="separate"/>
            </w:r>
            <w:r>
              <w:rPr>
                <w:rStyle w:val="a8"/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www.chinawealth.com.cn</w:t>
            </w:r>
            <w:r>
              <w:rPr>
                <w:kern w:val="2"/>
              </w:rPr>
              <w:fldChar w:fldCharType="end"/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查询产品信息）</w:t>
            </w:r>
          </w:p>
        </w:tc>
      </w:tr>
      <w:tr w:rsidR="00E37B32" w:rsidTr="00E37B3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 w:rsidP="00E37B3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B份额：苏银理财恒源封闭债权121期12月B/J03388</w:t>
            </w:r>
          </w:p>
        </w:tc>
      </w:tr>
      <w:tr w:rsidR="00E37B32" w:rsidTr="00E37B3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 w:rsidP="00E37B3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苏银理财有限责任公司</w:t>
            </w:r>
          </w:p>
        </w:tc>
      </w:tr>
      <w:tr w:rsidR="00E37B32" w:rsidTr="00E37B3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 w:rsidP="00E37B3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江苏银行股份有限公司</w:t>
            </w:r>
          </w:p>
        </w:tc>
      </w:tr>
      <w:tr w:rsidR="00E37B32" w:rsidTr="00E37B3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 w:rsidP="00E37B32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1、★★二级，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 w:rsidR="00E37B32" w:rsidRDefault="00E37B32" w:rsidP="00E37B32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</w:p>
          <w:p w:rsidR="00E37B32" w:rsidRDefault="00E37B32" w:rsidP="00E37B32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3、如本产品通过代理销售机构渠道销售，理财产品评级以代理销售机构最终披露的评级结果为准。</w:t>
            </w:r>
          </w:p>
          <w:p w:rsidR="00E37B32" w:rsidRPr="00E37B32" w:rsidRDefault="00E37B32" w:rsidP="00E37B32">
            <w:pPr>
              <w:rPr>
                <w:rFonts w:ascii="仿宋" w:eastAsia="仿宋" w:hAnsi="仿宋"/>
                <w:b/>
                <w:color w:val="FF0000"/>
              </w:rPr>
            </w:pPr>
            <w:r>
              <w:rPr>
                <w:rFonts w:ascii="仿宋" w:eastAsia="仿宋" w:hAnsi="仿宋" w:hint="eastAsia"/>
                <w:b/>
                <w:color w:val="FF0000"/>
              </w:rPr>
              <w:t>4、紫金农商银行对本产品的风险评级为中低风险。</w:t>
            </w:r>
          </w:p>
        </w:tc>
      </w:tr>
      <w:tr w:rsidR="00E37B32" w:rsidTr="00E37B3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 w:rsidP="00E37B3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净值型（非保本浮动收益）</w:t>
            </w:r>
          </w:p>
        </w:tc>
      </w:tr>
      <w:tr w:rsidR="00E37B32" w:rsidTr="00E37B3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 w:rsidP="00E37B3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固定收益类、公募、封闭式</w:t>
            </w:r>
          </w:p>
        </w:tc>
      </w:tr>
      <w:tr w:rsidR="00E37B32" w:rsidTr="00E37B3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 w:rsidP="00E37B3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面向个人和机构投资者销售</w:t>
            </w:r>
          </w:p>
        </w:tc>
      </w:tr>
      <w:tr w:rsidR="00E37B32" w:rsidTr="00E37B3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 w:rsidP="00E37B32">
            <w:pPr>
              <w:pStyle w:val="TableParagraph"/>
              <w:kinsoku w:val="0"/>
              <w:overflowPunct w:val="0"/>
              <w:spacing w:before="14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人民币</w:t>
            </w:r>
          </w:p>
        </w:tc>
      </w:tr>
      <w:tr w:rsidR="00E37B32" w:rsidTr="00E37B3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 w:rsidP="00E37B32">
            <w:pPr>
              <w:ind w:left="59" w:rightChars="35" w:right="77"/>
              <w:rPr>
                <w:rFonts w:ascii="楷体" w:eastAsia="楷体" w:hAnsi="楷体" w:cs="Times New Roman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计划发行总规模：6亿份。</w:t>
            </w:r>
          </w:p>
          <w:p w:rsidR="00E37B32" w:rsidRDefault="00E37B32" w:rsidP="00E37B3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 w:rsidR="00E37B32" w:rsidTr="00E37B3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认购起点/追加金额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 w:rsidP="00E37B32">
            <w:pPr>
              <w:ind w:left="59" w:rightChars="35" w:right="77"/>
              <w:rPr>
                <w:rFonts w:ascii="楷体" w:eastAsia="楷体" w:hAnsi="楷体" w:cs="Times New Roman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投资者单笔</w:t>
            </w:r>
            <w:r>
              <w:rPr>
                <w:rFonts w:ascii="楷体" w:eastAsia="楷体" w:hAnsi="楷体" w:hint="eastAsia"/>
                <w:szCs w:val="21"/>
              </w:rPr>
              <w:t>认购起点金额为1元，追加金额为1元的整数</w:t>
            </w:r>
            <w:proofErr w:type="gramStart"/>
            <w:r>
              <w:rPr>
                <w:rFonts w:ascii="楷体" w:eastAsia="楷体" w:hAnsi="楷体" w:hint="eastAsia"/>
                <w:szCs w:val="21"/>
              </w:rPr>
              <w:t>倍</w:t>
            </w:r>
            <w:proofErr w:type="gramEnd"/>
            <w:r>
              <w:rPr>
                <w:rFonts w:ascii="楷体" w:eastAsia="楷体" w:hAnsi="楷体" w:hint="eastAsia"/>
                <w:szCs w:val="21"/>
              </w:rPr>
              <w:t>。</w:t>
            </w:r>
          </w:p>
          <w:p w:rsidR="00E37B32" w:rsidRDefault="00E37B32" w:rsidP="00E37B32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认购资金的清算和认购份额的计算详见</w:t>
            </w:r>
            <w:r w:rsidR="00BF73F3">
              <w:rPr>
                <w:rFonts w:ascii="楷体" w:eastAsia="楷体" w:hAnsi="楷体" w:hint="eastAsia"/>
                <w:szCs w:val="21"/>
              </w:rPr>
              <w:t>产品说明书</w:t>
            </w:r>
            <w:r>
              <w:rPr>
                <w:rFonts w:ascii="楷体" w:eastAsia="楷体" w:hAnsi="楷体" w:hint="eastAsia"/>
                <w:szCs w:val="21"/>
              </w:rPr>
              <w:t>“八、产品认购”。</w:t>
            </w:r>
          </w:p>
        </w:tc>
      </w:tr>
      <w:tr w:rsidR="00E37B32" w:rsidTr="00E37B3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 w:rsidP="00E37B3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1元/份</w:t>
            </w:r>
          </w:p>
        </w:tc>
      </w:tr>
      <w:tr w:rsidR="00E37B32" w:rsidTr="00E37B3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 w:rsidP="00E37B3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2024年6月17日9:00至2024年6月21日17:00</w:t>
            </w:r>
          </w:p>
          <w:p w:rsidR="00E37B32" w:rsidRDefault="00E37B32" w:rsidP="00E37B3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 w:rsidR="00E37B32" w:rsidTr="00E37B3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产品成立日/份额登记日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 w:rsidP="00E37B3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2024年6月24日</w:t>
            </w:r>
          </w:p>
          <w:p w:rsidR="00E37B32" w:rsidRDefault="00E37B32" w:rsidP="00E37B3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若产品认购份额未达到最低发行总规模3000万，或新的法律、法规导致本产品无法合法合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规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 w:rsidR="00E37B32" w:rsidTr="00E37B3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 w:rsidP="00E37B3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2025年6月27日（如遇节假日，顺延至下一工作日）</w:t>
            </w:r>
          </w:p>
          <w:p w:rsidR="00E37B32" w:rsidRDefault="00E37B32" w:rsidP="00E37B3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在符合产品说明书约定的条件下，管理人有权提前终止该产品，产品到期日受制于提前终止条款。详见</w:t>
            </w:r>
            <w:r w:rsidR="00BF73F3"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“十、产品的终止与清算”。</w:t>
            </w:r>
          </w:p>
        </w:tc>
      </w:tr>
      <w:tr w:rsidR="00E37B32" w:rsidTr="00E37B3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 w:rsidP="00E37B3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 w:rsidP="00E37B32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368天（以理财产品实际存续天数为准），</w:t>
            </w:r>
            <w:r>
              <w:rPr>
                <w:rFonts w:ascii="楷体" w:eastAsia="楷体" w:hAnsi="楷体" w:cs="Calibri" w:hint="eastAsia"/>
                <w:b/>
                <w:szCs w:val="21"/>
                <w:u w:val="single"/>
              </w:rPr>
              <w:t>本产品运行期间，不开放申购、赎回。</w:t>
            </w:r>
          </w:p>
        </w:tc>
      </w:tr>
      <w:tr w:rsidR="00E37B32" w:rsidTr="00E37B3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单个客户持有份额上限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 w:rsidP="00E37B32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 w:rsidR="00E37B32" w:rsidTr="00E37B3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 w:rsidP="00E37B3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 w:rsidP="00E37B32">
            <w:pPr>
              <w:pStyle w:val="TableParagraph"/>
              <w:kinsoku w:val="0"/>
              <w:overflowPunct w:val="0"/>
              <w:spacing w:before="37"/>
              <w:ind w:leftChars="10" w:left="22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bCs/>
                <w:spacing w:val="-2"/>
                <w:kern w:val="2"/>
                <w:sz w:val="21"/>
                <w:szCs w:val="21"/>
                <w:u w:val="single"/>
              </w:rPr>
              <w:t>苏银理财参考过往投资经验，依据近期货币市场工具、债券、非标准化债权等资产投资收益水平，在产品说明书约定的投资范围和投资比例内，综合考虑各份额收取的销售服务费和投资管理费的情况，模拟测算得出业绩比较基准。本产品各份额因收取的销售服务费和投资管理费存在差异，业绩比较基准设置将有所不同。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各份额业绩比较基准如下：</w:t>
            </w:r>
          </w:p>
          <w:p w:rsidR="00E37B32" w:rsidRDefault="00E37B32" w:rsidP="00E37B3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B份额：</w:t>
            </w:r>
            <w:proofErr w:type="gramStart"/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年化</w:t>
            </w:r>
            <w:proofErr w:type="gramEnd"/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3.00%</w:t>
            </w:r>
          </w:p>
          <w:p w:rsidR="00E37B32" w:rsidRDefault="00E37B32" w:rsidP="00E37B32">
            <w:pPr>
              <w:ind w:left="59" w:rightChars="35" w:right="77"/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 w:rsidR="00E37B32" w:rsidRDefault="00E37B32" w:rsidP="00E37B32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 w:rsidR="00E37B32" w:rsidTr="00E37B3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产品费用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 w:rsidP="00E37B32">
            <w:pPr>
              <w:ind w:left="59" w:rightChars="35" w:right="77"/>
              <w:rPr>
                <w:rFonts w:ascii="楷体" w:eastAsia="楷体" w:hAnsi="楷体" w:cs="宋体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本产品费用包括托管费、销售服务费、投资管理费、超额业绩报酬以及产品运作和清算中产生的其他费用等。</w:t>
            </w:r>
          </w:p>
          <w:p w:rsidR="00E37B32" w:rsidRDefault="00E37B32" w:rsidP="00E37B32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1.托管费率：0.02%/年；</w:t>
            </w:r>
          </w:p>
          <w:p w:rsidR="00E37B32" w:rsidRDefault="00E37B32" w:rsidP="00E37B32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2.销售服务费率： B份额0.20%/年；</w:t>
            </w:r>
          </w:p>
          <w:p w:rsidR="00E37B32" w:rsidRDefault="00E37B32" w:rsidP="00E37B32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3.投资管理费率：0.25%/年；</w:t>
            </w:r>
          </w:p>
          <w:p w:rsidR="00E37B32" w:rsidRDefault="00E37B32" w:rsidP="00E37B32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4.超额业绩报酬：若产品各份额实际投资收益在扣除托管费、销售服务费、投资管理费、运作产品所必须缴纳的税费后超过各份额业绩比较基准，产品管理人将按照超出部分的60%收取超额业绩报酬。</w:t>
            </w:r>
          </w:p>
          <w:p w:rsidR="00E37B32" w:rsidRDefault="00E37B32" w:rsidP="00E37B32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产品存续期内理财产品将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szCs w:val="21"/>
              </w:rPr>
              <w:t>每日暂估超额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szCs w:val="21"/>
              </w:rPr>
              <w:t>业绩报酬，仅用于理财产品会计核算，并将扣除“暂估超额业绩报酬”后的理财产品份额净值按照说明书约定向投资者进行披露。理财产品实际的超额业绩报酬以到期日计提核算的数值为准。计算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szCs w:val="21"/>
              </w:rPr>
              <w:t>累计年化收益率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szCs w:val="21"/>
              </w:rPr>
              <w:t>和业绩比较基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lastRenderedPageBreak/>
              <w:t>准时，1年按365日计算。</w:t>
            </w:r>
          </w:p>
          <w:p w:rsidR="00E37B32" w:rsidRDefault="00E37B32" w:rsidP="00E37B32">
            <w:pPr>
              <w:widowControl w:val="0"/>
              <w:ind w:left="59" w:rightChars="35" w:right="77"/>
              <w:jc w:val="both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产品存续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szCs w:val="21"/>
              </w:rPr>
              <w:t>期内苏银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szCs w:val="21"/>
              </w:rPr>
              <w:t>理财可对费用进行调整，实际收取费率以管理人公告为准。</w:t>
            </w: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本产品设置有多个份额，各份额按照设置的销售对象和销售起点进行销售，各份额实际收取的销售服务费率和投资管理费率可能存在差异，客户根据产品销售时设置的条件自主选择购买。</w:t>
            </w:r>
          </w:p>
        </w:tc>
      </w:tr>
      <w:tr w:rsidR="00E37B32" w:rsidTr="00E37B3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估值日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 w:rsidP="00E37B32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每周估值，并于估值日后第2个工作日内，通过本产品说明书约定方式披露产品单位净值。详见</w:t>
            </w:r>
            <w:r w:rsidR="00BF73F3">
              <w:rPr>
                <w:rFonts w:ascii="楷体" w:eastAsia="楷体" w:hAnsi="楷体" w:cs="宋体" w:hint="eastAsia"/>
                <w:spacing w:val="-2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t>“九、产品估值”。</w:t>
            </w:r>
          </w:p>
        </w:tc>
      </w:tr>
      <w:tr w:rsidR="00E37B32" w:rsidTr="00E37B3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 w:rsidP="00E37B32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管理人将按照《产品说明书》中约定的方式进行信息披露，详见</w:t>
            </w:r>
            <w:r w:rsidR="00BF73F3">
              <w:rPr>
                <w:rFonts w:ascii="楷体" w:eastAsia="楷体" w:hAnsi="楷体" w:cs="宋体" w:hint="eastAsia"/>
                <w:spacing w:val="-2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t>“十四、信息披露”。</w:t>
            </w:r>
          </w:p>
        </w:tc>
      </w:tr>
      <w:tr w:rsidR="00E37B32" w:rsidTr="00E37B3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 w:rsidP="00E37B32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本产品无分红机制，投资运作情况体现为产品净值变化。产品投资运作到期，投资收益扣除相关费用后，全部分配给投资者。详见</w:t>
            </w:r>
            <w:r w:rsidR="00BF73F3">
              <w:rPr>
                <w:rFonts w:ascii="楷体" w:eastAsia="楷体" w:hAnsi="楷体" w:cs="宋体" w:hint="eastAsia"/>
                <w:spacing w:val="-2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t>“十、产品的终止与清算”。</w:t>
            </w:r>
          </w:p>
        </w:tc>
      </w:tr>
      <w:tr w:rsidR="00E37B32" w:rsidTr="00E37B3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32" w:rsidRDefault="00E37B32" w:rsidP="00E37B32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本产品运作过程中涉及的各纳税主体，其纳税义务按国家税收法律、法规执行。详见</w:t>
            </w:r>
            <w:r w:rsidR="00BF73F3">
              <w:rPr>
                <w:rFonts w:ascii="楷体" w:eastAsia="楷体" w:hAnsi="楷体" w:cs="宋体" w:hint="eastAsia"/>
                <w:spacing w:val="-2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t xml:space="preserve">“十二、税收规定”。 </w:t>
            </w:r>
          </w:p>
        </w:tc>
      </w:tr>
    </w:tbl>
    <w:p w:rsidR="005C0D21" w:rsidRDefault="000B5C2A">
      <w:pPr>
        <w:adjustRightInd/>
        <w:snapToGrid/>
        <w:spacing w:after="0"/>
        <w:ind w:firstLine="630"/>
        <w:jc w:val="center"/>
        <w:rPr>
          <w:rFonts w:ascii="仿宋_GB2312" w:eastAsia="仿宋_GB2312" w:hAnsi="微软雅黑" w:cs="宋体"/>
          <w:color w:val="FF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（更多具体要素请详</w:t>
      </w:r>
      <w:proofErr w:type="gramStart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阅产品</w:t>
      </w:r>
      <w:proofErr w:type="gramEnd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说明书）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注意事项：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1.该产品销售要求参照我行自营理财销售相关规定执行。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2.相关产品销售文件见附件。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3.如有其他未尽事宜以私人银行</w:t>
      </w:r>
      <w:proofErr w:type="gramStart"/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部解释</w:t>
      </w:r>
      <w:proofErr w:type="gramEnd"/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为准。</w:t>
      </w:r>
    </w:p>
    <w:p w:rsidR="005C0D21" w:rsidRDefault="005C0D21"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附件：1.“苏银理财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</w:t>
      </w:r>
      <w:r w:rsidR="00BF73F3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封闭债权121期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”理财产品说明书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 理财产品代理销售协议书、苏银理财有限责任公司理财产品投资协议书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3.“苏银理财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</w:t>
      </w:r>
      <w:r w:rsidR="00BF73F3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封闭债权121期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”理财产品风险揭示书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4.苏银理财有限责任公司投资者权益须知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 xml:space="preserve">5. </w:t>
      </w:r>
      <w:r w:rsidR="0014766F">
        <w:rPr>
          <w:rFonts w:ascii="仿宋_GB2312" w:eastAsia="仿宋_GB2312" w:hAnsi="微软雅黑" w:cs="宋体" w:hint="eastAsia"/>
          <w:color w:val="000000"/>
          <w:sz w:val="32"/>
          <w:szCs w:val="32"/>
        </w:rPr>
        <w:t>个人客户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风险承受能力评估表</w:t>
      </w:r>
    </w:p>
    <w:p w:rsidR="0014766F" w:rsidRDefault="0014766F" w:rsidP="0014766F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6. 机构客户风险承受能力评估表</w:t>
      </w:r>
    </w:p>
    <w:p w:rsidR="005C0D21" w:rsidRPr="0014766F" w:rsidRDefault="005C0D21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0B5C2A"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私人银行部</w:t>
      </w:r>
    </w:p>
    <w:p w:rsidR="005C0D21" w:rsidRDefault="000B5C2A">
      <w:pPr>
        <w:adjustRightInd/>
        <w:snapToGrid/>
        <w:spacing w:after="0"/>
        <w:ind w:firstLine="5445"/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202</w:t>
      </w:r>
      <w:r w:rsidR="001F3153">
        <w:rPr>
          <w:rFonts w:ascii="仿宋_GB2312" w:eastAsia="仿宋_GB2312" w:hAnsi="微软雅黑" w:cs="宋体" w:hint="eastAsia"/>
          <w:color w:val="00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年</w:t>
      </w:r>
      <w:r w:rsidR="00750298">
        <w:rPr>
          <w:rFonts w:ascii="仿宋_GB2312" w:eastAsia="仿宋_GB2312" w:hAnsi="微软雅黑" w:cs="宋体" w:hint="eastAsia"/>
          <w:color w:val="000000"/>
          <w:sz w:val="32"/>
          <w:szCs w:val="32"/>
        </w:rPr>
        <w:t>6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月</w:t>
      </w:r>
      <w:r w:rsidR="00E37B32">
        <w:rPr>
          <w:rFonts w:ascii="仿宋_GB2312" w:eastAsia="仿宋_GB2312" w:hAnsi="微软雅黑" w:cs="宋体" w:hint="eastAsia"/>
          <w:color w:val="000000"/>
          <w:sz w:val="32"/>
          <w:szCs w:val="32"/>
        </w:rPr>
        <w:t>17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日</w:t>
      </w:r>
    </w:p>
    <w:sectPr w:rsidR="005C0D21" w:rsidSect="005C0D2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002A13"/>
    <w:rsid w:val="00014D89"/>
    <w:rsid w:val="0002233E"/>
    <w:rsid w:val="00025736"/>
    <w:rsid w:val="00030E86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5FF7"/>
    <w:rsid w:val="009A6871"/>
    <w:rsid w:val="009B21F1"/>
    <w:rsid w:val="009B2786"/>
    <w:rsid w:val="009B2C38"/>
    <w:rsid w:val="009D1D85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9FF56E8"/>
    <w:rsid w:val="11E470A0"/>
    <w:rsid w:val="1C4E296B"/>
    <w:rsid w:val="37D92952"/>
    <w:rsid w:val="437A0EFD"/>
    <w:rsid w:val="52C1180B"/>
    <w:rsid w:val="569A1942"/>
    <w:rsid w:val="573E6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21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C0D21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0D21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C0D2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5C0D2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7">
    <w:name w:val="Strong"/>
    <w:basedOn w:val="a0"/>
    <w:uiPriority w:val="22"/>
    <w:qFormat/>
    <w:rsid w:val="005C0D21"/>
    <w:rPr>
      <w:b/>
      <w:bCs/>
    </w:rPr>
  </w:style>
  <w:style w:type="character" w:styleId="a8">
    <w:name w:val="Hyperlink"/>
    <w:basedOn w:val="a0"/>
    <w:uiPriority w:val="99"/>
    <w:semiHidden/>
    <w:unhideWhenUsed/>
    <w:rsid w:val="005C0D21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5C0D21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C0D21"/>
    <w:rPr>
      <w:rFonts w:ascii="Tahoma" w:hAnsi="Tahoma"/>
      <w:sz w:val="18"/>
      <w:szCs w:val="18"/>
    </w:rPr>
  </w:style>
  <w:style w:type="character" w:customStyle="1" w:styleId="apple-converted-space">
    <w:name w:val="apple-converted-space"/>
    <w:basedOn w:val="a0"/>
    <w:qFormat/>
    <w:rsid w:val="005C0D21"/>
  </w:style>
  <w:style w:type="character" w:customStyle="1" w:styleId="Char">
    <w:name w:val="批注框文本 Char"/>
    <w:basedOn w:val="a0"/>
    <w:link w:val="a3"/>
    <w:uiPriority w:val="99"/>
    <w:semiHidden/>
    <w:rsid w:val="005C0D21"/>
    <w:rPr>
      <w:rFonts w:ascii="Tahoma" w:hAnsi="Tahoma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5C0D21"/>
    <w:pPr>
      <w:widowControl w:val="0"/>
      <w:autoSpaceDE w:val="0"/>
      <w:autoSpaceDN w:val="0"/>
      <w:snapToGrid/>
      <w:spacing w:after="0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693</TotalTime>
  <Pages>1</Pages>
  <Words>398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未定义</cp:lastModifiedBy>
  <cp:revision>389</cp:revision>
  <cp:lastPrinted>2021-06-03T04:20:00Z</cp:lastPrinted>
  <dcterms:created xsi:type="dcterms:W3CDTF">2008-09-11T17:20:00Z</dcterms:created>
  <dcterms:modified xsi:type="dcterms:W3CDTF">2024-06-17T07:34:00Z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