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南银理财珠联璧合鑫逸稳一年164期封闭式公募人民币理财产品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2024年04月24日起代销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发行的珠联璧合鑫逸稳一年164期封闭式公募人民币理财产品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0.30%</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spacing w:line="200" w:lineRule="exact"/>
        <w:ind w:firstLine="0"/>
        <w:jc w:val="both"/>
        <w:rPr>
          <w:rFonts w:hint="eastAsia" w:ascii="宋体" w:hAnsi="宋体" w:eastAsia="宋体" w:cs="宋体"/>
          <w:b/>
          <w:color w:val="3D3D3D"/>
          <w:sz w:val="18"/>
          <w:szCs w:val="15"/>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南银理财珠联璧合鑫逸稳一年164期封闭式公募人民币理财产品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ZZ700322400131</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Z7003224000082(投资者可依据该编码在中国理财网www.chinawealth.com.cn查询理财产品相关信息）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lang w:eastAsia="zh-CN"/>
              </w:rPr>
            </w:pPr>
            <w:r>
              <w:rPr>
                <w:rFonts w:hint="eastAsia" w:ascii="宋体" w:hAnsi="宋体" w:eastAsia="宋体" w:cs="宋体"/>
                <w:sz w:val="18"/>
                <w:lang w:eastAsia="zh-CN"/>
              </w:rPr>
              <w:t>A份额：Y30164</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rFonts w:hint="eastAsia" w:ascii="宋体" w:hAnsi="宋体" w:eastAsia="宋体" w:cs="宋体"/>
                <w:kern w:val="0"/>
                <w:sz w:val="18"/>
                <w:szCs w:val="18"/>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szCs w:val="18"/>
                <w:lang w:eastAsia="zh-CN"/>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p>
            <w:pPr>
              <w:spacing w:line="200" w:lineRule="exact"/>
              <w:rPr>
                <w:rFonts w:hint="eastAsia" w:ascii="宋体" w:hAnsi="宋体" w:eastAsia="宋体" w:cs="宋体"/>
                <w:sz w:val="18"/>
                <w:szCs w:val="18"/>
                <w:lang w:eastAsia="zh-CN"/>
              </w:rPr>
            </w:pPr>
            <w:r>
              <w:rPr>
                <w:rFonts w:hint="eastAsia" w:ascii="仿宋" w:hAnsi="仿宋" w:eastAsia="仿宋" w:cs="仿宋"/>
                <w:b/>
                <w:color w:val="FF0000"/>
                <w:sz w:val="22"/>
                <w:szCs w:val="18"/>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A份额：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2024年04月24日 09:00—2024年05月07日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kern w:val="0"/>
                <w:sz w:val="18"/>
                <w:szCs w:val="18"/>
              </w:rPr>
              <w:t>2024年05月08日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2024年05月08日—实际到期日（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399天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2025年06月11日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b w:val="0"/>
                <w:sz w:val="18"/>
              </w:rPr>
            </w:pPr>
            <w:r>
              <w:rPr>
                <w:rFonts w:hint="eastAsia" w:ascii="宋体" w:hAnsi="宋体" w:eastAsia="宋体" w:cs="宋体"/>
                <w:b w:val="0"/>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2、信托贷款：资产类型为信托公司设立的固定收益类信托计划，底层资产为向融资人盐城市城南新区开发建设投资有限公司发放信托贷款，融资人评级为AA+（评级机构为东方金诚国际信用评估有限公司）。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3、信托贷款：资产类型为信托公司设立的固定收益类信托计划，底层资产为向融资人射阳城市建设发展集团有限公司发放信托贷款，融资人评级为AA（评级机构为中诚信国际信用评级有限责任公司）。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4、信托贷款：资产类型为信托公司设立的固定收益类信托计划，底层资产为向融资人盐城市城市资产投资集团有限公司发放信托贷款，融资人评级为AAA（评级机构为大公国际资信评估有限公司）。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5、信托贷款：资产类型为信托公司设立的固定收益类信托计划，底层资产为向融资人盐城市国有资产投资集团有限公司发放信托贷款，融资人评级为AA+（评级机构为中证鹏元资信评估股份有限公司）。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6、信托贷款：资产类型为信托公司设立的固定收益类信托计划，底层资产为向融资人盐城市东亭投资有限公司发放信托贷款，融资人无外部评级。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7、信托贷款：资产类型为信托公司设立的固定收益类信托计划，底层资产为向融资人泰州市凯明城市建设有限公司发放信托贷款，融资人无外部评级。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8、信托贷款：资产类型为信托公司设立的固定收益类信托计划，底层资产为向融资人江苏软件园科技发展有限公司发放信托贷款，融资人无外部评级。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9、信托贷款：资产类型为信托公司设立的固定收益类信托计划，底层资产为向融资人江苏姜堰经开集团有限公司发放信托贷款，融资人评级为AA（评级机构为中诚信国际信用评级有限责任公司）。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10、信托贷款：资产类型为信托公司设立的固定收益类信托计划，底层资产为向融资人泰州市兴化国有资产投资控股有限公司发放信托贷款，融资人评级为AA+（评级机构为中诚信国际信用评级有限责任公司）。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11、信托贷款：资产类型为信托公司设立的固定收益类信托计划，底层资产为向融资人宿迁市运河港区开发集团有限公司，融资人评级为AA（评级机构为联合资信评估股份有限公司）。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12、信托贷款：资产类型为信托公司设立的集合资金信托计划，底层资产为蚂蚁智信（杭州）信息技术有限公司与具有专业资质的金融机构合作向用户发放的消费授信付款资产。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13、信托贷款：资产类型为信托公司设立的集合资金信托计划，底层资产为重庆市微恒科技有限公司作为综合服务顾问，由具有专业资质的金融机构向用户发放的分付消费授信付款资产。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14、资产支持计划：资产类型为保险资产管理公司设立的资产支持计划，底层资产为蚂蚁智信（杭州）信息技术有限公司与具有专业资质的金融机构合作向用户发放的消费授信付款资产。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15、资产支持计划：资产类型为保险资产管理公司设立的资产支持计划，底层资产为深圳智领星辰科技有限公司与具有专业资质的金融机构合作向用户发放的放心借消费贷款产品。</w:t>
            </w:r>
          </w:p>
          <w:p>
            <w:pPr>
              <w:spacing w:line="200" w:lineRule="exact"/>
              <w:rPr>
                <w:rFonts w:hint="eastAsia" w:ascii="宋体" w:hAnsi="宋体" w:eastAsia="宋体" w:cs="宋体"/>
                <w:sz w:val="18"/>
              </w:rPr>
            </w:pPr>
            <w:r>
              <w:rPr>
                <w:rFonts w:hint="eastAsia" w:ascii="宋体" w:hAnsi="宋体" w:eastAsia="宋体" w:cs="宋体"/>
                <w:sz w:val="18"/>
                <w:szCs w:val="18"/>
              </w:rPr>
              <w:t>16、信托贷款：资产类型为信托公司设立的固定收益类信托计划，底层资产为向融资人常州城建产业集团有限公司信托贷款，融资人无外部评级。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17、信托贷款：资产类型为信托公司设立的固定收益类信托计划，底层资产为向融资人江苏武进太湖湾旅游发展有限公司信托贷款，融资人评级为AA（评级机构为东方金诚国际信用评估有限公司）。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18、信托贷款：资产类型为信托公司设立的集合资金信托计划，底层资产为深圳智领星辰科技有限公司与具有专业资质的金融机构合作向用户发放的抖音月付个人消费贷款债权。</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bCs/>
                <w:kern w:val="0"/>
                <w:sz w:val="18"/>
                <w:szCs w:val="18"/>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lang w:eastAsia="zh-CN"/>
              </w:rPr>
            </w:pPr>
            <w:r>
              <w:rPr>
                <w:rFonts w:hint="eastAsia" w:ascii="宋体" w:hAnsi="宋体" w:eastAsia="宋体" w:cs="宋体"/>
                <w:sz w:val="18"/>
                <w:lang w:eastAsia="zh-CN"/>
              </w:rPr>
              <w:t>A份额：业绩比较基准为年化3.1%-3.5%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bCs/>
                <w:kern w:val="0"/>
                <w:sz w:val="18"/>
                <w:szCs w:val="18"/>
              </w:rPr>
            </w:pPr>
            <w:r>
              <w:rPr>
                <w:rFonts w:hint="eastAsia" w:ascii="宋体" w:hAnsi="宋体" w:eastAsia="宋体" w:cs="宋体"/>
                <w:kern w:val="0"/>
                <w:sz w:val="18"/>
                <w:szCs w:val="18"/>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b/>
                <w:sz w:val="18"/>
                <w:lang w:eastAsia="zh-CN"/>
              </w:rPr>
            </w:pPr>
            <w:bookmarkStart w:id="0" w:name="_GoBack"/>
            <w:r>
              <w:rPr>
                <w:rFonts w:hint="eastAsia" w:ascii="宋体" w:hAnsi="宋体" w:eastAsia="宋体" w:cs="宋体"/>
                <w:b/>
                <w:sz w:val="18"/>
                <w:lang w:eastAsia="zh-CN"/>
              </w:rPr>
              <w:t>A份额：销售费年化0.2%</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b/>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b/>
                <w:sz w:val="18"/>
                <w:lang w:eastAsia="zh-CN"/>
              </w:rPr>
            </w:pPr>
            <w:r>
              <w:rPr>
                <w:rFonts w:hint="eastAsia" w:ascii="宋体" w:hAnsi="宋体" w:eastAsia="宋体" w:cs="宋体"/>
                <w:b/>
                <w:sz w:val="18"/>
                <w:lang w:eastAsia="zh-CN"/>
              </w:rPr>
              <w:t>A份额：固定管理费年化0.3%</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b/>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b/>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b/>
                <w:sz w:val="18"/>
                <w:lang w:eastAsia="zh-CN"/>
              </w:rPr>
            </w:pPr>
            <w:r>
              <w:rPr>
                <w:rFonts w:hint="eastAsia" w:ascii="宋体" w:hAnsi="宋体" w:eastAsia="宋体" w:cs="宋体"/>
                <w:b/>
                <w:sz w:val="18"/>
                <w:lang w:eastAsia="zh-CN"/>
              </w:rPr>
              <w:t>A份额：到期兑付时，当期产品投资的实际资产组合收益（扣除销售费、固定管理费、托管费等相关费用）在3.1%（含）（年化，即产品该份额对应的业绩报酬计提基准）至3.5%（不含）之间的部分，管理人将按超过3.1%部分的50%收取业绩报酬；在3.5%（含）（年化，即产品该份额对应的业绩报酬计提基准）以上的部分，管理人将按超过3.5%部分的80%收取业绩报酬。</w:t>
            </w:r>
          </w:p>
          <w:p>
            <w:pPr>
              <w:spacing w:line="200" w:lineRule="exact"/>
              <w:rPr>
                <w:rFonts w:hint="eastAsia" w:ascii="宋体" w:hAnsi="宋体" w:eastAsia="宋体" w:cs="宋体"/>
                <w:b/>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b/>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b/>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b/>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bookmarkEnd w:id="0"/>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640" w:firstLineChars="20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1.南银理财珠联璧合鑫逸稳一年164期封闭式公募人民币理财产品风险揭示书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2.南银理财珠联璧合鑫逸稳一年164期封闭式公募人民币理财产品说明书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3.南银理财产品销售协议书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4.南银理财投资者权益须知</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5.南银理财产品投资协议书</w:t>
      </w:r>
    </w:p>
    <w:p>
      <w:pPr>
        <w:adjustRightInd/>
        <w:snapToGrid/>
        <w:spacing w:after="0"/>
        <w:ind w:firstLine="640" w:firstLineChars="200"/>
        <w:rPr>
          <w:rFonts w:hint="default" w:ascii="仿宋_GB2312" w:hAnsi="微软雅黑" w:eastAsia="仿宋_GB2312" w:cs="宋体"/>
          <w:color w:val="000000"/>
          <w:sz w:val="32"/>
          <w:szCs w:val="32"/>
          <w:lang w:val="en-US"/>
        </w:rPr>
      </w:pPr>
      <w:r>
        <w:rPr>
          <w:rFonts w:hint="eastAsia" w:ascii="仿宋_GB2312" w:hAnsi="微软雅黑" w:eastAsia="仿宋_GB2312" w:cs="宋体"/>
          <w:color w:val="000000"/>
          <w:sz w:val="32"/>
          <w:szCs w:val="32"/>
          <w:lang w:eastAsia="zh-CN"/>
        </w:rPr>
        <w:t>6.机构客户理财风险承受能力评估表</w:t>
      </w:r>
      <w:r>
        <w:rPr>
          <w:rFonts w:hint="default" w:ascii="仿宋_GB2312" w:hAnsi="微软雅黑" w:eastAsia="仿宋_GB2312" w:cs="宋体"/>
          <w:color w:val="000000"/>
          <w:sz w:val="32"/>
          <w:szCs w:val="32"/>
          <w:lang w:val="en-US"/>
        </w:rPr>
        <w:t xml:space="preserve"> </w:t>
      </w: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jc w:val="right"/>
        <w:rPr>
          <w:rFonts w:hint="eastAsia" w:ascii="宋体" w:hAnsi="宋体" w:eastAsia="宋体" w:cs="宋体"/>
          <w:b/>
          <w:color w:val="000000"/>
          <w:sz w:val="18"/>
          <w:szCs w:val="32"/>
          <w:lang w:val="en-US" w:eastAsia="zh-CN"/>
        </w:rPr>
      </w:pPr>
      <w:r>
        <w:rPr>
          <w:rFonts w:hint="eastAsia" w:ascii="仿宋_GB2312" w:hAnsi="微软雅黑" w:eastAsia="仿宋_GB2312" w:cs="宋体"/>
          <w:color w:val="000000"/>
          <w:sz w:val="32"/>
          <w:szCs w:val="32"/>
          <w:lang w:val="en-US" w:eastAsia="zh-CN"/>
        </w:rPr>
        <w:t>2024年4月22日</w:t>
      </w:r>
    </w:p>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B31D9"/>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74A2176"/>
    <w:rsid w:val="07527F15"/>
    <w:rsid w:val="0AAB3C30"/>
    <w:rsid w:val="0AB33FF3"/>
    <w:rsid w:val="0B432900"/>
    <w:rsid w:val="0FC11F7D"/>
    <w:rsid w:val="143E6D7F"/>
    <w:rsid w:val="2D804DBE"/>
    <w:rsid w:val="2DB578E0"/>
    <w:rsid w:val="348E5062"/>
    <w:rsid w:val="3498699E"/>
    <w:rsid w:val="3A3C2C41"/>
    <w:rsid w:val="3B550E9F"/>
    <w:rsid w:val="3E3871C6"/>
    <w:rsid w:val="3E782469"/>
    <w:rsid w:val="3F621A97"/>
    <w:rsid w:val="48FE64EE"/>
    <w:rsid w:val="4B702A6C"/>
    <w:rsid w:val="50773F29"/>
    <w:rsid w:val="5A3469C0"/>
    <w:rsid w:val="5AEC1BD4"/>
    <w:rsid w:val="61070171"/>
    <w:rsid w:val="628420B9"/>
    <w:rsid w:val="63F34D6C"/>
    <w:rsid w:val="66D83D00"/>
    <w:rsid w:val="6BDB2263"/>
    <w:rsid w:val="6D2007B1"/>
    <w:rsid w:val="77C13657"/>
    <w:rsid w:val="79E85921"/>
    <w:rsid w:val="7AF4060E"/>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c2a844b1"/>
    <w:next w:val="5"/>
    <w:qFormat/>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2024-04-22T01:13:31Z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