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D21" w:rsidRDefault="000B5C2A">
      <w:pPr>
        <w:adjustRightInd/>
        <w:snapToGrid/>
        <w:spacing w:after="0"/>
        <w:jc w:val="center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36"/>
        </w:rPr>
        <w:t>关于代销苏银理财</w:t>
      </w:r>
      <w:r w:rsidR="00D11BD4">
        <w:rPr>
          <w:rFonts w:ascii="宋体" w:eastAsia="宋体" w:hAnsi="宋体" w:cs="宋体" w:hint="eastAsia"/>
          <w:b/>
          <w:bCs/>
          <w:sz w:val="36"/>
        </w:rPr>
        <w:t>恒源</w:t>
      </w:r>
      <w:r w:rsidR="00EE3A96">
        <w:rPr>
          <w:rFonts w:ascii="宋体" w:eastAsia="宋体" w:hAnsi="宋体" w:cs="宋体" w:hint="eastAsia"/>
          <w:b/>
          <w:bCs/>
          <w:sz w:val="36"/>
        </w:rPr>
        <w:t>封闭债权113期</w:t>
      </w:r>
      <w:r>
        <w:rPr>
          <w:rFonts w:ascii="宋体" w:eastAsia="宋体" w:hAnsi="宋体" w:cs="宋体" w:hint="eastAsia"/>
          <w:b/>
          <w:bCs/>
          <w:sz w:val="36"/>
        </w:rPr>
        <w:t>的通知</w:t>
      </w:r>
    </w:p>
    <w:p w:rsidR="005C0D21" w:rsidRDefault="000B5C2A">
      <w:pPr>
        <w:adjustRightInd/>
        <w:snapToGrid/>
        <w:spacing w:after="0" w:line="555" w:lineRule="atLeast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各分(支)行、总行营业部：</w:t>
      </w:r>
    </w:p>
    <w:p w:rsidR="005C0D21" w:rsidRDefault="000B5C2A">
      <w:pPr>
        <w:adjustRightInd/>
        <w:snapToGrid/>
        <w:spacing w:after="0"/>
        <w:ind w:firstLine="63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我行代销</w:t>
      </w: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苏银理财有限责任公司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发行的苏银理财</w:t>
      </w:r>
      <w:r w:rsidR="00D11BD4">
        <w:rPr>
          <w:rFonts w:ascii="仿宋_GB2312" w:eastAsia="仿宋_GB2312" w:hAnsi="微软雅黑" w:cs="宋体" w:hint="eastAsia"/>
          <w:color w:val="000000"/>
          <w:sz w:val="32"/>
          <w:szCs w:val="32"/>
        </w:rPr>
        <w:t>恒源</w:t>
      </w:r>
      <w:r w:rsidR="00EE3A96">
        <w:rPr>
          <w:rFonts w:ascii="仿宋_GB2312" w:eastAsia="仿宋_GB2312" w:hAnsi="微软雅黑" w:cs="宋体" w:hint="eastAsia"/>
          <w:color w:val="000000"/>
          <w:sz w:val="32"/>
          <w:szCs w:val="32"/>
        </w:rPr>
        <w:t>封闭债权113期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将</w:t>
      </w:r>
      <w:r>
        <w:rPr>
          <w:rFonts w:ascii="仿宋_GB2312" w:eastAsia="仿宋_GB2312" w:hAnsi="微软雅黑" w:cs="宋体" w:hint="eastAsia"/>
          <w:sz w:val="32"/>
          <w:szCs w:val="32"/>
        </w:rPr>
        <w:t>于</w:t>
      </w: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202</w:t>
      </w:r>
      <w:r w:rsidR="001F3153">
        <w:rPr>
          <w:rFonts w:ascii="仿宋_GB2312" w:eastAsia="仿宋_GB2312" w:hAnsi="微软雅黑" w:cs="宋体" w:hint="eastAsia"/>
          <w:color w:val="FF0000"/>
          <w:sz w:val="32"/>
          <w:szCs w:val="32"/>
        </w:rPr>
        <w:t>4</w:t>
      </w: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年</w:t>
      </w:r>
      <w:r w:rsidR="00095294">
        <w:rPr>
          <w:rFonts w:ascii="仿宋_GB2312" w:eastAsia="仿宋_GB2312" w:hAnsi="微软雅黑" w:cs="宋体" w:hint="eastAsia"/>
          <w:color w:val="FF0000"/>
          <w:sz w:val="32"/>
          <w:szCs w:val="32"/>
        </w:rPr>
        <w:t>4</w:t>
      </w: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月</w:t>
      </w:r>
      <w:r w:rsidR="00EE3A96">
        <w:rPr>
          <w:rFonts w:ascii="仿宋_GB2312" w:eastAsia="仿宋_GB2312" w:hAnsi="微软雅黑" w:cs="宋体" w:hint="eastAsia"/>
          <w:color w:val="FF0000"/>
          <w:sz w:val="32"/>
          <w:szCs w:val="32"/>
        </w:rPr>
        <w:t>24</w:t>
      </w: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日9:00</w:t>
      </w:r>
      <w:r>
        <w:rPr>
          <w:rFonts w:ascii="仿宋_GB2312" w:eastAsia="仿宋_GB2312" w:hAnsi="微软雅黑" w:cs="宋体" w:hint="eastAsia"/>
          <w:sz w:val="32"/>
          <w:szCs w:val="32"/>
        </w:rPr>
        <w:t>至</w:t>
      </w:r>
      <w:r w:rsidR="00570005">
        <w:rPr>
          <w:rFonts w:ascii="仿宋_GB2312" w:eastAsia="仿宋_GB2312" w:hAnsi="微软雅黑" w:cs="宋体" w:hint="eastAsia"/>
          <w:color w:val="FF0000"/>
          <w:sz w:val="32"/>
          <w:szCs w:val="32"/>
        </w:rPr>
        <w:t>202</w:t>
      </w:r>
      <w:r w:rsidR="007471D4">
        <w:rPr>
          <w:rFonts w:ascii="仿宋_GB2312" w:eastAsia="仿宋_GB2312" w:hAnsi="微软雅黑" w:cs="宋体" w:hint="eastAsia"/>
          <w:color w:val="FF0000"/>
          <w:sz w:val="32"/>
          <w:szCs w:val="32"/>
        </w:rPr>
        <w:t>4</w:t>
      </w: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年</w:t>
      </w:r>
      <w:r w:rsidR="009D5A75">
        <w:rPr>
          <w:rFonts w:ascii="仿宋_GB2312" w:eastAsia="仿宋_GB2312" w:hAnsi="微软雅黑" w:cs="宋体" w:hint="eastAsia"/>
          <w:color w:val="FF0000"/>
          <w:sz w:val="32"/>
          <w:szCs w:val="32"/>
        </w:rPr>
        <w:t>4</w:t>
      </w: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月</w:t>
      </w:r>
      <w:bookmarkStart w:id="0" w:name="_GoBack"/>
      <w:bookmarkEnd w:id="0"/>
      <w:r w:rsidR="00EE3A96">
        <w:rPr>
          <w:rFonts w:ascii="仿宋_GB2312" w:eastAsia="仿宋_GB2312" w:hAnsi="微软雅黑" w:cs="宋体" w:hint="eastAsia"/>
          <w:color w:val="FF0000"/>
          <w:sz w:val="32"/>
          <w:szCs w:val="32"/>
        </w:rPr>
        <w:t>29</w:t>
      </w:r>
      <w:r w:rsidR="00095294">
        <w:rPr>
          <w:rFonts w:ascii="仿宋_GB2312" w:eastAsia="仿宋_GB2312" w:hAnsi="微软雅黑" w:cs="宋体" w:hint="eastAsia"/>
          <w:color w:val="FF0000"/>
          <w:sz w:val="32"/>
          <w:szCs w:val="32"/>
        </w:rPr>
        <w:t>日</w:t>
      </w: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17:00</w:t>
      </w:r>
      <w:r>
        <w:rPr>
          <w:rFonts w:ascii="仿宋_GB2312" w:eastAsia="仿宋_GB2312" w:hAnsi="微软雅黑" w:cs="宋体" w:hint="eastAsia"/>
          <w:sz w:val="32"/>
          <w:szCs w:val="32"/>
        </w:rPr>
        <w:t>销售，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目前</w:t>
      </w:r>
      <w:r w:rsidR="00D7627A">
        <w:rPr>
          <w:rFonts w:ascii="仿宋_GB2312" w:eastAsia="仿宋_GB2312" w:hAnsi="微软雅黑" w:cs="宋体" w:hint="eastAsia"/>
          <w:color w:val="000000"/>
          <w:sz w:val="32"/>
          <w:szCs w:val="32"/>
        </w:rPr>
        <w:t>在</w:t>
      </w:r>
      <w:r w:rsidR="00D7627A" w:rsidRPr="00B252B4">
        <w:rPr>
          <w:rFonts w:ascii="仿宋_GB2312" w:eastAsia="仿宋_GB2312" w:hAnsi="微软雅黑" w:cs="宋体" w:hint="eastAsia"/>
          <w:color w:val="FF0000"/>
          <w:sz w:val="32"/>
          <w:szCs w:val="32"/>
        </w:rPr>
        <w:t>柜面</w:t>
      </w:r>
      <w:r w:rsidR="00D7627A">
        <w:rPr>
          <w:rFonts w:ascii="仿宋_GB2312" w:eastAsia="仿宋_GB2312" w:hAnsi="微软雅黑" w:cs="宋体" w:hint="eastAsia"/>
          <w:color w:val="000000"/>
          <w:sz w:val="32"/>
          <w:szCs w:val="32"/>
        </w:rPr>
        <w:t>和</w:t>
      </w:r>
      <w:r w:rsidR="00D7627A" w:rsidRPr="00B252B4">
        <w:rPr>
          <w:rFonts w:ascii="仿宋_GB2312" w:eastAsia="仿宋_GB2312" w:hAnsi="微软雅黑" w:cs="宋体" w:hint="eastAsia"/>
          <w:color w:val="FF0000"/>
          <w:sz w:val="32"/>
          <w:szCs w:val="32"/>
        </w:rPr>
        <w:t>手机银行</w:t>
      </w:r>
      <w:r w:rsidR="00C60359" w:rsidRPr="00FB04F3">
        <w:rPr>
          <w:rFonts w:ascii="仿宋_GB2312" w:eastAsia="仿宋_GB2312" w:hAnsi="微软雅黑" w:cs="宋体" w:hint="eastAsia"/>
          <w:color w:val="000000" w:themeColor="text1"/>
          <w:sz w:val="32"/>
          <w:szCs w:val="32"/>
        </w:rPr>
        <w:t>等</w:t>
      </w:r>
      <w:r w:rsidR="00D7627A">
        <w:rPr>
          <w:rFonts w:ascii="仿宋_GB2312" w:eastAsia="仿宋_GB2312" w:hAnsi="微软雅黑" w:cs="宋体" w:hint="eastAsia"/>
          <w:color w:val="000000"/>
          <w:sz w:val="32"/>
          <w:szCs w:val="32"/>
        </w:rPr>
        <w:t>销售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。</w:t>
      </w:r>
      <w:r w:rsidR="00FA5448">
        <w:rPr>
          <w:rFonts w:ascii="仿宋_GB2312" w:eastAsia="仿宋_GB2312" w:hAnsi="微软雅黑" w:cs="宋体" w:hint="eastAsia"/>
          <w:color w:val="000000"/>
          <w:sz w:val="32"/>
          <w:szCs w:val="32"/>
        </w:rPr>
        <w:t>销售服务费率为0.2%/年。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部分要素如下：</w:t>
      </w:r>
    </w:p>
    <w:tbl>
      <w:tblPr>
        <w:tblW w:w="88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278"/>
        <w:gridCol w:w="6614"/>
      </w:tblGrid>
      <w:tr w:rsidR="00EE3A96" w:rsidTr="00EE3A96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96" w:rsidRDefault="00EE3A96">
            <w:pPr>
              <w:pStyle w:val="TableParagraph"/>
              <w:kinsoku w:val="0"/>
              <w:overflowPunct w:val="0"/>
              <w:spacing w:before="11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产品名称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96" w:rsidRDefault="00EE3A96" w:rsidP="00EE3A96">
            <w:pPr>
              <w:pStyle w:val="TableParagraph"/>
              <w:kinsoku w:val="0"/>
              <w:overflowPunct w:val="0"/>
              <w:spacing w:before="13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苏银理财恒源封闭债权113期</w:t>
            </w:r>
          </w:p>
        </w:tc>
      </w:tr>
      <w:tr w:rsidR="00EE3A96" w:rsidTr="00EE3A96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96" w:rsidRDefault="00EE3A96">
            <w:pPr>
              <w:pStyle w:val="TableParagraph"/>
              <w:kinsoku w:val="0"/>
              <w:overflowPunct w:val="0"/>
              <w:ind w:left="57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理财产品登记编码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96" w:rsidRDefault="00EE3A96" w:rsidP="00EE3A96">
            <w:pPr>
              <w:pStyle w:val="TableParagraph"/>
              <w:kinsoku w:val="0"/>
              <w:overflowPunct w:val="0"/>
              <w:spacing w:line="260" w:lineRule="exact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Z7003124000068</w:t>
            </w:r>
          </w:p>
          <w:p w:rsidR="00EE3A96" w:rsidRDefault="00EE3A96" w:rsidP="00EE3A96">
            <w:pPr>
              <w:pStyle w:val="TableParagraph"/>
              <w:kinsoku w:val="0"/>
              <w:overflowPunct w:val="0"/>
              <w:spacing w:line="260" w:lineRule="exact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（投资者可依据该编码在中国</w:t>
            </w:r>
            <w:proofErr w:type="gramStart"/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理财网</w:t>
            </w:r>
            <w:proofErr w:type="gramEnd"/>
            <w:r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  <w:fldChar w:fldCharType="begin"/>
            </w:r>
            <w:r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  <w:instrText xml:space="preserve"> HYPERLINK "http://www.chinawealth.com.cn/" </w:instrText>
            </w:r>
            <w:r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  <w:fldChar w:fldCharType="separate"/>
            </w:r>
            <w:r>
              <w:rPr>
                <w:rStyle w:val="a8"/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www.chinawealth.com.cn</w:t>
            </w:r>
            <w:r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  <w:fldChar w:fldCharType="end"/>
            </w: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查询产品信息）</w:t>
            </w:r>
          </w:p>
        </w:tc>
      </w:tr>
      <w:tr w:rsidR="00EE3A96" w:rsidTr="00EE3A96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96" w:rsidRDefault="00EE3A96">
            <w:pPr>
              <w:pStyle w:val="TableParagraph"/>
              <w:kinsoku w:val="0"/>
              <w:overflowPunct w:val="0"/>
              <w:spacing w:before="13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销售简称/销售代码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96" w:rsidRDefault="00EE3A96" w:rsidP="00EE3A96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B份额：苏银理财恒源封闭债权113期12月B/J03258</w:t>
            </w:r>
          </w:p>
        </w:tc>
      </w:tr>
      <w:tr w:rsidR="00EE3A96" w:rsidTr="00EE3A96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96" w:rsidRDefault="00EE3A96">
            <w:pPr>
              <w:pStyle w:val="TableParagraph"/>
              <w:kinsoku w:val="0"/>
              <w:overflowPunct w:val="0"/>
              <w:spacing w:before="14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产品管理人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96" w:rsidRDefault="00EE3A96" w:rsidP="00EE3A96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苏银理财有限责任公司</w:t>
            </w:r>
          </w:p>
        </w:tc>
      </w:tr>
      <w:tr w:rsidR="00EE3A96" w:rsidTr="00EE3A96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96" w:rsidRDefault="00EE3A96">
            <w:pPr>
              <w:pStyle w:val="TableParagraph"/>
              <w:kinsoku w:val="0"/>
              <w:overflowPunct w:val="0"/>
              <w:spacing w:before="13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产品托管人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96" w:rsidRDefault="00EE3A96" w:rsidP="00EE3A96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江苏银行股份有限公司</w:t>
            </w:r>
          </w:p>
        </w:tc>
      </w:tr>
      <w:tr w:rsidR="00EE3A96" w:rsidTr="00EE3A96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96" w:rsidRDefault="00EE3A96">
            <w:pPr>
              <w:pStyle w:val="TableParagraph"/>
              <w:kinsoku w:val="0"/>
              <w:overflowPunct w:val="0"/>
              <w:spacing w:before="13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产品内部风险评级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96" w:rsidRDefault="00EE3A96" w:rsidP="00EE3A96">
            <w:pPr>
              <w:pStyle w:val="TableParagraph"/>
              <w:kinsoku w:val="0"/>
              <w:overflowPunct w:val="0"/>
              <w:spacing w:before="13"/>
              <w:ind w:left="59" w:rightChars="35" w:right="77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  <w:u w:val="single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  <w:u w:val="single"/>
              </w:rPr>
              <w:t>1、★★二级，</w:t>
            </w: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本评级为苏银理财有限责任公司内部评级，由苏银理财根据理财产品的投资组合、同类产品过往业绩和风险状况等因素，对理财产品进行评级，仅供客户参考。</w:t>
            </w:r>
          </w:p>
          <w:p w:rsidR="00EE3A96" w:rsidRDefault="00EE3A96" w:rsidP="00EE3A96">
            <w:pPr>
              <w:pStyle w:val="TableParagraph"/>
              <w:kinsoku w:val="0"/>
              <w:overflowPunct w:val="0"/>
              <w:spacing w:before="13"/>
              <w:ind w:left="59" w:rightChars="35" w:right="77"/>
              <w:jc w:val="both"/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2、如本产品通过代理销售机构渠道销售，代理销售机构应当根据本机构的方式和方法，依据理财产品的投资组合、同类产品过往业绩和风险状况等因素，独立、审慎地对代理销售的理财产品进行销售评级，并向苏银理财及时、准确提供本机构销售评级结果等信息。销售评级与苏银理财产品评级结果不一致的，代理销售机构应当采用对应较高风险等级的评级结果并予以披露。</w:t>
            </w:r>
          </w:p>
          <w:p w:rsidR="00EE3A96" w:rsidRDefault="00EE3A96" w:rsidP="00EE3A96">
            <w:pPr>
              <w:pStyle w:val="TableParagraph"/>
              <w:kinsoku w:val="0"/>
              <w:overflowPunct w:val="0"/>
              <w:spacing w:before="13"/>
              <w:ind w:left="59" w:rightChars="35" w:right="77"/>
              <w:jc w:val="both"/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  <w:u w:val="single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  <w:u w:val="single"/>
              </w:rPr>
              <w:t>3、如本产品通过代理销售机构渠道销售，理财产品评级以代理销售机构最终披露的评级结果为准。</w:t>
            </w:r>
          </w:p>
          <w:p w:rsidR="00EE3A96" w:rsidRPr="00EE3A96" w:rsidRDefault="00EE3A96" w:rsidP="00EE3A96">
            <w:pPr>
              <w:rPr>
                <w:rFonts w:ascii="仿宋" w:eastAsia="仿宋" w:hAnsi="仿宋"/>
                <w:b/>
                <w:color w:val="FF0000"/>
              </w:rPr>
            </w:pPr>
            <w:r>
              <w:rPr>
                <w:rFonts w:ascii="仿宋" w:eastAsia="仿宋" w:hAnsi="仿宋" w:hint="eastAsia"/>
                <w:b/>
                <w:color w:val="FF0000"/>
              </w:rPr>
              <w:t>4、紫金农商银行对本产品的风险评级为中低风险。</w:t>
            </w:r>
          </w:p>
        </w:tc>
      </w:tr>
      <w:tr w:rsidR="00EE3A96" w:rsidTr="00EE3A96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96" w:rsidRDefault="00EE3A96">
            <w:pPr>
              <w:pStyle w:val="TableParagraph"/>
              <w:kinsoku w:val="0"/>
              <w:overflowPunct w:val="0"/>
              <w:spacing w:before="12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收益类型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96" w:rsidRDefault="00EE3A96" w:rsidP="00EE3A96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净值型（非保本浮动收益）</w:t>
            </w:r>
          </w:p>
        </w:tc>
      </w:tr>
      <w:tr w:rsidR="00EE3A96" w:rsidTr="00EE3A96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96" w:rsidRDefault="00EE3A96">
            <w:pPr>
              <w:pStyle w:val="TableParagraph"/>
              <w:kinsoku w:val="0"/>
              <w:overflowPunct w:val="0"/>
              <w:spacing w:before="13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产品类型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96" w:rsidRDefault="00EE3A96" w:rsidP="00EE3A96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  <w:u w:val="single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  <w:u w:val="single"/>
              </w:rPr>
              <w:t>固定收益类、公募、封闭式</w:t>
            </w:r>
          </w:p>
        </w:tc>
      </w:tr>
      <w:tr w:rsidR="00EE3A96" w:rsidTr="00EE3A96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96" w:rsidRDefault="00EE3A96">
            <w:pPr>
              <w:pStyle w:val="TableParagraph"/>
              <w:kinsoku w:val="0"/>
              <w:overflowPunct w:val="0"/>
              <w:spacing w:before="13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销售对象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96" w:rsidRDefault="00EE3A96" w:rsidP="00EE3A96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面向个人和机构投资者销售</w:t>
            </w:r>
          </w:p>
        </w:tc>
      </w:tr>
      <w:tr w:rsidR="00EE3A96" w:rsidTr="00EE3A96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96" w:rsidRDefault="00EE3A96">
            <w:pPr>
              <w:pStyle w:val="TableParagraph"/>
              <w:kinsoku w:val="0"/>
              <w:overflowPunct w:val="0"/>
              <w:spacing w:before="14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募集币种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96" w:rsidRDefault="00EE3A96" w:rsidP="00EE3A96">
            <w:pPr>
              <w:pStyle w:val="TableParagraph"/>
              <w:kinsoku w:val="0"/>
              <w:overflowPunct w:val="0"/>
              <w:spacing w:before="14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人民币</w:t>
            </w:r>
          </w:p>
        </w:tc>
      </w:tr>
      <w:tr w:rsidR="00EE3A96" w:rsidTr="00EE3A96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96" w:rsidRDefault="00EE3A96">
            <w:pPr>
              <w:pStyle w:val="TableParagraph"/>
              <w:kinsoku w:val="0"/>
              <w:overflowPunct w:val="0"/>
              <w:spacing w:before="13"/>
              <w:ind w:left="55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计划发行规模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96" w:rsidRDefault="00EE3A96" w:rsidP="00EE3A96">
            <w:pPr>
              <w:ind w:left="59" w:rightChars="35" w:right="77"/>
              <w:rPr>
                <w:rFonts w:ascii="楷体" w:eastAsia="楷体" w:hAnsi="楷体" w:cs="Times New Roman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计划发行总规模：6亿份。</w:t>
            </w:r>
          </w:p>
          <w:p w:rsidR="00EE3A96" w:rsidRDefault="00EE3A96" w:rsidP="00EE3A96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募集过程中管理人有权根据产品的募集情况调整计划发行规模。</w:t>
            </w:r>
          </w:p>
        </w:tc>
      </w:tr>
      <w:tr w:rsidR="00EE3A96" w:rsidTr="00EE3A96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96" w:rsidRDefault="00EE3A96">
            <w:pPr>
              <w:pStyle w:val="TableParagraph"/>
              <w:kinsoku w:val="0"/>
              <w:overflowPunct w:val="0"/>
              <w:spacing w:before="12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认购起点/追加金额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96" w:rsidRDefault="00EE3A96" w:rsidP="00EE3A96">
            <w:pPr>
              <w:ind w:left="59" w:rightChars="35" w:right="77"/>
              <w:rPr>
                <w:rFonts w:ascii="楷体" w:eastAsia="楷体" w:hAnsi="楷体" w:cs="Times New Roman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投资者单笔</w:t>
            </w:r>
            <w:r>
              <w:rPr>
                <w:rFonts w:ascii="楷体" w:eastAsia="楷体" w:hAnsi="楷体" w:hint="eastAsia"/>
                <w:szCs w:val="21"/>
              </w:rPr>
              <w:t>认购起点金额为1元，追加金额为1元的整数</w:t>
            </w:r>
            <w:proofErr w:type="gramStart"/>
            <w:r>
              <w:rPr>
                <w:rFonts w:ascii="楷体" w:eastAsia="楷体" w:hAnsi="楷体" w:hint="eastAsia"/>
                <w:szCs w:val="21"/>
              </w:rPr>
              <w:t>倍</w:t>
            </w:r>
            <w:proofErr w:type="gramEnd"/>
            <w:r>
              <w:rPr>
                <w:rFonts w:ascii="楷体" w:eastAsia="楷体" w:hAnsi="楷体" w:hint="eastAsia"/>
                <w:szCs w:val="21"/>
              </w:rPr>
              <w:t>。</w:t>
            </w:r>
          </w:p>
          <w:p w:rsidR="00EE3A96" w:rsidRDefault="00EE3A96" w:rsidP="00EE3A96">
            <w:pPr>
              <w:widowControl w:val="0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认购资金的清算和认购份额的计算详见产品说明书“八、产品认购”。</w:t>
            </w:r>
          </w:p>
        </w:tc>
      </w:tr>
      <w:tr w:rsidR="00EE3A96" w:rsidTr="00EE3A96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96" w:rsidRDefault="00EE3A96">
            <w:pPr>
              <w:pStyle w:val="TableParagraph"/>
              <w:kinsoku w:val="0"/>
              <w:overflowPunct w:val="0"/>
              <w:spacing w:before="13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份额面值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96" w:rsidRDefault="00EE3A96" w:rsidP="00EE3A96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1元/份</w:t>
            </w:r>
          </w:p>
        </w:tc>
      </w:tr>
      <w:tr w:rsidR="00EE3A96" w:rsidTr="00EE3A96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96" w:rsidRDefault="00EE3A96">
            <w:pPr>
              <w:pStyle w:val="TableParagraph"/>
              <w:kinsoku w:val="0"/>
              <w:overflowPunct w:val="0"/>
              <w:spacing w:before="13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募集期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96" w:rsidRDefault="00EE3A96" w:rsidP="00EE3A96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2024年4月24日9:00至2024年4月29日17:00</w:t>
            </w:r>
          </w:p>
          <w:p w:rsidR="00EE3A96" w:rsidRDefault="00EE3A96" w:rsidP="00EE3A96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管理人在法律允许的范围内保留延长或提前终止产品募集期的权利。如有变动，实际产品募集期以管理人公告为准。</w:t>
            </w:r>
          </w:p>
        </w:tc>
      </w:tr>
      <w:tr w:rsidR="00EE3A96" w:rsidTr="00EE3A96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96" w:rsidRDefault="00EE3A96">
            <w:pPr>
              <w:pStyle w:val="TableParagraph"/>
              <w:kinsoku w:val="0"/>
              <w:overflowPunct w:val="0"/>
              <w:spacing w:before="12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lastRenderedPageBreak/>
              <w:t>产品成立日/份额登记日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96" w:rsidRDefault="00EE3A96" w:rsidP="00EE3A96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2024年4月30日</w:t>
            </w:r>
          </w:p>
          <w:p w:rsidR="00EE3A96" w:rsidRDefault="00EE3A96" w:rsidP="00EE3A96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若产品认购份额未达到最低发行总规模3000万，或新的法律、法规导致本产品无法合法合</w:t>
            </w:r>
            <w:proofErr w:type="gramStart"/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规</w:t>
            </w:r>
            <w:proofErr w:type="gramEnd"/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运行，或出现其他导致影响产品成立不可抗力因素，产品管理人有权利但无义务宣布产品不成立，并于产品募集期结束后5个工作日内将投资者认购资金返还至投资者资金账户，募集期及资金在途期间投资者投资本金不计息。</w:t>
            </w:r>
          </w:p>
        </w:tc>
      </w:tr>
      <w:tr w:rsidR="00EE3A96" w:rsidTr="00EE3A96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96" w:rsidRDefault="00EE3A96">
            <w:pPr>
              <w:pStyle w:val="TableParagraph"/>
              <w:kinsoku w:val="0"/>
              <w:overflowPunct w:val="0"/>
              <w:spacing w:before="12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产品到期日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96" w:rsidRDefault="00EE3A96" w:rsidP="00EE3A96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2025年5月7日（如遇节假日，顺延至下一工作日）</w:t>
            </w:r>
          </w:p>
          <w:p w:rsidR="00EE3A96" w:rsidRDefault="00EE3A96" w:rsidP="00EE3A96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在符合产品说明书约定的条件下，管理人有权提前终止该产品，产品到期日受制于提前终止条款。详见产品说明书“十、产品的终止与清算”。</w:t>
            </w:r>
          </w:p>
        </w:tc>
      </w:tr>
      <w:tr w:rsidR="00EE3A96" w:rsidTr="00EE3A96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96" w:rsidRDefault="00EE3A96" w:rsidP="00EE3A96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产品存续期限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96" w:rsidRDefault="00EE3A96" w:rsidP="00EE3A96">
            <w:pPr>
              <w:widowControl w:val="0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372天（以理财产品实际存续天数为准），</w:t>
            </w:r>
            <w:r>
              <w:rPr>
                <w:rFonts w:ascii="楷体" w:eastAsia="楷体" w:hAnsi="楷体" w:cs="Calibri" w:hint="eastAsia"/>
                <w:b/>
                <w:szCs w:val="21"/>
                <w:u w:val="single"/>
              </w:rPr>
              <w:t>本产品运行期间，不开放申购、赎回。</w:t>
            </w:r>
          </w:p>
        </w:tc>
      </w:tr>
      <w:tr w:rsidR="00EE3A96" w:rsidTr="00EE3A96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96" w:rsidRDefault="00EE3A96">
            <w:pPr>
              <w:pStyle w:val="TableParagraph"/>
              <w:kinsoku w:val="0"/>
              <w:overflowPunct w:val="0"/>
              <w:spacing w:before="12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单个客户持有份额上限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96" w:rsidRDefault="00EE3A96" w:rsidP="00EE3A96">
            <w:pPr>
              <w:widowControl w:val="0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单一投资者持有份额不得超过总份额50%；非因主观因素导致突破前款规定比例限制的，在单一投资者持有份额占理财产品总份额比例降至50%以下之前，不再接受该单一投资者对理财产品的认购申请。</w:t>
            </w:r>
          </w:p>
        </w:tc>
      </w:tr>
      <w:tr w:rsidR="00EE3A96" w:rsidTr="00EE3A96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96" w:rsidRDefault="00EE3A96" w:rsidP="00EE3A96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业绩比较基准（年化）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96" w:rsidRDefault="00EE3A96" w:rsidP="00EE3A96">
            <w:pPr>
              <w:pStyle w:val="TableParagraph"/>
              <w:kinsoku w:val="0"/>
              <w:overflowPunct w:val="0"/>
              <w:spacing w:before="37"/>
              <w:ind w:leftChars="10" w:left="22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bCs/>
                <w:spacing w:val="-2"/>
                <w:kern w:val="2"/>
                <w:sz w:val="21"/>
                <w:szCs w:val="21"/>
                <w:u w:val="single"/>
              </w:rPr>
              <w:t>苏银理财参考过往投资经验，依据近期货币市场工具、债券、非标准化债权等资产投资收益水平，在产品说明书约定的投资范围和投资比例内，综合考虑各份额收取的销售服务费和投资管理费的情况，模拟测算得出业绩比较基准。本产品各份额因收取的销售服务费和投资管理费存在差异，业绩比较基准设置将有所不同。</w:t>
            </w:r>
            <w:r>
              <w:rPr>
                <w:rFonts w:ascii="楷体" w:eastAsia="楷体" w:hAnsi="楷体" w:cs="宋体" w:hint="eastAsia"/>
                <w:spacing w:val="-2"/>
                <w:kern w:val="2"/>
                <w:sz w:val="21"/>
                <w:szCs w:val="21"/>
              </w:rPr>
              <w:t>各份额业绩比较基准如下：</w:t>
            </w:r>
          </w:p>
          <w:p w:rsidR="00EE3A96" w:rsidRDefault="00EE3A96" w:rsidP="00EE3A96">
            <w:pPr>
              <w:pStyle w:val="TableParagraph"/>
              <w:kinsoku w:val="0"/>
              <w:overflowPunct w:val="0"/>
              <w:spacing w:before="12"/>
              <w:ind w:left="59" w:rightChars="35" w:right="77"/>
              <w:jc w:val="both"/>
              <w:rPr>
                <w:rFonts w:ascii="楷体" w:eastAsia="楷体" w:hAnsi="楷体" w:cs="宋体" w:hint="eastAsia"/>
                <w:bCs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Cs/>
                <w:spacing w:val="-2"/>
                <w:kern w:val="2"/>
                <w:sz w:val="21"/>
                <w:szCs w:val="21"/>
              </w:rPr>
              <w:t>B份额：</w:t>
            </w:r>
            <w:proofErr w:type="gramStart"/>
            <w:r>
              <w:rPr>
                <w:rFonts w:ascii="楷体" w:eastAsia="楷体" w:hAnsi="楷体" w:cs="宋体" w:hint="eastAsia"/>
                <w:bCs/>
                <w:spacing w:val="-2"/>
                <w:kern w:val="2"/>
                <w:sz w:val="21"/>
                <w:szCs w:val="21"/>
              </w:rPr>
              <w:t>年化</w:t>
            </w:r>
            <w:proofErr w:type="gramEnd"/>
            <w:r>
              <w:rPr>
                <w:rFonts w:ascii="楷体" w:eastAsia="楷体" w:hAnsi="楷体" w:cs="宋体" w:hint="eastAsia"/>
                <w:bCs/>
                <w:spacing w:val="-2"/>
                <w:kern w:val="2"/>
                <w:sz w:val="21"/>
                <w:szCs w:val="21"/>
              </w:rPr>
              <w:t>3.10%</w:t>
            </w:r>
          </w:p>
          <w:p w:rsidR="00EE3A96" w:rsidRDefault="00EE3A96" w:rsidP="00EE3A96">
            <w:pPr>
              <w:ind w:left="59" w:rightChars="35" w:right="77"/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  <w:u w:val="single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szCs w:val="21"/>
                <w:u w:val="single"/>
              </w:rPr>
              <w:t>本产品为净值型产品，业绩表现将随市场波动，具有不确定性。业绩比</w:t>
            </w:r>
          </w:p>
          <w:p w:rsidR="00EE3A96" w:rsidRDefault="00EE3A96" w:rsidP="00EE3A96">
            <w:pPr>
              <w:widowControl w:val="0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szCs w:val="21"/>
                <w:u w:val="single"/>
              </w:rPr>
              <w:t>较基准为管理人对本产品所设定的投资目标，不代表理财产品未来表现，不等于理财产品实际收益，不构成管理人对产品实际投资收益率的承诺或担保，投资者的实际收益由产品净值表现决定。产品存续期内管理人有权根据市场情况调整业绩比较基准，如有调整以管理人公告为准。</w:t>
            </w:r>
          </w:p>
        </w:tc>
      </w:tr>
      <w:tr w:rsidR="00EE3A96" w:rsidTr="00EE3A96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96" w:rsidRDefault="00EE3A96">
            <w:pPr>
              <w:pStyle w:val="TableParagraph"/>
              <w:kinsoku w:val="0"/>
              <w:overflowPunct w:val="0"/>
              <w:spacing w:before="18"/>
              <w:ind w:left="55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产品费用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96" w:rsidRDefault="00EE3A96" w:rsidP="00EE3A96">
            <w:pPr>
              <w:ind w:left="59" w:rightChars="35" w:right="77"/>
              <w:rPr>
                <w:rFonts w:ascii="楷体" w:eastAsia="楷体" w:hAnsi="楷体" w:cs="宋体"/>
                <w:spacing w:val="-2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本产品费用包括托管费、销售服务费、投资管理费、超额业绩报酬以及产品运作和清算中产生的其他费用等。</w:t>
            </w:r>
          </w:p>
          <w:p w:rsidR="00EE3A96" w:rsidRDefault="00EE3A96" w:rsidP="00EE3A96">
            <w:pPr>
              <w:ind w:left="59" w:rightChars="35" w:right="77"/>
              <w:rPr>
                <w:rFonts w:ascii="楷体" w:eastAsia="楷体" w:hAnsi="楷体" w:cs="宋体" w:hint="eastAsia"/>
                <w:spacing w:val="-2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1.托管费率：0.02%/年；</w:t>
            </w:r>
          </w:p>
          <w:p w:rsidR="00EE3A96" w:rsidRDefault="00EE3A96" w:rsidP="00EE3A96">
            <w:pPr>
              <w:ind w:left="59" w:rightChars="35" w:right="77"/>
              <w:rPr>
                <w:rFonts w:ascii="楷体" w:eastAsia="楷体" w:hAnsi="楷体" w:cs="宋体" w:hint="eastAsia"/>
                <w:spacing w:val="-2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2.销售服务费率： B份额0.20%/年；</w:t>
            </w:r>
          </w:p>
          <w:p w:rsidR="00EE3A96" w:rsidRDefault="00EE3A96" w:rsidP="00EE3A96">
            <w:pPr>
              <w:ind w:left="59" w:rightChars="35" w:right="77"/>
              <w:rPr>
                <w:rFonts w:ascii="楷体" w:eastAsia="楷体" w:hAnsi="楷体" w:cs="宋体" w:hint="eastAsia"/>
                <w:spacing w:val="-2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3.投资管理费率：0.25%/年；</w:t>
            </w:r>
          </w:p>
          <w:p w:rsidR="00EE3A96" w:rsidRDefault="00EE3A96" w:rsidP="00EE3A96">
            <w:pPr>
              <w:ind w:left="59" w:rightChars="35" w:right="77"/>
              <w:rPr>
                <w:rFonts w:ascii="楷体" w:eastAsia="楷体" w:hAnsi="楷体" w:cs="宋体" w:hint="eastAsia"/>
                <w:spacing w:val="-2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4.超额业绩报酬：若产品各份额实际投资收益在扣除托管费、销售服务费、投资管理费、运作产品所必须缴纳的税费后超过各份额业绩比较基准，产品管理人将按照超出部分的60%收取超额业绩报酬。</w:t>
            </w:r>
          </w:p>
          <w:p w:rsidR="00EE3A96" w:rsidRDefault="00EE3A96" w:rsidP="00EE3A96">
            <w:pPr>
              <w:ind w:left="59" w:rightChars="35" w:right="77"/>
              <w:rPr>
                <w:rFonts w:ascii="楷体" w:eastAsia="楷体" w:hAnsi="楷体" w:cs="宋体" w:hint="eastAsia"/>
                <w:spacing w:val="-2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产品存续期内理财产品将</w:t>
            </w:r>
            <w:proofErr w:type="gramStart"/>
            <w:r>
              <w:rPr>
                <w:rFonts w:ascii="楷体" w:eastAsia="楷体" w:hAnsi="楷体" w:cs="宋体" w:hint="eastAsia"/>
                <w:spacing w:val="-2"/>
                <w:szCs w:val="21"/>
              </w:rPr>
              <w:t>每日暂估超额</w:t>
            </w:r>
            <w:proofErr w:type="gramEnd"/>
            <w:r>
              <w:rPr>
                <w:rFonts w:ascii="楷体" w:eastAsia="楷体" w:hAnsi="楷体" w:cs="宋体" w:hint="eastAsia"/>
                <w:spacing w:val="-2"/>
                <w:szCs w:val="21"/>
              </w:rPr>
              <w:t>业绩报酬，仅用于理财产品会计核算，并将扣除“暂估超额业绩报酬”后的理财产品份额净值按照说明书约定向投资者进行披露。理财产品实际的超额业绩报酬以到期日计提核算的数值为准。计算</w:t>
            </w:r>
            <w:proofErr w:type="gramStart"/>
            <w:r>
              <w:rPr>
                <w:rFonts w:ascii="楷体" w:eastAsia="楷体" w:hAnsi="楷体" w:cs="宋体" w:hint="eastAsia"/>
                <w:spacing w:val="-2"/>
                <w:szCs w:val="21"/>
              </w:rPr>
              <w:t>累计年化收益率</w:t>
            </w:r>
            <w:proofErr w:type="gramEnd"/>
            <w:r>
              <w:rPr>
                <w:rFonts w:ascii="楷体" w:eastAsia="楷体" w:hAnsi="楷体" w:cs="宋体" w:hint="eastAsia"/>
                <w:spacing w:val="-2"/>
                <w:szCs w:val="21"/>
              </w:rPr>
              <w:t>和业绩比较基</w:t>
            </w:r>
            <w:r>
              <w:rPr>
                <w:rFonts w:ascii="楷体" w:eastAsia="楷体" w:hAnsi="楷体" w:cs="宋体" w:hint="eastAsia"/>
                <w:spacing w:val="-2"/>
                <w:szCs w:val="21"/>
              </w:rPr>
              <w:lastRenderedPageBreak/>
              <w:t>准时，1年按365日计算。</w:t>
            </w:r>
          </w:p>
          <w:p w:rsidR="00EE3A96" w:rsidRDefault="00EE3A96" w:rsidP="00EE3A96">
            <w:pPr>
              <w:widowControl w:val="0"/>
              <w:ind w:left="59" w:rightChars="35" w:right="77"/>
              <w:jc w:val="both"/>
              <w:rPr>
                <w:rFonts w:ascii="楷体" w:eastAsia="楷体" w:hAnsi="楷体"/>
                <w:kern w:val="2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产品存续</w:t>
            </w:r>
            <w:proofErr w:type="gramStart"/>
            <w:r>
              <w:rPr>
                <w:rFonts w:ascii="楷体" w:eastAsia="楷体" w:hAnsi="楷体" w:cs="宋体" w:hint="eastAsia"/>
                <w:spacing w:val="-2"/>
                <w:szCs w:val="21"/>
              </w:rPr>
              <w:t>期内苏银</w:t>
            </w:r>
            <w:proofErr w:type="gramEnd"/>
            <w:r>
              <w:rPr>
                <w:rFonts w:ascii="楷体" w:eastAsia="楷体" w:hAnsi="楷体" w:cs="宋体" w:hint="eastAsia"/>
                <w:spacing w:val="-2"/>
                <w:szCs w:val="21"/>
              </w:rPr>
              <w:t>理财可对费用进行调整，实际收取费率以管理人公告为准。</w:t>
            </w:r>
            <w:r>
              <w:rPr>
                <w:rFonts w:ascii="楷体" w:eastAsia="楷体" w:hAnsi="楷体" w:cs="宋体" w:hint="eastAsia"/>
                <w:b/>
                <w:spacing w:val="-2"/>
                <w:szCs w:val="21"/>
                <w:u w:val="single"/>
              </w:rPr>
              <w:t>本产品设置有多个份额，各份额按照设置的销售对象和销售起点进行销售，各份额实际收取的销售服务费率和投资管理费率可能存在差异，客户根据产品销售时设置的条件自主选择购买。</w:t>
            </w:r>
          </w:p>
        </w:tc>
      </w:tr>
      <w:tr w:rsidR="00EE3A96" w:rsidTr="00EE3A96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96" w:rsidRDefault="00EE3A96">
            <w:pPr>
              <w:pStyle w:val="TableParagraph"/>
              <w:kinsoku w:val="0"/>
              <w:overflowPunct w:val="0"/>
              <w:spacing w:before="18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lastRenderedPageBreak/>
              <w:t>估值日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96" w:rsidRDefault="00EE3A96" w:rsidP="00EE3A96">
            <w:pPr>
              <w:widowControl w:val="0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每周估值，并于估值日后第2个工作日内，通过本产品说明书约定方式披露产品单位净值。详见产品说明书“九、产品估值”。</w:t>
            </w:r>
          </w:p>
        </w:tc>
      </w:tr>
      <w:tr w:rsidR="00EE3A96" w:rsidTr="00EE3A96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96" w:rsidRDefault="00EE3A96">
            <w:pPr>
              <w:pStyle w:val="TableParagraph"/>
              <w:kinsoku w:val="0"/>
              <w:overflowPunct w:val="0"/>
              <w:spacing w:before="18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信息披露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96" w:rsidRDefault="00EE3A96" w:rsidP="00EE3A96">
            <w:pPr>
              <w:widowControl w:val="0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管理人将按照《产品说明书》中约定的方式进行信息披露，详见产品说明书“十四、信息披露”。</w:t>
            </w:r>
          </w:p>
        </w:tc>
      </w:tr>
      <w:tr w:rsidR="00EE3A96" w:rsidTr="00EE3A96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96" w:rsidRDefault="00EE3A96">
            <w:pPr>
              <w:pStyle w:val="TableParagraph"/>
              <w:kinsoku w:val="0"/>
              <w:overflowPunct w:val="0"/>
              <w:spacing w:before="18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收益分配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96" w:rsidRDefault="00EE3A96" w:rsidP="00EE3A96">
            <w:pPr>
              <w:widowControl w:val="0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>本产品无分红机制，投资运作情况体现为产品净值变化。产品投资运作到期，投资收益扣除相关费用后，全部分配给投资者。详见产品说明书“十、产品的终止与清算”。</w:t>
            </w:r>
          </w:p>
        </w:tc>
      </w:tr>
      <w:tr w:rsidR="00EE3A96" w:rsidTr="00EE3A96">
        <w:trPr>
          <w:trHeight w:val="397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96" w:rsidRDefault="00EE3A96">
            <w:pPr>
              <w:pStyle w:val="TableParagraph"/>
              <w:kinsoku w:val="0"/>
              <w:overflowPunct w:val="0"/>
              <w:spacing w:before="18"/>
              <w:ind w:left="55"/>
              <w:jc w:val="both"/>
              <w:rPr>
                <w:rFonts w:ascii="楷体" w:eastAsia="楷体" w:hAnsi="楷体" w:cs="宋体"/>
                <w:b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b/>
                <w:spacing w:val="-2"/>
                <w:kern w:val="2"/>
                <w:sz w:val="21"/>
                <w:szCs w:val="21"/>
              </w:rPr>
              <w:t>税款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A96" w:rsidRDefault="00EE3A96" w:rsidP="00EE3A96">
            <w:pPr>
              <w:widowControl w:val="0"/>
              <w:ind w:left="59" w:rightChars="35" w:right="77"/>
              <w:jc w:val="both"/>
              <w:rPr>
                <w:rFonts w:ascii="楷体" w:eastAsia="楷体" w:hAnsi="楷体" w:cs="宋体"/>
                <w:spacing w:val="-2"/>
                <w:kern w:val="2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spacing w:val="-2"/>
                <w:szCs w:val="21"/>
              </w:rPr>
              <w:t xml:space="preserve">本产品运作过程中涉及的各纳税主体，其纳税义务按国家税收法律、法规执行。详见产品说明书“十二、税收规定”。 </w:t>
            </w:r>
          </w:p>
        </w:tc>
      </w:tr>
    </w:tbl>
    <w:p w:rsidR="005C0D21" w:rsidRDefault="000B5C2A">
      <w:pPr>
        <w:adjustRightInd/>
        <w:snapToGrid/>
        <w:spacing w:after="0"/>
        <w:ind w:firstLine="630"/>
        <w:jc w:val="center"/>
        <w:rPr>
          <w:rFonts w:ascii="仿宋_GB2312" w:eastAsia="仿宋_GB2312" w:hAnsi="微软雅黑" w:cs="宋体"/>
          <w:color w:val="FF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（更多具体要素请详</w:t>
      </w:r>
      <w:proofErr w:type="gramStart"/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阅产品</w:t>
      </w:r>
      <w:proofErr w:type="gramEnd"/>
      <w:r>
        <w:rPr>
          <w:rFonts w:ascii="仿宋_GB2312" w:eastAsia="仿宋_GB2312" w:hAnsi="微软雅黑" w:cs="宋体" w:hint="eastAsia"/>
          <w:color w:val="FF0000"/>
          <w:sz w:val="32"/>
          <w:szCs w:val="32"/>
        </w:rPr>
        <w:t>说明书）</w:t>
      </w:r>
    </w:p>
    <w:p w:rsidR="005C0D21" w:rsidRDefault="000B5C2A">
      <w:pPr>
        <w:adjustRightInd/>
        <w:snapToGrid/>
        <w:spacing w:after="0"/>
        <w:ind w:firstLineChars="200" w:firstLine="64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注意事项：</w:t>
      </w:r>
    </w:p>
    <w:p w:rsidR="005C0D21" w:rsidRDefault="000B5C2A">
      <w:pPr>
        <w:adjustRightInd/>
        <w:snapToGrid/>
        <w:spacing w:after="0"/>
        <w:ind w:firstLineChars="200" w:firstLine="640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1.该产品销售要求参照我行自营理财销售相关规定执行。</w:t>
      </w:r>
    </w:p>
    <w:p w:rsidR="005C0D21" w:rsidRDefault="000B5C2A">
      <w:pPr>
        <w:adjustRightInd/>
        <w:snapToGrid/>
        <w:spacing w:after="0"/>
        <w:ind w:firstLineChars="200" w:firstLine="64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2.相关产品销售文件见附件。</w:t>
      </w:r>
    </w:p>
    <w:p w:rsidR="005C0D21" w:rsidRDefault="000B5C2A">
      <w:pPr>
        <w:adjustRightInd/>
        <w:snapToGrid/>
        <w:spacing w:after="0"/>
        <w:ind w:firstLineChars="200" w:firstLine="64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3.如有其他未尽事宜以私人银行</w:t>
      </w:r>
      <w:proofErr w:type="gramStart"/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部解释</w:t>
      </w:r>
      <w:proofErr w:type="gramEnd"/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为准。</w:t>
      </w:r>
    </w:p>
    <w:p w:rsidR="005C0D21" w:rsidRDefault="005C0D21">
      <w:pPr>
        <w:adjustRightInd/>
        <w:snapToGrid/>
        <w:spacing w:after="0"/>
        <w:rPr>
          <w:rFonts w:ascii="微软雅黑" w:hAnsi="微软雅黑" w:cs="宋体"/>
          <w:color w:val="000000"/>
          <w:sz w:val="30"/>
          <w:szCs w:val="30"/>
        </w:rPr>
      </w:pPr>
    </w:p>
    <w:p w:rsidR="005C0D21" w:rsidRDefault="000B5C2A">
      <w:pPr>
        <w:adjustRightInd/>
        <w:snapToGrid/>
        <w:spacing w:after="0"/>
        <w:ind w:firstLineChars="200" w:firstLine="64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附件：1.“苏银理财</w:t>
      </w:r>
      <w:r w:rsidR="00D11BD4">
        <w:rPr>
          <w:rFonts w:ascii="仿宋_GB2312" w:eastAsia="仿宋_GB2312" w:hAnsi="微软雅黑" w:cs="宋体" w:hint="eastAsia"/>
          <w:color w:val="000000"/>
          <w:sz w:val="32"/>
          <w:szCs w:val="32"/>
        </w:rPr>
        <w:t>恒源</w:t>
      </w:r>
      <w:r w:rsidR="00EE3A96">
        <w:rPr>
          <w:rFonts w:ascii="仿宋_GB2312" w:eastAsia="仿宋_GB2312" w:hAnsi="微软雅黑" w:cs="宋体" w:hint="eastAsia"/>
          <w:color w:val="000000"/>
          <w:sz w:val="32"/>
          <w:szCs w:val="32"/>
        </w:rPr>
        <w:t>封闭债权113期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”理财产品说明书</w:t>
      </w:r>
    </w:p>
    <w:p w:rsidR="005C0D21" w:rsidRDefault="000B5C2A">
      <w:pPr>
        <w:adjustRightInd/>
        <w:snapToGrid/>
        <w:spacing w:after="0"/>
        <w:ind w:firstLineChars="500" w:firstLine="160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2. 理财产品代理销售协议书、苏银理财有限责任公司理财产品投资协议书</w:t>
      </w:r>
    </w:p>
    <w:p w:rsidR="005C0D21" w:rsidRDefault="000B5C2A">
      <w:pPr>
        <w:adjustRightInd/>
        <w:snapToGrid/>
        <w:spacing w:after="0"/>
        <w:ind w:firstLineChars="500" w:firstLine="160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3.“苏银理财</w:t>
      </w:r>
      <w:r w:rsidR="00D11BD4">
        <w:rPr>
          <w:rFonts w:ascii="仿宋_GB2312" w:eastAsia="仿宋_GB2312" w:hAnsi="微软雅黑" w:cs="宋体" w:hint="eastAsia"/>
          <w:color w:val="000000"/>
          <w:sz w:val="32"/>
          <w:szCs w:val="32"/>
        </w:rPr>
        <w:t>恒源</w:t>
      </w:r>
      <w:r w:rsidR="00EE3A96">
        <w:rPr>
          <w:rFonts w:ascii="仿宋_GB2312" w:eastAsia="仿宋_GB2312" w:hAnsi="微软雅黑" w:cs="宋体" w:hint="eastAsia"/>
          <w:color w:val="000000"/>
          <w:sz w:val="32"/>
          <w:szCs w:val="32"/>
        </w:rPr>
        <w:t>封闭债权113期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”理财产品风险揭示书</w:t>
      </w:r>
    </w:p>
    <w:p w:rsidR="005C0D21" w:rsidRDefault="000B5C2A">
      <w:pPr>
        <w:adjustRightInd/>
        <w:snapToGrid/>
        <w:spacing w:after="0"/>
        <w:ind w:firstLineChars="500" w:firstLine="160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4.苏银理财有限责任公司投资者权益须知</w:t>
      </w:r>
    </w:p>
    <w:p w:rsidR="005C0D21" w:rsidRDefault="000B5C2A">
      <w:pPr>
        <w:adjustRightInd/>
        <w:snapToGrid/>
        <w:spacing w:after="0"/>
        <w:ind w:firstLineChars="500" w:firstLine="1600"/>
        <w:rPr>
          <w:rFonts w:ascii="仿宋_GB2312" w:eastAsia="仿宋_GB2312" w:hAnsi="微软雅黑" w:cs="宋体"/>
          <w:color w:val="000000"/>
          <w:sz w:val="32"/>
          <w:szCs w:val="32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5. 风险承受能力评估表</w:t>
      </w:r>
    </w:p>
    <w:p w:rsidR="005C0D21" w:rsidRDefault="005C0D21">
      <w:pPr>
        <w:adjustRightInd/>
        <w:snapToGrid/>
        <w:spacing w:after="0"/>
        <w:ind w:firstLine="645"/>
        <w:rPr>
          <w:rFonts w:ascii="微软雅黑" w:hAnsi="微软雅黑" w:cs="宋体"/>
          <w:color w:val="000000"/>
          <w:sz w:val="30"/>
          <w:szCs w:val="30"/>
        </w:rPr>
      </w:pPr>
    </w:p>
    <w:p w:rsidR="005C0D21" w:rsidRDefault="000B5C2A">
      <w:pPr>
        <w:adjustRightInd/>
        <w:snapToGrid/>
        <w:spacing w:after="0"/>
        <w:ind w:firstLine="5760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私人银行部</w:t>
      </w:r>
    </w:p>
    <w:p w:rsidR="005C0D21" w:rsidRDefault="000B5C2A">
      <w:pPr>
        <w:adjustRightInd/>
        <w:snapToGrid/>
        <w:spacing w:after="0"/>
        <w:ind w:firstLine="5445"/>
      </w:pP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202</w:t>
      </w:r>
      <w:r w:rsidR="001F3153">
        <w:rPr>
          <w:rFonts w:ascii="仿宋_GB2312" w:eastAsia="仿宋_GB2312" w:hAnsi="微软雅黑" w:cs="宋体" w:hint="eastAsia"/>
          <w:color w:val="000000"/>
          <w:sz w:val="32"/>
          <w:szCs w:val="32"/>
        </w:rPr>
        <w:t>4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年</w:t>
      </w:r>
      <w:r w:rsidR="00095294">
        <w:rPr>
          <w:rFonts w:ascii="仿宋_GB2312" w:eastAsia="仿宋_GB2312" w:hAnsi="微软雅黑" w:cs="宋体" w:hint="eastAsia"/>
          <w:color w:val="000000"/>
          <w:sz w:val="32"/>
          <w:szCs w:val="32"/>
        </w:rPr>
        <w:t>4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月</w:t>
      </w:r>
      <w:r w:rsidR="00EE3A96">
        <w:rPr>
          <w:rFonts w:ascii="仿宋_GB2312" w:eastAsia="仿宋_GB2312" w:hAnsi="微软雅黑" w:cs="宋体" w:hint="eastAsia"/>
          <w:color w:val="000000"/>
          <w:sz w:val="32"/>
          <w:szCs w:val="32"/>
        </w:rPr>
        <w:t>19</w:t>
      </w:r>
      <w:r>
        <w:rPr>
          <w:rFonts w:ascii="仿宋_GB2312" w:eastAsia="仿宋_GB2312" w:hAnsi="微软雅黑" w:cs="宋体" w:hint="eastAsia"/>
          <w:color w:val="000000"/>
          <w:sz w:val="32"/>
          <w:szCs w:val="32"/>
        </w:rPr>
        <w:t>日</w:t>
      </w:r>
    </w:p>
    <w:sectPr w:rsidR="005C0D21" w:rsidSect="005C0D21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compat>
    <w:useFELayout/>
  </w:compat>
  <w:rsids>
    <w:rsidRoot w:val="00D31D50"/>
    <w:rsid w:val="00002A13"/>
    <w:rsid w:val="00014D89"/>
    <w:rsid w:val="0002233E"/>
    <w:rsid w:val="00025736"/>
    <w:rsid w:val="00030E86"/>
    <w:rsid w:val="000430CA"/>
    <w:rsid w:val="00050465"/>
    <w:rsid w:val="000547BB"/>
    <w:rsid w:val="000618D3"/>
    <w:rsid w:val="0006322B"/>
    <w:rsid w:val="0006327A"/>
    <w:rsid w:val="000729EB"/>
    <w:rsid w:val="00074AD2"/>
    <w:rsid w:val="000812F4"/>
    <w:rsid w:val="000936F7"/>
    <w:rsid w:val="00095294"/>
    <w:rsid w:val="000957AC"/>
    <w:rsid w:val="000A5028"/>
    <w:rsid w:val="000A7695"/>
    <w:rsid w:val="000B5C2A"/>
    <w:rsid w:val="000D30E3"/>
    <w:rsid w:val="000D3348"/>
    <w:rsid w:val="000E18A2"/>
    <w:rsid w:val="000E1FA9"/>
    <w:rsid w:val="000E7543"/>
    <w:rsid w:val="0010440D"/>
    <w:rsid w:val="00110B5C"/>
    <w:rsid w:val="00113224"/>
    <w:rsid w:val="001157D7"/>
    <w:rsid w:val="001225F8"/>
    <w:rsid w:val="00134BE7"/>
    <w:rsid w:val="00152D94"/>
    <w:rsid w:val="00156217"/>
    <w:rsid w:val="00157799"/>
    <w:rsid w:val="0016069B"/>
    <w:rsid w:val="00160908"/>
    <w:rsid w:val="00170032"/>
    <w:rsid w:val="00174CF3"/>
    <w:rsid w:val="00174FC8"/>
    <w:rsid w:val="001810F6"/>
    <w:rsid w:val="00182785"/>
    <w:rsid w:val="00190048"/>
    <w:rsid w:val="00194C32"/>
    <w:rsid w:val="00196E1B"/>
    <w:rsid w:val="001A32AD"/>
    <w:rsid w:val="001A556D"/>
    <w:rsid w:val="001B2273"/>
    <w:rsid w:val="001D3092"/>
    <w:rsid w:val="001D40A6"/>
    <w:rsid w:val="001F3153"/>
    <w:rsid w:val="001F72B5"/>
    <w:rsid w:val="00201E20"/>
    <w:rsid w:val="00206F8F"/>
    <w:rsid w:val="00207F97"/>
    <w:rsid w:val="00214CF7"/>
    <w:rsid w:val="00216E71"/>
    <w:rsid w:val="002235BC"/>
    <w:rsid w:val="00233CED"/>
    <w:rsid w:val="00236FDA"/>
    <w:rsid w:val="00244EE2"/>
    <w:rsid w:val="002463C9"/>
    <w:rsid w:val="002513BD"/>
    <w:rsid w:val="00257856"/>
    <w:rsid w:val="00277323"/>
    <w:rsid w:val="002777A1"/>
    <w:rsid w:val="00283408"/>
    <w:rsid w:val="0028525D"/>
    <w:rsid w:val="002866F6"/>
    <w:rsid w:val="0029028F"/>
    <w:rsid w:val="002A3E43"/>
    <w:rsid w:val="002B1948"/>
    <w:rsid w:val="002C122F"/>
    <w:rsid w:val="002C248B"/>
    <w:rsid w:val="002C70E5"/>
    <w:rsid w:val="002D757D"/>
    <w:rsid w:val="002D7671"/>
    <w:rsid w:val="002E2A41"/>
    <w:rsid w:val="002E3ECB"/>
    <w:rsid w:val="002E7145"/>
    <w:rsid w:val="002F00B3"/>
    <w:rsid w:val="002F02FE"/>
    <w:rsid w:val="002F07C0"/>
    <w:rsid w:val="003059D5"/>
    <w:rsid w:val="00307AFA"/>
    <w:rsid w:val="00320D56"/>
    <w:rsid w:val="00322F4C"/>
    <w:rsid w:val="00323B43"/>
    <w:rsid w:val="00335FBE"/>
    <w:rsid w:val="003447B3"/>
    <w:rsid w:val="00347193"/>
    <w:rsid w:val="003476A4"/>
    <w:rsid w:val="00353BA9"/>
    <w:rsid w:val="00355E21"/>
    <w:rsid w:val="00357EB7"/>
    <w:rsid w:val="00361A72"/>
    <w:rsid w:val="00363805"/>
    <w:rsid w:val="00374AE2"/>
    <w:rsid w:val="00386CE1"/>
    <w:rsid w:val="00393219"/>
    <w:rsid w:val="003936A4"/>
    <w:rsid w:val="003936B9"/>
    <w:rsid w:val="003A15E6"/>
    <w:rsid w:val="003C0D6B"/>
    <w:rsid w:val="003C1D41"/>
    <w:rsid w:val="003C2C03"/>
    <w:rsid w:val="003D37D8"/>
    <w:rsid w:val="003D4715"/>
    <w:rsid w:val="003D710A"/>
    <w:rsid w:val="003E2BFC"/>
    <w:rsid w:val="003E5A9F"/>
    <w:rsid w:val="003F70AB"/>
    <w:rsid w:val="00410A33"/>
    <w:rsid w:val="00422AD1"/>
    <w:rsid w:val="00424A38"/>
    <w:rsid w:val="00426133"/>
    <w:rsid w:val="004349C0"/>
    <w:rsid w:val="004358AB"/>
    <w:rsid w:val="00443E90"/>
    <w:rsid w:val="00450005"/>
    <w:rsid w:val="00450C77"/>
    <w:rsid w:val="0045680A"/>
    <w:rsid w:val="00471A3B"/>
    <w:rsid w:val="004749F0"/>
    <w:rsid w:val="00476C3B"/>
    <w:rsid w:val="0047785F"/>
    <w:rsid w:val="0049140E"/>
    <w:rsid w:val="00496E4F"/>
    <w:rsid w:val="004B4CFA"/>
    <w:rsid w:val="004C175A"/>
    <w:rsid w:val="004C7CF2"/>
    <w:rsid w:val="004F0CCD"/>
    <w:rsid w:val="00510995"/>
    <w:rsid w:val="005168C5"/>
    <w:rsid w:val="005218F6"/>
    <w:rsid w:val="00523BDD"/>
    <w:rsid w:val="0052515C"/>
    <w:rsid w:val="00530F2D"/>
    <w:rsid w:val="0053663D"/>
    <w:rsid w:val="00536DF2"/>
    <w:rsid w:val="00537BF8"/>
    <w:rsid w:val="00540DC7"/>
    <w:rsid w:val="00543584"/>
    <w:rsid w:val="00543782"/>
    <w:rsid w:val="0055369F"/>
    <w:rsid w:val="0055709E"/>
    <w:rsid w:val="00566993"/>
    <w:rsid w:val="00566C07"/>
    <w:rsid w:val="00570005"/>
    <w:rsid w:val="005873AF"/>
    <w:rsid w:val="005A6CFB"/>
    <w:rsid w:val="005A7A21"/>
    <w:rsid w:val="005B1774"/>
    <w:rsid w:val="005B45CF"/>
    <w:rsid w:val="005C0D21"/>
    <w:rsid w:val="005C155D"/>
    <w:rsid w:val="005C31E9"/>
    <w:rsid w:val="005C4206"/>
    <w:rsid w:val="005C5781"/>
    <w:rsid w:val="005D072F"/>
    <w:rsid w:val="005D0DEE"/>
    <w:rsid w:val="005F2B78"/>
    <w:rsid w:val="00606205"/>
    <w:rsid w:val="00607358"/>
    <w:rsid w:val="00607EC0"/>
    <w:rsid w:val="00610019"/>
    <w:rsid w:val="006110FC"/>
    <w:rsid w:val="00611544"/>
    <w:rsid w:val="006128D5"/>
    <w:rsid w:val="006148C9"/>
    <w:rsid w:val="0061606F"/>
    <w:rsid w:val="00620A17"/>
    <w:rsid w:val="006214F4"/>
    <w:rsid w:val="006648D9"/>
    <w:rsid w:val="00677D5A"/>
    <w:rsid w:val="006919F0"/>
    <w:rsid w:val="006A1D72"/>
    <w:rsid w:val="006C44CC"/>
    <w:rsid w:val="006E08D8"/>
    <w:rsid w:val="006F04BE"/>
    <w:rsid w:val="006F7856"/>
    <w:rsid w:val="00701C74"/>
    <w:rsid w:val="0070239F"/>
    <w:rsid w:val="00702508"/>
    <w:rsid w:val="007121C4"/>
    <w:rsid w:val="00714B02"/>
    <w:rsid w:val="007248B8"/>
    <w:rsid w:val="00727337"/>
    <w:rsid w:val="0073205A"/>
    <w:rsid w:val="00732B85"/>
    <w:rsid w:val="00740E8C"/>
    <w:rsid w:val="00741563"/>
    <w:rsid w:val="007471D4"/>
    <w:rsid w:val="00747E0A"/>
    <w:rsid w:val="00761130"/>
    <w:rsid w:val="007675CD"/>
    <w:rsid w:val="007745AD"/>
    <w:rsid w:val="00783419"/>
    <w:rsid w:val="00785657"/>
    <w:rsid w:val="007865C9"/>
    <w:rsid w:val="007873F2"/>
    <w:rsid w:val="00793A91"/>
    <w:rsid w:val="00796629"/>
    <w:rsid w:val="007A6260"/>
    <w:rsid w:val="007C416B"/>
    <w:rsid w:val="007C44C4"/>
    <w:rsid w:val="007D0528"/>
    <w:rsid w:val="007D35F2"/>
    <w:rsid w:val="007D3BB9"/>
    <w:rsid w:val="007D6855"/>
    <w:rsid w:val="008201C5"/>
    <w:rsid w:val="00827FB9"/>
    <w:rsid w:val="008445DB"/>
    <w:rsid w:val="008450A8"/>
    <w:rsid w:val="008507C0"/>
    <w:rsid w:val="0085497C"/>
    <w:rsid w:val="00854BCB"/>
    <w:rsid w:val="0086092D"/>
    <w:rsid w:val="00862981"/>
    <w:rsid w:val="00867E9B"/>
    <w:rsid w:val="00884835"/>
    <w:rsid w:val="008930CD"/>
    <w:rsid w:val="00893277"/>
    <w:rsid w:val="00894AA0"/>
    <w:rsid w:val="00895EEF"/>
    <w:rsid w:val="00896D1C"/>
    <w:rsid w:val="008972C8"/>
    <w:rsid w:val="00897920"/>
    <w:rsid w:val="008A6AC1"/>
    <w:rsid w:val="008B008A"/>
    <w:rsid w:val="008B4334"/>
    <w:rsid w:val="008B450C"/>
    <w:rsid w:val="008B4E39"/>
    <w:rsid w:val="008B6523"/>
    <w:rsid w:val="008B7726"/>
    <w:rsid w:val="008C49E6"/>
    <w:rsid w:val="008D4402"/>
    <w:rsid w:val="008F2B7A"/>
    <w:rsid w:val="008F3B9E"/>
    <w:rsid w:val="008F7CA5"/>
    <w:rsid w:val="00903E35"/>
    <w:rsid w:val="00906053"/>
    <w:rsid w:val="00911DE1"/>
    <w:rsid w:val="00916AFD"/>
    <w:rsid w:val="0094064E"/>
    <w:rsid w:val="00951BFC"/>
    <w:rsid w:val="00953E58"/>
    <w:rsid w:val="00954AA4"/>
    <w:rsid w:val="0096633A"/>
    <w:rsid w:val="0096677C"/>
    <w:rsid w:val="00971266"/>
    <w:rsid w:val="00975280"/>
    <w:rsid w:val="00986A17"/>
    <w:rsid w:val="00986ED0"/>
    <w:rsid w:val="00996AC4"/>
    <w:rsid w:val="009A5FF7"/>
    <w:rsid w:val="009A6871"/>
    <w:rsid w:val="009B21F1"/>
    <w:rsid w:val="009B2786"/>
    <w:rsid w:val="009B2C38"/>
    <w:rsid w:val="009D1D85"/>
    <w:rsid w:val="009D5A75"/>
    <w:rsid w:val="009E16F2"/>
    <w:rsid w:val="009E18E4"/>
    <w:rsid w:val="009F7C7A"/>
    <w:rsid w:val="00A01DF4"/>
    <w:rsid w:val="00A215C9"/>
    <w:rsid w:val="00A30CF8"/>
    <w:rsid w:val="00A4169B"/>
    <w:rsid w:val="00A54155"/>
    <w:rsid w:val="00A65280"/>
    <w:rsid w:val="00A6775F"/>
    <w:rsid w:val="00A7707D"/>
    <w:rsid w:val="00A838DC"/>
    <w:rsid w:val="00A84AE0"/>
    <w:rsid w:val="00A9135E"/>
    <w:rsid w:val="00A9294C"/>
    <w:rsid w:val="00AA23FA"/>
    <w:rsid w:val="00AB14BA"/>
    <w:rsid w:val="00AB4B2F"/>
    <w:rsid w:val="00AB6BA4"/>
    <w:rsid w:val="00AC33B2"/>
    <w:rsid w:val="00AC6774"/>
    <w:rsid w:val="00AD4C9C"/>
    <w:rsid w:val="00AE0AF2"/>
    <w:rsid w:val="00AE42D4"/>
    <w:rsid w:val="00AE6487"/>
    <w:rsid w:val="00B01B88"/>
    <w:rsid w:val="00B02F94"/>
    <w:rsid w:val="00B126A7"/>
    <w:rsid w:val="00B17CEE"/>
    <w:rsid w:val="00B20784"/>
    <w:rsid w:val="00B21220"/>
    <w:rsid w:val="00B22801"/>
    <w:rsid w:val="00B24A4C"/>
    <w:rsid w:val="00B252B4"/>
    <w:rsid w:val="00B27E33"/>
    <w:rsid w:val="00B33E38"/>
    <w:rsid w:val="00B4326E"/>
    <w:rsid w:val="00B73A10"/>
    <w:rsid w:val="00B86723"/>
    <w:rsid w:val="00B941A3"/>
    <w:rsid w:val="00B941AB"/>
    <w:rsid w:val="00B974A9"/>
    <w:rsid w:val="00BA2412"/>
    <w:rsid w:val="00BA7C4A"/>
    <w:rsid w:val="00BB0278"/>
    <w:rsid w:val="00BB554B"/>
    <w:rsid w:val="00C00041"/>
    <w:rsid w:val="00C0423C"/>
    <w:rsid w:val="00C07A9F"/>
    <w:rsid w:val="00C15704"/>
    <w:rsid w:val="00C17395"/>
    <w:rsid w:val="00C23A87"/>
    <w:rsid w:val="00C344A1"/>
    <w:rsid w:val="00C468C3"/>
    <w:rsid w:val="00C50931"/>
    <w:rsid w:val="00C60359"/>
    <w:rsid w:val="00C61324"/>
    <w:rsid w:val="00C63EDB"/>
    <w:rsid w:val="00C66A8C"/>
    <w:rsid w:val="00C71423"/>
    <w:rsid w:val="00C77D66"/>
    <w:rsid w:val="00C849D4"/>
    <w:rsid w:val="00C858B2"/>
    <w:rsid w:val="00CA5843"/>
    <w:rsid w:val="00CA70DD"/>
    <w:rsid w:val="00CB16FF"/>
    <w:rsid w:val="00CB29BA"/>
    <w:rsid w:val="00CB2A01"/>
    <w:rsid w:val="00CB39C9"/>
    <w:rsid w:val="00CD21BA"/>
    <w:rsid w:val="00CD328F"/>
    <w:rsid w:val="00CD4295"/>
    <w:rsid w:val="00CD4F0F"/>
    <w:rsid w:val="00CD5295"/>
    <w:rsid w:val="00CD74BD"/>
    <w:rsid w:val="00CE0BFB"/>
    <w:rsid w:val="00CE0C36"/>
    <w:rsid w:val="00CE2CE5"/>
    <w:rsid w:val="00CF5224"/>
    <w:rsid w:val="00D0319E"/>
    <w:rsid w:val="00D10241"/>
    <w:rsid w:val="00D11BD4"/>
    <w:rsid w:val="00D30D95"/>
    <w:rsid w:val="00D31D50"/>
    <w:rsid w:val="00D33751"/>
    <w:rsid w:val="00D34922"/>
    <w:rsid w:val="00D35072"/>
    <w:rsid w:val="00D37D23"/>
    <w:rsid w:val="00D42DFD"/>
    <w:rsid w:val="00D4593C"/>
    <w:rsid w:val="00D476F9"/>
    <w:rsid w:val="00D51249"/>
    <w:rsid w:val="00D5218E"/>
    <w:rsid w:val="00D5491D"/>
    <w:rsid w:val="00D54FDC"/>
    <w:rsid w:val="00D57471"/>
    <w:rsid w:val="00D67754"/>
    <w:rsid w:val="00D7627A"/>
    <w:rsid w:val="00D763B7"/>
    <w:rsid w:val="00D8428B"/>
    <w:rsid w:val="00D92419"/>
    <w:rsid w:val="00DA20C2"/>
    <w:rsid w:val="00DA521E"/>
    <w:rsid w:val="00DA6344"/>
    <w:rsid w:val="00DB1998"/>
    <w:rsid w:val="00DB267C"/>
    <w:rsid w:val="00DC08E6"/>
    <w:rsid w:val="00DC09A0"/>
    <w:rsid w:val="00DC1A5A"/>
    <w:rsid w:val="00DC23CA"/>
    <w:rsid w:val="00DD1E41"/>
    <w:rsid w:val="00DD52AA"/>
    <w:rsid w:val="00DE103B"/>
    <w:rsid w:val="00DE145A"/>
    <w:rsid w:val="00DE39B7"/>
    <w:rsid w:val="00DF6EDD"/>
    <w:rsid w:val="00DF7361"/>
    <w:rsid w:val="00DF7E82"/>
    <w:rsid w:val="00E05633"/>
    <w:rsid w:val="00E210A0"/>
    <w:rsid w:val="00E328E5"/>
    <w:rsid w:val="00E342C9"/>
    <w:rsid w:val="00E42E54"/>
    <w:rsid w:val="00E4437E"/>
    <w:rsid w:val="00E51943"/>
    <w:rsid w:val="00E545D0"/>
    <w:rsid w:val="00E65FB9"/>
    <w:rsid w:val="00E73BDD"/>
    <w:rsid w:val="00E74D03"/>
    <w:rsid w:val="00E773E2"/>
    <w:rsid w:val="00E774C6"/>
    <w:rsid w:val="00E775F8"/>
    <w:rsid w:val="00E807D3"/>
    <w:rsid w:val="00E85118"/>
    <w:rsid w:val="00E85459"/>
    <w:rsid w:val="00E86AD3"/>
    <w:rsid w:val="00EA1489"/>
    <w:rsid w:val="00EA2655"/>
    <w:rsid w:val="00EB3586"/>
    <w:rsid w:val="00EC780B"/>
    <w:rsid w:val="00ED576C"/>
    <w:rsid w:val="00EE0CF8"/>
    <w:rsid w:val="00EE3A96"/>
    <w:rsid w:val="00EE50F7"/>
    <w:rsid w:val="00EF297D"/>
    <w:rsid w:val="00EF76FE"/>
    <w:rsid w:val="00F04234"/>
    <w:rsid w:val="00F047DC"/>
    <w:rsid w:val="00F070F5"/>
    <w:rsid w:val="00F11CB2"/>
    <w:rsid w:val="00F20187"/>
    <w:rsid w:val="00F21AAA"/>
    <w:rsid w:val="00F21F5B"/>
    <w:rsid w:val="00F234C6"/>
    <w:rsid w:val="00F24E77"/>
    <w:rsid w:val="00F24FA8"/>
    <w:rsid w:val="00F474DE"/>
    <w:rsid w:val="00F634A7"/>
    <w:rsid w:val="00F7443F"/>
    <w:rsid w:val="00F805F0"/>
    <w:rsid w:val="00F825A1"/>
    <w:rsid w:val="00F9041B"/>
    <w:rsid w:val="00F94E57"/>
    <w:rsid w:val="00F957A8"/>
    <w:rsid w:val="00F96EC9"/>
    <w:rsid w:val="00FA233C"/>
    <w:rsid w:val="00FA5448"/>
    <w:rsid w:val="00FA792A"/>
    <w:rsid w:val="00FB04F3"/>
    <w:rsid w:val="00FB07AF"/>
    <w:rsid w:val="00FB39AB"/>
    <w:rsid w:val="00FC1CBF"/>
    <w:rsid w:val="00FC73A4"/>
    <w:rsid w:val="00FD35EB"/>
    <w:rsid w:val="00FE0475"/>
    <w:rsid w:val="00FF00D9"/>
    <w:rsid w:val="00FF24E9"/>
    <w:rsid w:val="09FF56E8"/>
    <w:rsid w:val="11E470A0"/>
    <w:rsid w:val="1C4E296B"/>
    <w:rsid w:val="37D92952"/>
    <w:rsid w:val="437A0EFD"/>
    <w:rsid w:val="52C1180B"/>
    <w:rsid w:val="569A1942"/>
    <w:rsid w:val="573E6F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86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D21"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5C0D21"/>
    <w:pPr>
      <w:spacing w:after="0"/>
    </w:pPr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C0D21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5C0D21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qFormat/>
    <w:rsid w:val="005C0D21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styleId="a7">
    <w:name w:val="Strong"/>
    <w:basedOn w:val="a0"/>
    <w:uiPriority w:val="22"/>
    <w:qFormat/>
    <w:rsid w:val="005C0D21"/>
    <w:rPr>
      <w:b/>
      <w:bCs/>
    </w:rPr>
  </w:style>
  <w:style w:type="character" w:styleId="a8">
    <w:name w:val="Hyperlink"/>
    <w:basedOn w:val="a0"/>
    <w:uiPriority w:val="99"/>
    <w:semiHidden/>
    <w:unhideWhenUsed/>
    <w:rsid w:val="005C0D21"/>
    <w:rPr>
      <w:color w:val="0000FF"/>
      <w:u w:val="single"/>
    </w:rPr>
  </w:style>
  <w:style w:type="character" w:customStyle="1" w:styleId="Char1">
    <w:name w:val="页眉 Char"/>
    <w:basedOn w:val="a0"/>
    <w:link w:val="a5"/>
    <w:uiPriority w:val="99"/>
    <w:qFormat/>
    <w:rsid w:val="005C0D21"/>
    <w:rPr>
      <w:rFonts w:ascii="Tahoma" w:hAnsi="Tahoma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5C0D21"/>
    <w:rPr>
      <w:rFonts w:ascii="Tahoma" w:hAnsi="Tahoma"/>
      <w:sz w:val="18"/>
      <w:szCs w:val="18"/>
    </w:rPr>
  </w:style>
  <w:style w:type="character" w:customStyle="1" w:styleId="apple-converted-space">
    <w:name w:val="apple-converted-space"/>
    <w:basedOn w:val="a0"/>
    <w:qFormat/>
    <w:rsid w:val="005C0D21"/>
  </w:style>
  <w:style w:type="character" w:customStyle="1" w:styleId="Char">
    <w:name w:val="批注框文本 Char"/>
    <w:basedOn w:val="a0"/>
    <w:link w:val="a3"/>
    <w:uiPriority w:val="99"/>
    <w:semiHidden/>
    <w:rsid w:val="005C0D21"/>
    <w:rPr>
      <w:rFonts w:ascii="Tahoma" w:hAnsi="Tahoma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5C0D21"/>
    <w:pPr>
      <w:widowControl w:val="0"/>
      <w:autoSpaceDE w:val="0"/>
      <w:autoSpaceDN w:val="0"/>
      <w:snapToGrid/>
      <w:spacing w:after="0"/>
    </w:pPr>
    <w:rPr>
      <w:rFonts w:ascii="Times New Roman" w:eastAsia="宋体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8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1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5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0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9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8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2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7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0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3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7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9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9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4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0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7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9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9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9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3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5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8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7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1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3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0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0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6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1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674</TotalTime>
  <Pages>3</Pages>
  <Words>394</Words>
  <Characters>2251</Characters>
  <Application>Microsoft Office Word</Application>
  <DocSecurity>0</DocSecurity>
  <Lines>18</Lines>
  <Paragraphs>5</Paragraphs>
  <ScaleCrop>false</ScaleCrop>
  <Company/>
  <LinksUpToDate>false</LinksUpToDate>
  <CharactersWithSpaces>2640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未定义</cp:lastModifiedBy>
  <cp:revision>370</cp:revision>
  <cp:lastPrinted>2021-06-03T04:20:00Z</cp:lastPrinted>
  <dcterms:created xsi:type="dcterms:W3CDTF">2008-09-11T17:20:00Z</dcterms:created>
  <dcterms:modified xsi:type="dcterms:W3CDTF">2024-04-17T08:26:00Z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