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b/>
          <w:bCs/>
          <w:kern w:val="0"/>
          <w:sz w:val="24"/>
          <w:szCs w:val="24"/>
        </w:rPr>
      </w:pPr>
      <w:r>
        <w:rPr>
          <w:rFonts w:hint="eastAsia"/>
          <w:b/>
          <w:bCs/>
          <w:kern w:val="0"/>
          <w:sz w:val="24"/>
          <w:szCs w:val="24"/>
        </w:rPr>
        <w:t>理财产品风险揭示书</w:t>
      </w:r>
    </w:p>
    <w:p>
      <w:pPr>
        <w:spacing w:line="0" w:lineRule="atLeast"/>
        <w:jc w:val="center"/>
        <w:rPr>
          <w:color w:val="3D3D3D"/>
          <w:kern w:val="0"/>
          <w:sz w:val="18"/>
          <w:szCs w:val="18"/>
        </w:rPr>
      </w:pPr>
      <w:r>
        <w:rPr>
          <w:b/>
          <w:bCs/>
          <w:i/>
          <w:iCs/>
          <w:kern w:val="0"/>
          <w:sz w:val="24"/>
          <w:szCs w:val="24"/>
          <w:u w:val="single"/>
        </w:rPr>
        <w:t>“</w:t>
      </w:r>
      <w:r>
        <w:rPr>
          <w:rFonts w:hint="eastAsia"/>
          <w:b/>
          <w:bCs/>
          <w:i/>
          <w:iCs/>
          <w:kern w:val="0"/>
          <w:sz w:val="24"/>
          <w:szCs w:val="24"/>
          <w:u w:val="single"/>
        </w:rPr>
        <w:t>理财非存款、产品有风险、投资须谨慎</w:t>
      </w:r>
      <w:r>
        <w:rPr>
          <w:b/>
          <w:bCs/>
          <w:i/>
          <w:iCs/>
          <w:kern w:val="0"/>
          <w:sz w:val="24"/>
          <w:szCs w:val="24"/>
          <w:u w:val="single"/>
        </w:rPr>
        <w:t>”</w:t>
      </w:r>
      <w:r>
        <w:rPr>
          <w:rFonts w:hint="eastAsia"/>
          <w:b/>
          <w:bCs/>
          <w:i/>
          <w:iCs/>
          <w:kern w:val="0"/>
          <w:sz w:val="24"/>
          <w:szCs w:val="24"/>
          <w:u w:val="single"/>
        </w:rPr>
        <w:t>！</w:t>
      </w:r>
    </w:p>
    <w:p>
      <w:pPr>
        <w:widowControl/>
        <w:spacing w:line="200" w:lineRule="exact"/>
        <w:ind w:firstLine="261" w:firstLineChars="200"/>
        <w:rPr>
          <w:b/>
          <w:color w:val="3D3D3D"/>
          <w:kern w:val="0"/>
          <w:sz w:val="13"/>
          <w:szCs w:val="13"/>
        </w:rPr>
      </w:pPr>
      <w:r>
        <w:rPr>
          <w:rFonts w:hint="eastAsia"/>
          <w:b/>
          <w:color w:val="3D3D3D"/>
          <w:kern w:val="0"/>
          <w:sz w:val="13"/>
          <w:szCs w:val="13"/>
        </w:rPr>
        <w:t>本理财产品是</w:t>
      </w:r>
      <w:r>
        <w:rPr>
          <w:rFonts w:hint="eastAsia"/>
          <w:b/>
          <w:i/>
          <w:iCs/>
          <w:color w:val="3D3D3D"/>
          <w:kern w:val="0"/>
          <w:sz w:val="20"/>
          <w:szCs w:val="20"/>
          <w:u w:val="single"/>
        </w:rPr>
        <w:t>封闭式、固定收益类、公募、净值型</w:t>
      </w:r>
      <w:r>
        <w:rPr>
          <w:rFonts w:hint="eastAsia"/>
          <w:b/>
          <w:color w:val="3D3D3D"/>
          <w:kern w:val="0"/>
          <w:sz w:val="13"/>
          <w:szCs w:val="13"/>
        </w:rPr>
        <w:t>理财产品，</w:t>
      </w:r>
      <w:r>
        <w:rPr>
          <w:rFonts w:hint="eastAsia"/>
          <w:b/>
          <w:i/>
          <w:iCs/>
          <w:color w:val="3D3D3D"/>
          <w:kern w:val="0"/>
          <w:sz w:val="20"/>
          <w:szCs w:val="20"/>
          <w:u w:val="single"/>
        </w:rPr>
        <w:t>不保证本金和收益</w:t>
      </w:r>
      <w:r>
        <w:rPr>
          <w:rFonts w:hint="eastAsia"/>
          <w:b/>
          <w:color w:val="3D3D3D"/>
          <w:kern w:val="0"/>
          <w:sz w:val="13"/>
          <w:szCs w:val="13"/>
        </w:rPr>
        <w:t>，您（以下或称为</w:t>
      </w:r>
      <w:r>
        <w:rPr>
          <w:b/>
          <w:color w:val="3D3D3D"/>
          <w:kern w:val="0"/>
          <w:sz w:val="13"/>
          <w:szCs w:val="13"/>
        </w:rPr>
        <w:t>“</w:t>
      </w:r>
      <w:r>
        <w:rPr>
          <w:rFonts w:hint="eastAsia"/>
          <w:b/>
          <w:color w:val="3D3D3D"/>
          <w:kern w:val="0"/>
          <w:sz w:val="13"/>
          <w:szCs w:val="13"/>
        </w:rPr>
        <w:t>投资者</w:t>
      </w:r>
      <w:r>
        <w:rPr>
          <w:b/>
          <w:color w:val="3D3D3D"/>
          <w:kern w:val="0"/>
          <w:sz w:val="13"/>
          <w:szCs w:val="13"/>
        </w:rPr>
        <w:t>”</w:t>
      </w:r>
      <w:r>
        <w:rPr>
          <w:rFonts w:hint="eastAsia"/>
          <w:b/>
          <w:color w:val="3D3D3D"/>
          <w:kern w:val="0"/>
          <w:sz w:val="13"/>
          <w:szCs w:val="13"/>
        </w:rPr>
        <w:t>）的本金与收益可能会蒙受全部或部分损失，在您选择购买本理财产品前，您应仔细阅读对应期次的《理财产品风险揭示书》《理财产品说明书》《投资者权益须知》《理财产品销售协议书》和《理财产品投资协议书》（以下合称</w:t>
      </w:r>
      <w:r>
        <w:rPr>
          <w:b/>
          <w:color w:val="3D3D3D"/>
          <w:kern w:val="0"/>
          <w:sz w:val="13"/>
          <w:szCs w:val="13"/>
        </w:rPr>
        <w:t>“</w:t>
      </w:r>
      <w:r>
        <w:rPr>
          <w:rFonts w:hint="eastAsia"/>
          <w:b/>
          <w:color w:val="3D3D3D"/>
          <w:kern w:val="0"/>
          <w:sz w:val="13"/>
          <w:szCs w:val="13"/>
        </w:rPr>
        <w:t>理财产品销售文件</w:t>
      </w:r>
      <w:r>
        <w:rPr>
          <w:b/>
          <w:color w:val="3D3D3D"/>
          <w:kern w:val="0"/>
          <w:sz w:val="13"/>
          <w:szCs w:val="13"/>
        </w:rPr>
        <w:t>”</w:t>
      </w:r>
      <w:r>
        <w:rPr>
          <w:rFonts w:hint="eastAsia"/>
          <w:b/>
          <w:color w:val="3D3D3D"/>
          <w:kern w:val="0"/>
          <w:sz w:val="13"/>
          <w:szCs w:val="13"/>
        </w:rPr>
        <w:t>），了解本理财产品信息及详细条款。</w:t>
      </w:r>
    </w:p>
    <w:p>
      <w:pPr>
        <w:widowControl/>
        <w:spacing w:line="200" w:lineRule="exact"/>
        <w:ind w:firstLine="261" w:firstLineChars="200"/>
        <w:rPr>
          <w:b/>
          <w:color w:val="3D3D3D"/>
          <w:kern w:val="0"/>
          <w:sz w:val="13"/>
          <w:szCs w:val="13"/>
        </w:rPr>
      </w:pPr>
      <w:r>
        <w:rPr>
          <w:rFonts w:hint="eastAsia"/>
          <w:b/>
          <w:color w:val="3D3D3D"/>
          <w:kern w:val="0"/>
          <w:sz w:val="13"/>
          <w:szCs w:val="13"/>
        </w:rPr>
        <w:t>重要提示：南银理财有限责任公司（以下简称为</w:t>
      </w:r>
      <w:r>
        <w:rPr>
          <w:b/>
          <w:color w:val="3D3D3D"/>
          <w:kern w:val="0"/>
          <w:sz w:val="13"/>
          <w:szCs w:val="13"/>
        </w:rPr>
        <w:t>“</w:t>
      </w:r>
      <w:r>
        <w:rPr>
          <w:rFonts w:hint="eastAsia"/>
          <w:b/>
          <w:color w:val="3D3D3D"/>
          <w:kern w:val="0"/>
          <w:sz w:val="13"/>
          <w:szCs w:val="13"/>
        </w:rPr>
        <w:t>南银理财</w:t>
      </w:r>
      <w:r>
        <w:rPr>
          <w:b/>
          <w:color w:val="3D3D3D"/>
          <w:kern w:val="0"/>
          <w:sz w:val="13"/>
          <w:szCs w:val="13"/>
        </w:rPr>
        <w:t>”</w:t>
      </w:r>
      <w:r>
        <w:rPr>
          <w:rFonts w:hint="eastAsia"/>
          <w:b/>
          <w:color w:val="3D3D3D"/>
          <w:kern w:val="0"/>
          <w:sz w:val="13"/>
          <w:szCs w:val="13"/>
        </w:rPr>
        <w:t>、“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w:t>
      </w:r>
      <w:r>
        <w:rPr>
          <w:b/>
          <w:color w:val="3D3D3D"/>
          <w:kern w:val="0"/>
          <w:sz w:val="13"/>
          <w:szCs w:val="13"/>
        </w:rPr>
        <w:t>“</w:t>
      </w:r>
      <w:r>
        <w:rPr>
          <w:rFonts w:hint="eastAsia"/>
          <w:b/>
          <w:color w:val="3D3D3D"/>
          <w:kern w:val="0"/>
          <w:sz w:val="13"/>
          <w:szCs w:val="13"/>
        </w:rPr>
        <w:t>充分了解风险，自主选择购买</w:t>
      </w:r>
      <w:r>
        <w:rPr>
          <w:b/>
          <w:color w:val="3D3D3D"/>
          <w:kern w:val="0"/>
          <w:sz w:val="13"/>
          <w:szCs w:val="13"/>
        </w:rPr>
        <w:t>”</w:t>
      </w:r>
      <w:r>
        <w:rPr>
          <w:rFonts w:hint="eastAsia"/>
          <w:b/>
          <w:color w:val="3D3D3D"/>
          <w:kern w:val="0"/>
          <w:sz w:val="13"/>
          <w:szCs w:val="13"/>
        </w:rPr>
        <w:t>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pPr>
        <w:widowControl/>
        <w:spacing w:line="200" w:lineRule="exact"/>
        <w:ind w:firstLine="261" w:firstLineChars="200"/>
        <w:rPr>
          <w:color w:val="3D3D3D"/>
          <w:kern w:val="0"/>
          <w:sz w:val="13"/>
          <w:szCs w:val="13"/>
        </w:rPr>
      </w:pPr>
      <w:r>
        <w:rPr>
          <w:rFonts w:hint="eastAsia"/>
          <w:b/>
          <w:color w:val="3D3D3D"/>
          <w:kern w:val="0"/>
          <w:sz w:val="13"/>
          <w:szCs w:val="13"/>
        </w:rPr>
        <w:t>本风险揭示书列示的风险指理财产品项下可能涉及的风险，包括但不限于：</w:t>
      </w:r>
    </w:p>
    <w:p>
      <w:pPr>
        <w:widowControl/>
        <w:spacing w:line="200" w:lineRule="exact"/>
        <w:ind w:firstLine="260" w:firstLineChars="200"/>
        <w:rPr>
          <w:color w:val="3D3D3D"/>
          <w:kern w:val="0"/>
          <w:sz w:val="13"/>
          <w:szCs w:val="13"/>
        </w:rPr>
      </w:pPr>
      <w:r>
        <w:rPr>
          <w:rFonts w:hint="eastAsia"/>
          <w:color w:val="3D3D3D"/>
          <w:kern w:val="0"/>
          <w:sz w:val="13"/>
          <w:szCs w:val="13"/>
        </w:rPr>
        <w:t>第一条</w:t>
      </w:r>
      <w:r>
        <w:rPr>
          <w:color w:val="3D3D3D"/>
          <w:kern w:val="0"/>
          <w:sz w:val="13"/>
          <w:szCs w:val="13"/>
        </w:rPr>
        <w:t xml:space="preserve"> </w:t>
      </w:r>
      <w:r>
        <w:rPr>
          <w:rFonts w:hint="eastAsia"/>
          <w:color w:val="3D3D3D"/>
          <w:kern w:val="0"/>
          <w:sz w:val="13"/>
          <w:szCs w:val="13"/>
        </w:rPr>
        <w:t>理财产品共性风险提示和管控措施</w:t>
      </w:r>
    </w:p>
    <w:p>
      <w:pPr>
        <w:widowControl/>
        <w:spacing w:line="200" w:lineRule="exact"/>
        <w:ind w:firstLine="260"/>
        <w:rPr>
          <w:color w:val="3D3D3D"/>
          <w:kern w:val="0"/>
          <w:sz w:val="13"/>
          <w:szCs w:val="13"/>
        </w:rPr>
      </w:pPr>
      <w:r>
        <w:rPr>
          <w:rFonts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pPr>
        <w:widowControl/>
        <w:spacing w:line="200" w:lineRule="exact"/>
        <w:ind w:firstLine="260"/>
        <w:rPr>
          <w:color w:val="3D3D3D"/>
          <w:kern w:val="0"/>
          <w:sz w:val="13"/>
          <w:szCs w:val="13"/>
        </w:rPr>
      </w:pPr>
      <w:r>
        <w:rPr>
          <w:rFonts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widowControl/>
        <w:spacing w:line="200" w:lineRule="exact"/>
        <w:ind w:firstLine="260"/>
        <w:rPr>
          <w:color w:val="3D3D3D"/>
          <w:kern w:val="0"/>
          <w:sz w:val="13"/>
          <w:szCs w:val="13"/>
        </w:rPr>
      </w:pPr>
      <w:r>
        <w:rPr>
          <w:rFonts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pPr>
        <w:widowControl/>
        <w:spacing w:line="200" w:lineRule="exact"/>
        <w:ind w:firstLine="260"/>
        <w:rPr>
          <w:color w:val="3D3D3D"/>
          <w:kern w:val="0"/>
          <w:sz w:val="13"/>
          <w:szCs w:val="13"/>
        </w:rPr>
      </w:pPr>
      <w:r>
        <w:rPr>
          <w:rFonts w:hint="eastAsia"/>
          <w:color w:val="3D3D3D"/>
          <w:kern w:val="0"/>
          <w:sz w:val="13"/>
          <w:szCs w:val="13"/>
        </w:rPr>
        <w:t>理财产品投资不同类型的资产可能面临的市场风险包括但不限于：</w:t>
      </w:r>
      <w:r>
        <w:rPr>
          <w:color w:val="3D3D3D"/>
          <w:kern w:val="0"/>
          <w:sz w:val="13"/>
          <w:szCs w:val="13"/>
        </w:rPr>
        <w:t>1.</w:t>
      </w:r>
      <w:r>
        <w:rPr>
          <w:rFonts w:hint="eastAsia"/>
          <w:color w:val="3D3D3D"/>
          <w:kern w:val="0"/>
          <w:sz w:val="13"/>
          <w:szCs w:val="13"/>
        </w:rPr>
        <w:t>理财产品投资债券等固定收益率资产将面临利率、汇率变化等市场风险以及债券价格波动风险；</w:t>
      </w:r>
      <w:r>
        <w:rPr>
          <w:color w:val="3D3D3D"/>
          <w:kern w:val="0"/>
          <w:sz w:val="13"/>
          <w:szCs w:val="13"/>
        </w:rPr>
        <w:t>2.</w:t>
      </w:r>
      <w:r>
        <w:rPr>
          <w:rFonts w:hint="eastAsia"/>
          <w:color w:val="3D3D3D"/>
          <w:kern w:val="0"/>
          <w:sz w:val="13"/>
          <w:szCs w:val="13"/>
        </w:rPr>
        <w:t>理财产品投资股票等权益类资产将面临股票价格波动风险和股票发行人的经营风险、管理风险等风险；</w:t>
      </w:r>
      <w:r>
        <w:rPr>
          <w:color w:val="3D3D3D"/>
          <w:kern w:val="0"/>
          <w:sz w:val="13"/>
          <w:szCs w:val="13"/>
        </w:rPr>
        <w:t>3.</w:t>
      </w:r>
      <w:r>
        <w:rPr>
          <w:rFonts w:hint="eastAsia"/>
          <w:color w:val="3D3D3D"/>
          <w:kern w:val="0"/>
          <w:sz w:val="13"/>
          <w:szCs w:val="13"/>
        </w:rPr>
        <w:t>理财产品投资商品及金融衍生品类产品可能面临衍生品公允价值变化风险等。</w:t>
      </w:r>
    </w:p>
    <w:p>
      <w:pPr>
        <w:widowControl/>
        <w:spacing w:line="200" w:lineRule="exact"/>
        <w:ind w:firstLine="260"/>
        <w:rPr>
          <w:color w:val="3D3D3D"/>
          <w:kern w:val="0"/>
          <w:sz w:val="13"/>
          <w:szCs w:val="13"/>
        </w:rPr>
      </w:pPr>
      <w:r>
        <w:rPr>
          <w:rFonts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pPr>
        <w:widowControl/>
        <w:spacing w:line="200" w:lineRule="exact"/>
        <w:ind w:firstLine="260"/>
        <w:rPr>
          <w:color w:val="3D3D3D"/>
          <w:kern w:val="0"/>
          <w:sz w:val="13"/>
          <w:szCs w:val="13"/>
        </w:rPr>
      </w:pPr>
      <w:r>
        <w:rPr>
          <w:rFonts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widowControl/>
        <w:spacing w:line="200" w:lineRule="exact"/>
        <w:ind w:firstLine="260"/>
        <w:rPr>
          <w:color w:val="3D3D3D"/>
          <w:kern w:val="0"/>
          <w:sz w:val="13"/>
          <w:szCs w:val="13"/>
        </w:rPr>
      </w:pPr>
      <w:r>
        <w:rPr>
          <w:rFonts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widowControl/>
        <w:spacing w:line="200" w:lineRule="exact"/>
        <w:ind w:firstLine="260"/>
        <w:rPr>
          <w:color w:val="3D3D3D"/>
          <w:kern w:val="0"/>
          <w:sz w:val="13"/>
          <w:szCs w:val="13"/>
        </w:rPr>
      </w:pPr>
      <w:r>
        <w:rPr>
          <w:rFonts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widowControl/>
        <w:spacing w:line="200" w:lineRule="exact"/>
        <w:ind w:firstLine="260"/>
        <w:rPr>
          <w:color w:val="3D3D3D"/>
          <w:kern w:val="0"/>
          <w:sz w:val="13"/>
          <w:szCs w:val="13"/>
        </w:rPr>
      </w:pPr>
      <w:r>
        <w:rPr>
          <w:rFonts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pPr>
        <w:widowControl/>
        <w:spacing w:line="200" w:lineRule="exact"/>
        <w:ind w:firstLine="260"/>
        <w:rPr>
          <w:color w:val="3D3D3D"/>
          <w:kern w:val="0"/>
          <w:sz w:val="13"/>
          <w:szCs w:val="13"/>
        </w:rPr>
      </w:pPr>
      <w:r>
        <w:rPr>
          <w:rFonts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pPr>
        <w:widowControl/>
        <w:spacing w:line="200" w:lineRule="exact"/>
        <w:ind w:firstLine="260"/>
        <w:rPr>
          <w:color w:val="3D3D3D"/>
          <w:kern w:val="0"/>
          <w:sz w:val="13"/>
          <w:szCs w:val="13"/>
        </w:rPr>
      </w:pPr>
      <w:r>
        <w:rPr>
          <w:rFonts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widowControl/>
        <w:spacing w:line="200" w:lineRule="exact"/>
        <w:ind w:firstLine="260"/>
        <w:rPr>
          <w:b/>
          <w:bCs/>
          <w:color w:val="3D3D3D"/>
          <w:kern w:val="0"/>
          <w:sz w:val="13"/>
          <w:szCs w:val="13"/>
        </w:rPr>
      </w:pPr>
      <w:r>
        <w:rPr>
          <w:rFonts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pPr>
        <w:widowControl/>
        <w:spacing w:line="200" w:lineRule="exact"/>
        <w:ind w:firstLine="260"/>
        <w:rPr>
          <w:b/>
          <w:bCs/>
          <w:color w:val="3D3D3D"/>
          <w:kern w:val="0"/>
          <w:sz w:val="13"/>
          <w:szCs w:val="13"/>
        </w:rPr>
      </w:pPr>
      <w:r>
        <w:rPr>
          <w:rFonts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pPr>
        <w:widowControl/>
        <w:spacing w:line="200" w:lineRule="exact"/>
        <w:ind w:firstLine="260"/>
        <w:rPr>
          <w:b/>
          <w:bCs/>
          <w:color w:val="3D3D3D"/>
          <w:kern w:val="0"/>
          <w:sz w:val="13"/>
          <w:szCs w:val="13"/>
        </w:rPr>
      </w:pPr>
      <w:r>
        <w:rPr>
          <w:rFonts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widowControl/>
        <w:spacing w:line="200" w:lineRule="exact"/>
        <w:ind w:firstLine="260"/>
        <w:rPr>
          <w:color w:val="3D3D3D"/>
          <w:kern w:val="0"/>
          <w:sz w:val="13"/>
          <w:szCs w:val="13"/>
        </w:rPr>
      </w:pPr>
      <w:r>
        <w:rPr>
          <w:rFonts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pPr>
        <w:widowControl/>
        <w:spacing w:line="200" w:lineRule="exact"/>
        <w:ind w:firstLine="260"/>
        <w:rPr>
          <w:color w:val="3D3D3D"/>
          <w:kern w:val="0"/>
          <w:sz w:val="13"/>
          <w:szCs w:val="13"/>
        </w:rPr>
      </w:pPr>
      <w:r>
        <w:rPr>
          <w:rFonts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widowControl/>
        <w:spacing w:line="200" w:lineRule="exact"/>
        <w:ind w:firstLine="260"/>
        <w:rPr>
          <w:color w:val="3D3D3D"/>
          <w:kern w:val="0"/>
          <w:sz w:val="13"/>
          <w:szCs w:val="13"/>
        </w:rPr>
      </w:pPr>
      <w:r>
        <w:rPr>
          <w:rFonts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widowControl/>
        <w:spacing w:line="200" w:lineRule="exact"/>
        <w:ind w:firstLine="260"/>
        <w:rPr>
          <w:color w:val="3D3D3D"/>
          <w:kern w:val="0"/>
          <w:sz w:val="13"/>
          <w:szCs w:val="13"/>
        </w:rPr>
      </w:pPr>
      <w:r>
        <w:rPr>
          <w:rFonts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pPr>
        <w:widowControl/>
        <w:spacing w:line="200" w:lineRule="exact"/>
        <w:ind w:firstLine="260"/>
        <w:rPr>
          <w:color w:val="3D3D3D"/>
          <w:kern w:val="0"/>
          <w:sz w:val="13"/>
          <w:szCs w:val="13"/>
        </w:rPr>
      </w:pPr>
      <w:r>
        <w:rPr>
          <w:rFonts w:hint="eastAsia"/>
          <w:color w:val="3D3D3D"/>
          <w:kern w:val="0"/>
          <w:sz w:val="13"/>
          <w:szCs w:val="13"/>
        </w:rPr>
        <w:t>（十六）代销风险：本理财产品通过代销机构销售时，认购</w:t>
      </w:r>
      <w:r>
        <w:rPr>
          <w:color w:val="3D3D3D"/>
          <w:kern w:val="0"/>
          <w:sz w:val="13"/>
          <w:szCs w:val="13"/>
        </w:rPr>
        <w:t>/</w:t>
      </w:r>
      <w:r>
        <w:rPr>
          <w:rFonts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color w:val="3D3D3D"/>
          <w:kern w:val="0"/>
          <w:sz w:val="13"/>
          <w:szCs w:val="13"/>
        </w:rPr>
        <w:t>/</w:t>
      </w:r>
      <w:r>
        <w:rPr>
          <w:rFonts w:hint="eastAsia"/>
          <w:color w:val="3D3D3D"/>
          <w:kern w:val="0"/>
          <w:sz w:val="13"/>
          <w:szCs w:val="13"/>
        </w:rPr>
        <w:t>申购资金划转至南银理财，将导致投资者无法完成认购</w:t>
      </w:r>
      <w:r>
        <w:rPr>
          <w:color w:val="3D3D3D"/>
          <w:kern w:val="0"/>
          <w:sz w:val="13"/>
          <w:szCs w:val="13"/>
        </w:rPr>
        <w:t>/</w:t>
      </w:r>
      <w:r>
        <w:rPr>
          <w:rFonts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pPr>
        <w:widowControl/>
        <w:spacing w:line="200" w:lineRule="exact"/>
        <w:ind w:firstLine="260"/>
        <w:rPr>
          <w:color w:val="3D3D3D"/>
          <w:kern w:val="0"/>
          <w:sz w:val="13"/>
          <w:szCs w:val="13"/>
        </w:rPr>
      </w:pPr>
      <w:r>
        <w:rPr>
          <w:rFonts w:hint="eastAsia"/>
          <w:color w:val="3D3D3D"/>
          <w:kern w:val="0"/>
          <w:sz w:val="13"/>
          <w:szCs w:val="13"/>
        </w:rPr>
        <w:t>（十七）未知价风险：净值型产品采用</w:t>
      </w:r>
      <w:r>
        <w:rPr>
          <w:color w:val="3D3D3D"/>
          <w:kern w:val="0"/>
          <w:sz w:val="13"/>
          <w:szCs w:val="13"/>
        </w:rPr>
        <w:t>“</w:t>
      </w:r>
      <w:r>
        <w:rPr>
          <w:rFonts w:hint="eastAsia"/>
          <w:color w:val="3D3D3D"/>
          <w:kern w:val="0"/>
          <w:sz w:val="13"/>
          <w:szCs w:val="13"/>
        </w:rPr>
        <w:t>金额申购、份额赎回</w:t>
      </w:r>
      <w:r>
        <w:rPr>
          <w:color w:val="3D3D3D"/>
          <w:kern w:val="0"/>
          <w:sz w:val="13"/>
          <w:szCs w:val="13"/>
        </w:rPr>
        <w:t>”</w:t>
      </w:r>
      <w:r>
        <w:rPr>
          <w:rFonts w:hint="eastAsia"/>
          <w:color w:val="3D3D3D"/>
          <w:kern w:val="0"/>
          <w:sz w:val="13"/>
          <w:szCs w:val="13"/>
        </w:rPr>
        <w:t>原则，即产品认</w:t>
      </w:r>
      <w:r>
        <w:rPr>
          <w:color w:val="3D3D3D"/>
          <w:kern w:val="0"/>
          <w:sz w:val="13"/>
          <w:szCs w:val="13"/>
        </w:rPr>
        <w:t>/</w:t>
      </w:r>
      <w:r>
        <w:rPr>
          <w:rFonts w:hint="eastAsia"/>
          <w:color w:val="3D3D3D"/>
          <w:kern w:val="0"/>
          <w:sz w:val="13"/>
          <w:szCs w:val="13"/>
        </w:rPr>
        <w:t>申购以金额申请，赎回以份额申请，认</w:t>
      </w:r>
      <w:r>
        <w:rPr>
          <w:color w:val="3D3D3D"/>
          <w:kern w:val="0"/>
          <w:sz w:val="13"/>
          <w:szCs w:val="13"/>
        </w:rPr>
        <w:t>/</w:t>
      </w:r>
      <w:r>
        <w:rPr>
          <w:rFonts w:hint="eastAsia"/>
          <w:color w:val="3D3D3D"/>
          <w:kern w:val="0"/>
          <w:sz w:val="13"/>
          <w:szCs w:val="13"/>
        </w:rPr>
        <w:t>申购与赎回价格以</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受理申请。</w:t>
      </w:r>
      <w:r>
        <w:rPr>
          <w:color w:val="3D3D3D"/>
          <w:kern w:val="0"/>
          <w:sz w:val="13"/>
          <w:szCs w:val="13"/>
        </w:rPr>
        <w:t>“</w:t>
      </w:r>
      <w:r>
        <w:rPr>
          <w:rFonts w:hint="eastAsia"/>
          <w:color w:val="3D3D3D"/>
          <w:kern w:val="0"/>
          <w:sz w:val="13"/>
          <w:szCs w:val="13"/>
        </w:rPr>
        <w:t>未知价原则</w:t>
      </w:r>
      <w:r>
        <w:rPr>
          <w:color w:val="3D3D3D"/>
          <w:kern w:val="0"/>
          <w:sz w:val="13"/>
          <w:szCs w:val="13"/>
        </w:rPr>
        <w:t>”</w:t>
      </w:r>
      <w:r>
        <w:rPr>
          <w:rFonts w:hint="eastAsia"/>
          <w:color w:val="3D3D3D"/>
          <w:kern w:val="0"/>
          <w:sz w:val="13"/>
          <w:szCs w:val="13"/>
        </w:rPr>
        <w:t>，即理财产品申购申请和赎回申请提交时，适用的产品单位净值都是未知的，单位净值固定的产品除外。</w:t>
      </w:r>
    </w:p>
    <w:p>
      <w:pPr>
        <w:widowControl/>
        <w:spacing w:line="200" w:lineRule="exact"/>
        <w:ind w:firstLine="260"/>
        <w:rPr>
          <w:sz w:val="20"/>
          <w:szCs w:val="20"/>
        </w:rPr>
      </w:pPr>
      <w:r>
        <w:rPr>
          <w:rFonts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widowControl/>
        <w:spacing w:line="200" w:lineRule="exact"/>
        <w:ind w:firstLine="260"/>
        <w:rPr>
          <w:color w:val="3D3D3D"/>
          <w:kern w:val="0"/>
          <w:sz w:val="13"/>
          <w:szCs w:val="13"/>
        </w:rPr>
      </w:pPr>
      <w:r>
        <w:rPr>
          <w:rFonts w:hint="eastAsia"/>
          <w:color w:val="3D3D3D"/>
          <w:sz w:val="13"/>
          <w:szCs w:val="13"/>
        </w:rPr>
        <w:t xml:space="preserve"> </w:t>
      </w:r>
      <w:r>
        <w:rPr>
          <w:rFonts w:hint="eastAsia"/>
          <w:color w:val="3D3D3D"/>
          <w:kern w:val="0"/>
          <w:sz w:val="13"/>
          <w:szCs w:val="13"/>
        </w:rPr>
        <w:t>第二条</w:t>
      </w:r>
      <w:r>
        <w:rPr>
          <w:color w:val="3D3D3D"/>
          <w:kern w:val="0"/>
          <w:sz w:val="13"/>
          <w:szCs w:val="13"/>
        </w:rPr>
        <w:t xml:space="preserve"> </w:t>
      </w:r>
      <w:r>
        <w:rPr>
          <w:rFonts w:hint="eastAsia"/>
          <w:color w:val="3D3D3D"/>
          <w:kern w:val="0"/>
          <w:sz w:val="13"/>
          <w:szCs w:val="13"/>
        </w:rPr>
        <w:t>本理财产品特定风险揭示</w:t>
      </w:r>
    </w:p>
    <w:p>
      <w:pPr>
        <w:spacing w:line="200" w:lineRule="exact"/>
      </w:pPr>
      <w:r>
        <w:rPr>
          <w:rFonts w:cs="宋体"/>
          <w:b/>
          <w:sz w:val="13"/>
          <w:szCs w:val="20"/>
        </w:rPr>
        <w:t xml:space="preserve">    1.债券类资产投资风险</w:t>
      </w:r>
    </w:p>
    <w:p>
      <w:pPr>
        <w:spacing w:line="200" w:lineRule="exact"/>
      </w:pPr>
      <w:r>
        <w:rPr>
          <w:rFonts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cs="宋体"/>
          <w:b/>
          <w:sz w:val="13"/>
          <w:szCs w:val="20"/>
        </w:rPr>
        <w:t xml:space="preserve">    2.非标准化债权类资产投资风险</w:t>
      </w:r>
    </w:p>
    <w:p>
      <w:pPr>
        <w:spacing w:line="200" w:lineRule="exact"/>
      </w:pPr>
      <w:r>
        <w:rPr>
          <w:rFonts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cs="宋体"/>
          <w:b/>
          <w:sz w:val="13"/>
          <w:szCs w:val="20"/>
        </w:rPr>
        <w:t xml:space="preserve">    3.资产管理产品投资风险</w:t>
      </w:r>
    </w:p>
    <w:p>
      <w:pPr>
        <w:spacing w:line="200" w:lineRule="exact"/>
      </w:pPr>
      <w:r>
        <w:rPr>
          <w:rFonts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cs="宋体"/>
          <w:b/>
          <w:sz w:val="13"/>
          <w:szCs w:val="20"/>
        </w:rPr>
        <w:t xml:space="preserve">    4.非标准化债权类资产无法投资的风险</w:t>
      </w:r>
    </w:p>
    <w:p>
      <w:pPr>
        <w:spacing w:line="200" w:lineRule="exact"/>
      </w:pPr>
      <w:r>
        <w:rPr>
          <w:rFonts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br w:type="textWrapping"/>
      </w:r>
      <w:r>
        <w:rPr>
          <w:rFonts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br w:type="textWrapping"/>
      </w:r>
      <w:r>
        <w:rPr>
          <w:rFonts w:cs="宋体"/>
          <w:b/>
          <w:sz w:val="13"/>
          <w:szCs w:val="20"/>
        </w:rPr>
        <w:t xml:space="preserve">    （2）若本理财产品已成立，则管理人有权提前终止本理财产品，自产品成立至提前终止日期间不计任何收益。</w:t>
      </w:r>
    </w:p>
    <w:p>
      <w:pPr>
        <w:pStyle w:val="15"/>
        <w:widowControl/>
        <w:spacing w:line="200" w:lineRule="exact"/>
        <w:ind w:firstLine="260"/>
        <w:rPr>
          <w:b/>
          <w:bCs/>
          <w:color w:val="3D3D3D"/>
          <w:kern w:val="0"/>
          <w:sz w:val="13"/>
          <w:szCs w:val="13"/>
        </w:rPr>
      </w:pPr>
      <w:r>
        <w:rPr>
          <w:rFonts w:hint="eastAsia"/>
          <w:b/>
          <w:bCs/>
          <w:color w:val="3D3D3D"/>
          <w:kern w:val="0"/>
          <w:sz w:val="13"/>
          <w:szCs w:val="13"/>
        </w:rPr>
        <w:t>本理财产品类型：封闭式、固定收益类、公募、净值型。</w:t>
      </w:r>
    </w:p>
    <w:p>
      <w:pPr>
        <w:pStyle w:val="15"/>
        <w:widowControl/>
        <w:spacing w:line="200" w:lineRule="exact"/>
        <w:ind w:firstLine="270"/>
        <w:rPr>
          <w:b/>
          <w:bCs/>
          <w:color w:val="3D3D3D"/>
          <w:kern w:val="0"/>
          <w:sz w:val="13"/>
          <w:szCs w:val="13"/>
        </w:rPr>
      </w:pPr>
      <w:r>
        <w:rPr>
          <w:rFonts w:hint="eastAsia"/>
          <w:b/>
          <w:color w:val="3D3D3D"/>
          <w:kern w:val="0"/>
          <w:sz w:val="13"/>
          <w:szCs w:val="13"/>
        </w:rPr>
        <w:t>本理财产品期限为</w:t>
      </w:r>
      <w:r>
        <w:rPr>
          <w:rFonts w:hint="eastAsia"/>
          <w:b/>
          <w:bCs/>
          <w:color w:val="3D3D3D"/>
          <w:kern w:val="0"/>
          <w:sz w:val="13"/>
          <w:szCs w:val="13"/>
        </w:rPr>
        <w:t>399天</w:t>
      </w:r>
      <w:r>
        <w:rPr>
          <w:rFonts w:hint="eastAsia"/>
          <w:b/>
          <w:color w:val="3D3D3D"/>
          <w:kern w:val="0"/>
          <w:sz w:val="13"/>
          <w:szCs w:val="13"/>
        </w:rPr>
        <w:t>（若本理财产品被提前终止或延期终止，以实际到期日计算持有天数）。</w:t>
      </w:r>
    </w:p>
    <w:p>
      <w:pPr>
        <w:pStyle w:val="28"/>
        <w:spacing w:line="200" w:lineRule="exact"/>
        <w:rPr>
          <w:color w:val="3D3D3D"/>
          <w:kern w:val="0"/>
          <w:sz w:val="13"/>
          <w:szCs w:val="13"/>
        </w:rPr>
      </w:pPr>
      <w:r>
        <w:rPr>
          <w:rFonts w:hint="eastAsia"/>
          <w:b/>
          <w:bCs/>
          <w:color w:val="3D3D3D"/>
          <w:kern w:val="0"/>
          <w:sz w:val="13"/>
          <w:szCs w:val="13"/>
        </w:rPr>
        <w:t>本理财产品风险评级结果：</w:t>
      </w:r>
      <w:r>
        <w:rPr>
          <w:rFonts w:hint="eastAsia"/>
          <w:color w:val="3D3D3D"/>
          <w:kern w:val="0"/>
          <w:sz w:val="13"/>
          <w:szCs w:val="13"/>
        </w:rPr>
        <w:t>根据管理人内部风险评级，该产品风险等级为</w:t>
      </w:r>
      <w:r>
        <w:rPr>
          <w:rFonts w:hint="eastAsia"/>
          <w:b/>
          <w:color w:val="3D3D3D"/>
          <w:kern w:val="0"/>
          <w:sz w:val="13"/>
          <w:szCs w:val="13"/>
        </w:rPr>
        <w:t>中低风险</w:t>
      </w:r>
      <w:r>
        <w:rPr>
          <w:rFonts w:hint="eastAsia"/>
          <w:color w:val="3D3D3D"/>
          <w:kern w:val="0"/>
          <w:sz w:val="13"/>
          <w:szCs w:val="13"/>
        </w:rPr>
        <w:t>。</w:t>
      </w:r>
      <w:r>
        <w:rPr>
          <w:rFonts w:hint="eastAsia"/>
          <w:b/>
          <w:color w:val="3D3D3D"/>
          <w:kern w:val="0"/>
          <w:sz w:val="13"/>
          <w:szCs w:val="13"/>
        </w:rPr>
        <w:t xml:space="preserve"> </w:t>
      </w:r>
      <w:r>
        <w:rPr>
          <w:rFonts w:hint="eastAsia"/>
          <w:color w:val="3D3D3D"/>
          <w:kern w:val="0"/>
          <w:sz w:val="13"/>
          <w:szCs w:val="13"/>
        </w:rPr>
        <w:t>管理人不承诺本金保障，产品收益随投资表现变动，产品存在较低的本金损失风险。</w:t>
      </w:r>
    </w:p>
    <w:p>
      <w:pPr>
        <w:pStyle w:val="28"/>
        <w:spacing w:line="200" w:lineRule="exact"/>
        <w:ind w:firstLine="261" w:firstLineChars="200"/>
        <w:rPr>
          <w:color w:val="3D3D3D"/>
          <w:kern w:val="0"/>
          <w:sz w:val="13"/>
          <w:szCs w:val="13"/>
        </w:rPr>
      </w:pPr>
      <w:r>
        <w:rPr>
          <w:rFonts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int="eastAsia"/>
          <w:color w:val="3D3D3D"/>
          <w:kern w:val="0"/>
          <w:sz w:val="13"/>
          <w:szCs w:val="13"/>
        </w:rPr>
        <w:t>您需充分认识投资风险，谨慎投资。</w:t>
      </w:r>
    </w:p>
    <w:p>
      <w:pPr>
        <w:pStyle w:val="15"/>
        <w:widowControl/>
        <w:spacing w:line="200" w:lineRule="exact"/>
        <w:ind w:firstLine="261" w:firstLineChars="200"/>
        <w:rPr>
          <w:bCs/>
          <w:color w:val="3D3D3D"/>
          <w:kern w:val="0"/>
          <w:sz w:val="13"/>
          <w:szCs w:val="13"/>
        </w:rPr>
      </w:pPr>
      <w:r>
        <w:rPr>
          <w:rFonts w:hint="eastAsia"/>
          <w:b/>
          <w:bCs/>
          <w:color w:val="3D3D3D"/>
          <w:kern w:val="0"/>
          <w:sz w:val="13"/>
          <w:szCs w:val="13"/>
        </w:rPr>
        <w:t>适合购买本理财产品的投资者：</w:t>
      </w:r>
      <w:r>
        <w:rPr>
          <w:rFonts w:hint="eastAsia"/>
          <w:color w:val="3D3D3D"/>
          <w:kern w:val="0"/>
          <w:sz w:val="13"/>
          <w:szCs w:val="13"/>
        </w:rPr>
        <w:t>符合相关法律法规、监管规定要求的，经销售机构的风险承受能力评估体系评定为适合的个人和机构投资者。</w:t>
      </w:r>
    </w:p>
    <w:p>
      <w:pPr>
        <w:pStyle w:val="15"/>
        <w:widowControl/>
        <w:spacing w:line="200" w:lineRule="exact"/>
        <w:ind w:firstLine="260"/>
        <w:rPr>
          <w:b/>
          <w:bCs/>
          <w:color w:val="3D3D3D"/>
          <w:kern w:val="0"/>
          <w:sz w:val="13"/>
          <w:szCs w:val="13"/>
        </w:rPr>
      </w:pPr>
      <w:r>
        <w:rPr>
          <w:rFonts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pPr>
        <w:pStyle w:val="15"/>
        <w:widowControl/>
        <w:spacing w:line="200" w:lineRule="exact"/>
        <w:ind w:firstLine="260"/>
      </w:pPr>
      <w:r>
        <w:rPr>
          <w:rFonts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b/>
          <w:bCs/>
          <w:color w:val="3D3D3D"/>
          <w:kern w:val="0"/>
          <w:sz w:val="13"/>
          <w:szCs w:val="13"/>
        </w:rPr>
        <w:t>0</w:t>
      </w:r>
      <w:r>
        <w:rPr>
          <w:rFonts w:hint="eastAsia"/>
          <w:b/>
          <w:bCs/>
          <w:color w:val="3D3D3D"/>
          <w:kern w:val="0"/>
          <w:sz w:val="13"/>
          <w:szCs w:val="13"/>
        </w:rPr>
        <w:t>，即投资者面临全部本金的损失。为保证当期理财投资者权益而产生的费用由当期理财产品承担。</w:t>
      </w:r>
    </w:p>
    <w:p>
      <w:pPr>
        <w:pStyle w:val="15"/>
        <w:widowControl/>
        <w:spacing w:line="200" w:lineRule="exact"/>
        <w:ind w:firstLine="260"/>
        <w:rPr>
          <w:b/>
          <w:bCs/>
          <w:color w:val="3D3D3D"/>
          <w:kern w:val="0"/>
          <w:sz w:val="13"/>
          <w:szCs w:val="13"/>
        </w:rPr>
      </w:pPr>
      <w:r>
        <w:rPr>
          <w:rFonts w:hint="eastAsia"/>
          <w:b/>
          <w:bCs/>
          <w:color w:val="3D3D3D"/>
          <w:kern w:val="0"/>
          <w:sz w:val="13"/>
          <w:szCs w:val="13"/>
        </w:rPr>
        <w:t>示例：如投资者购买本理财产品，本金为</w:t>
      </w:r>
      <w:r>
        <w:rPr>
          <w:b/>
          <w:bCs/>
          <w:color w:val="3D3D3D"/>
          <w:kern w:val="0"/>
          <w:sz w:val="13"/>
          <w:szCs w:val="13"/>
        </w:rPr>
        <w:t>1</w:t>
      </w:r>
      <w:r>
        <w:rPr>
          <w:rFonts w:hint="eastAsia"/>
          <w:b/>
          <w:bCs/>
          <w:color w:val="3D3D3D"/>
          <w:kern w:val="0"/>
          <w:sz w:val="13"/>
          <w:szCs w:val="13"/>
        </w:rPr>
        <w:t>万元，在理财产品资产组合项下资产全部亏损的最不利情况下，理财产品</w:t>
      </w:r>
      <w:r>
        <w:rPr>
          <w:b/>
          <w:bCs/>
          <w:color w:val="3D3D3D"/>
          <w:kern w:val="0"/>
          <w:sz w:val="13"/>
          <w:szCs w:val="13"/>
        </w:rPr>
        <w:t>1</w:t>
      </w:r>
      <w:r>
        <w:rPr>
          <w:rFonts w:hint="eastAsia"/>
          <w:b/>
          <w:bCs/>
          <w:color w:val="3D3D3D"/>
          <w:kern w:val="0"/>
          <w:sz w:val="13"/>
          <w:szCs w:val="13"/>
        </w:rPr>
        <w:t>万元本金将全部损失。</w:t>
      </w:r>
    </w:p>
    <w:p>
      <w:pPr>
        <w:pStyle w:val="15"/>
        <w:widowControl/>
        <w:spacing w:line="200" w:lineRule="exact"/>
        <w:ind w:firstLine="260"/>
        <w:rPr>
          <w:b/>
          <w:color w:val="3D3D3D"/>
          <w:kern w:val="0"/>
          <w:sz w:val="13"/>
          <w:szCs w:val="13"/>
        </w:rPr>
      </w:pPr>
    </w:p>
    <w:p>
      <w:pPr>
        <w:pStyle w:val="15"/>
        <w:widowControl/>
        <w:spacing w:line="200" w:lineRule="exact"/>
        <w:ind w:firstLine="260"/>
        <w:jc w:val="center"/>
        <w:rPr>
          <w:b/>
          <w:color w:val="3D3D3D"/>
          <w:kern w:val="0"/>
          <w:sz w:val="15"/>
          <w:szCs w:val="15"/>
          <w:u w:val="single"/>
        </w:rPr>
      </w:pPr>
      <w:r>
        <w:rPr>
          <w:rFonts w:hint="eastAsia"/>
          <w:b/>
          <w:color w:val="3D3D3D"/>
          <w:kern w:val="0"/>
          <w:sz w:val="15"/>
          <w:szCs w:val="15"/>
          <w:u w:val="single"/>
        </w:rPr>
        <w:t>上述风险客观存在，敬请投资者予以充分关注！</w:t>
      </w:r>
    </w:p>
    <w:p>
      <w:pPr>
        <w:pStyle w:val="15"/>
        <w:widowControl/>
        <w:spacing w:line="200" w:lineRule="exact"/>
        <w:ind w:firstLine="260"/>
        <w:jc w:val="center"/>
        <w:rPr>
          <w:b/>
          <w:color w:val="3D3D3D"/>
          <w:kern w:val="0"/>
          <w:sz w:val="15"/>
          <w:szCs w:val="15"/>
          <w:u w:val="single"/>
        </w:rPr>
      </w:pPr>
    </w:p>
    <w:p>
      <w:pPr>
        <w:pStyle w:val="15"/>
        <w:widowControl/>
        <w:spacing w:line="200" w:lineRule="exact"/>
        <w:ind w:firstLine="260"/>
        <w:jc w:val="left"/>
        <w:rPr>
          <w:b/>
          <w:color w:val="3D3D3D"/>
          <w:kern w:val="0"/>
          <w:sz w:val="15"/>
          <w:szCs w:val="15"/>
          <w:u w:val="single"/>
        </w:rPr>
      </w:pPr>
      <w:r>
        <w:rPr>
          <w:rFonts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widowControl/>
        <w:spacing w:line="200" w:lineRule="exact"/>
        <w:rPr>
          <w:b/>
          <w:color w:val="3D3D3D"/>
          <w:kern w:val="0"/>
          <w:sz w:val="15"/>
          <w:szCs w:val="15"/>
          <w:u w:val="single"/>
        </w:rPr>
      </w:pPr>
      <w:r>
        <w:rPr>
          <w:rFonts w:hint="eastAsia"/>
          <w:b/>
          <w:color w:val="3D3D3D"/>
          <w:kern w:val="0"/>
          <w:sz w:val="15"/>
          <w:szCs w:val="15"/>
          <w:u w:val="single"/>
        </w:rPr>
        <w:t>投资者声明：</w:t>
      </w:r>
    </w:p>
    <w:p>
      <w:pPr>
        <w:widowControl/>
        <w:spacing w:line="200" w:lineRule="exact"/>
        <w:ind w:firstLine="420"/>
        <w:rPr>
          <w:b/>
          <w:color w:val="3D3D3D"/>
          <w:kern w:val="0"/>
          <w:sz w:val="15"/>
          <w:szCs w:val="15"/>
          <w:u w:val="single"/>
        </w:rPr>
      </w:pPr>
      <w:r>
        <w:rPr>
          <w:rFonts w:hint="eastAsia"/>
          <w:b/>
          <w:color w:val="3D3D3D"/>
          <w:kern w:val="0"/>
          <w:sz w:val="15"/>
          <w:szCs w:val="15"/>
        </w:rPr>
        <w:t>1.</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确认，本</w:t>
      </w:r>
      <w:r>
        <w:rPr>
          <w:rFonts w:hint="eastAsia"/>
          <w:b/>
          <w:bCs/>
          <w:color w:val="3D3D3D"/>
          <w:kern w:val="0"/>
          <w:sz w:val="15"/>
          <w:szCs w:val="15"/>
          <w:u w:val="single"/>
        </w:rPr>
        <w:t>投资者</w:t>
      </w:r>
      <w:r>
        <w:rPr>
          <w:rFonts w:hint="eastAsia"/>
          <w:b/>
          <w:color w:val="3D3D3D"/>
          <w:kern w:val="0"/>
          <w:sz w:val="15"/>
          <w:szCs w:val="15"/>
          <w:u w:val="single"/>
        </w:rPr>
        <w:t>购买本理财产品为本</w:t>
      </w:r>
      <w:r>
        <w:rPr>
          <w:rFonts w:hint="eastAsia"/>
          <w:b/>
          <w:bCs/>
          <w:color w:val="3D3D3D"/>
          <w:kern w:val="0"/>
          <w:sz w:val="15"/>
          <w:szCs w:val="15"/>
          <w:u w:val="single"/>
        </w:rPr>
        <w:t>投资者</w:t>
      </w:r>
      <w:r>
        <w:rPr>
          <w:rFonts w:hint="eastAsia"/>
          <w:b/>
          <w:color w:val="3D3D3D"/>
          <w:kern w:val="0"/>
          <w:sz w:val="15"/>
          <w:szCs w:val="15"/>
          <w:u w:val="single"/>
        </w:rPr>
        <w:t>真实的意思表示</w:t>
      </w:r>
      <w:r>
        <w:rPr>
          <w:b/>
          <w:color w:val="3D3D3D"/>
          <w:kern w:val="0"/>
          <w:sz w:val="15"/>
          <w:szCs w:val="15"/>
          <w:u w:val="single"/>
        </w:rPr>
        <w:t>,</w:t>
      </w:r>
      <w:r>
        <w:rPr>
          <w:rFonts w:hint="eastAsia"/>
          <w:b/>
          <w:color w:val="3D3D3D"/>
          <w:kern w:val="0"/>
          <w:sz w:val="15"/>
          <w:szCs w:val="15"/>
          <w:u w:val="single"/>
        </w:rPr>
        <w:t>并认为该理财产品完全适合本</w:t>
      </w:r>
      <w:r>
        <w:rPr>
          <w:rFonts w:hint="eastAsia"/>
          <w:b/>
          <w:bCs/>
          <w:color w:val="3D3D3D"/>
          <w:kern w:val="0"/>
          <w:sz w:val="15"/>
          <w:szCs w:val="15"/>
          <w:u w:val="single"/>
        </w:rPr>
        <w:t>投资者</w:t>
      </w:r>
      <w:r>
        <w:rPr>
          <w:rFonts w:hint="eastAsia"/>
          <w:b/>
          <w:color w:val="3D3D3D"/>
          <w:kern w:val="0"/>
          <w:sz w:val="15"/>
          <w:szCs w:val="15"/>
          <w:u w:val="single"/>
        </w:rPr>
        <w:t>的投资目标、投资预期以及风险承受能力，本</w:t>
      </w:r>
      <w:r>
        <w:rPr>
          <w:rFonts w:hint="eastAsia"/>
          <w:b/>
          <w:bCs/>
          <w:color w:val="3D3D3D"/>
          <w:kern w:val="0"/>
          <w:sz w:val="15"/>
          <w:szCs w:val="15"/>
          <w:u w:val="single"/>
        </w:rPr>
        <w:t>投资者</w:t>
      </w:r>
      <w:r>
        <w:rPr>
          <w:rFonts w:hint="eastAsia"/>
          <w:b/>
          <w:color w:val="3D3D3D"/>
          <w:kern w:val="0"/>
          <w:sz w:val="15"/>
          <w:szCs w:val="15"/>
          <w:u w:val="single"/>
        </w:rPr>
        <w:t>自愿承担由此带来的一切后果。本</w:t>
      </w:r>
      <w:r>
        <w:rPr>
          <w:rFonts w:hint="eastAsia"/>
          <w:b/>
          <w:bCs/>
          <w:color w:val="3D3D3D"/>
          <w:kern w:val="0"/>
          <w:sz w:val="15"/>
          <w:szCs w:val="15"/>
          <w:u w:val="single"/>
        </w:rPr>
        <w:t>投资者</w:t>
      </w:r>
      <w:r>
        <w:rPr>
          <w:rFonts w:hint="eastAsia"/>
          <w:b/>
          <w:color w:val="3D3D3D"/>
          <w:kern w:val="0"/>
          <w:sz w:val="15"/>
          <w:szCs w:val="15"/>
          <w:u w:val="single"/>
        </w:rPr>
        <w:t>确认南银理财</w:t>
      </w:r>
      <w:r>
        <w:rPr>
          <w:b/>
          <w:color w:val="3D3D3D"/>
          <w:kern w:val="0"/>
          <w:sz w:val="15"/>
          <w:szCs w:val="15"/>
          <w:u w:val="single"/>
        </w:rPr>
        <w:t>/</w:t>
      </w:r>
      <w:r>
        <w:rPr>
          <w:rFonts w:hint="eastAsia"/>
          <w:b/>
          <w:color w:val="3D3D3D"/>
          <w:kern w:val="0"/>
          <w:sz w:val="15"/>
          <w:szCs w:val="15"/>
          <w:u w:val="single"/>
        </w:rPr>
        <w:t>销售机构相关业务人员对于理财产品销售文件中限制或排除本</w:t>
      </w:r>
      <w:r>
        <w:rPr>
          <w:rFonts w:hint="eastAsia"/>
          <w:b/>
          <w:bCs/>
          <w:color w:val="3D3D3D"/>
          <w:kern w:val="0"/>
          <w:sz w:val="15"/>
          <w:szCs w:val="15"/>
          <w:u w:val="single"/>
        </w:rPr>
        <w:t>投资者</w:t>
      </w:r>
      <w:r>
        <w:rPr>
          <w:rFonts w:hint="eastAsia"/>
          <w:b/>
          <w:color w:val="3D3D3D"/>
          <w:kern w:val="0"/>
          <w:sz w:val="15"/>
          <w:szCs w:val="15"/>
          <w:u w:val="single"/>
        </w:rPr>
        <w:t>权利、增加或加重本</w:t>
      </w:r>
      <w:r>
        <w:rPr>
          <w:rFonts w:hint="eastAsia"/>
          <w:b/>
          <w:bCs/>
          <w:color w:val="3D3D3D"/>
          <w:kern w:val="0"/>
          <w:sz w:val="15"/>
          <w:szCs w:val="15"/>
          <w:u w:val="single"/>
        </w:rPr>
        <w:t>投资者</w:t>
      </w:r>
      <w:r>
        <w:rPr>
          <w:rFonts w:hint="eastAsia"/>
          <w:b/>
          <w:color w:val="3D3D3D"/>
          <w:kern w:val="0"/>
          <w:sz w:val="15"/>
          <w:szCs w:val="15"/>
          <w:u w:val="single"/>
        </w:rPr>
        <w:t>义务或责任以及有关免除或减轻南银理财责任或南银理财单方面拥有某些权利的条款已向本人予以说明，本</w:t>
      </w:r>
      <w:r>
        <w:rPr>
          <w:rFonts w:hint="eastAsia"/>
          <w:b/>
          <w:bCs/>
          <w:color w:val="3D3D3D"/>
          <w:kern w:val="0"/>
          <w:sz w:val="15"/>
          <w:szCs w:val="15"/>
          <w:u w:val="single"/>
        </w:rPr>
        <w:t>投资者</w:t>
      </w:r>
      <w:r>
        <w:rPr>
          <w:rFonts w:hint="eastAsia"/>
          <w:b/>
          <w:color w:val="3D3D3D"/>
          <w:kern w:val="0"/>
          <w:sz w:val="15"/>
          <w:szCs w:val="15"/>
          <w:u w:val="single"/>
        </w:rPr>
        <w:t>已完全理解并自愿接受。</w:t>
      </w:r>
    </w:p>
    <w:p>
      <w:pPr>
        <w:widowControl/>
        <w:spacing w:line="200" w:lineRule="exact"/>
        <w:ind w:firstLine="420"/>
        <w:rPr>
          <w:b/>
          <w:color w:val="3D3D3D"/>
          <w:kern w:val="0"/>
          <w:sz w:val="15"/>
          <w:szCs w:val="15"/>
          <w:u w:val="single"/>
        </w:rPr>
      </w:pPr>
      <w:r>
        <w:rPr>
          <w:rFonts w:hint="eastAsia"/>
          <w:b/>
          <w:color w:val="3D3D3D"/>
          <w:kern w:val="0"/>
          <w:sz w:val="15"/>
          <w:szCs w:val="15"/>
        </w:rPr>
        <w:t>2.</w:t>
      </w:r>
      <w:r>
        <w:rPr>
          <w:rFonts w:hint="eastAsia"/>
          <w:b/>
          <w:color w:val="3D3D3D"/>
          <w:kern w:val="0"/>
          <w:sz w:val="15"/>
          <w:szCs w:val="15"/>
          <w:u w:val="single"/>
        </w:rPr>
        <w:t>本</w:t>
      </w:r>
      <w:r>
        <w:rPr>
          <w:rFonts w:hint="eastAsia"/>
          <w:b/>
          <w:bCs/>
          <w:color w:val="3D3D3D"/>
          <w:kern w:val="0"/>
          <w:sz w:val="15"/>
          <w:szCs w:val="15"/>
          <w:u w:val="single"/>
        </w:rPr>
        <w:t>投资者</w:t>
      </w:r>
      <w:r>
        <w:rPr>
          <w:rFonts w:hint="eastAsia"/>
          <w:b/>
          <w:color w:val="3D3D3D"/>
          <w:kern w:val="0"/>
          <w:sz w:val="15"/>
          <w:szCs w:val="15"/>
          <w:u w:val="single"/>
        </w:rPr>
        <w:t>确认，将向本理财产品销售机构真实提供信息，自主作出认购</w:t>
      </w:r>
      <w:r>
        <w:rPr>
          <w:b/>
          <w:color w:val="3D3D3D"/>
          <w:kern w:val="0"/>
          <w:sz w:val="15"/>
          <w:szCs w:val="15"/>
          <w:u w:val="single"/>
        </w:rPr>
        <w:t>/</w:t>
      </w:r>
      <w:r>
        <w:rPr>
          <w:rFonts w:hint="eastAsia"/>
          <w:b/>
          <w:color w:val="3D3D3D"/>
          <w:kern w:val="0"/>
          <w:sz w:val="15"/>
          <w:szCs w:val="15"/>
          <w:u w:val="single"/>
        </w:rPr>
        <w:t>申购</w:t>
      </w:r>
      <w:r>
        <w:rPr>
          <w:b/>
          <w:color w:val="3D3D3D"/>
          <w:kern w:val="0"/>
          <w:sz w:val="15"/>
          <w:szCs w:val="15"/>
          <w:u w:val="single"/>
        </w:rPr>
        <w:t>/</w:t>
      </w:r>
      <w:r>
        <w:rPr>
          <w:rFonts w:hint="eastAsia"/>
          <w:b/>
          <w:color w:val="3D3D3D"/>
          <w:kern w:val="0"/>
          <w:sz w:val="15"/>
          <w:szCs w:val="15"/>
          <w:u w:val="single"/>
        </w:rPr>
        <w:t>赎回等决定，自主承担投资风险。本</w:t>
      </w:r>
      <w:r>
        <w:rPr>
          <w:rFonts w:hint="eastAsia"/>
          <w:b/>
          <w:bCs/>
          <w:color w:val="3D3D3D"/>
          <w:kern w:val="0"/>
          <w:sz w:val="15"/>
          <w:szCs w:val="15"/>
          <w:u w:val="single"/>
        </w:rPr>
        <w:t>投资者</w:t>
      </w:r>
      <w:r>
        <w:rPr>
          <w:rFonts w:hint="eastAsia"/>
          <w:b/>
          <w:color w:val="3D3D3D"/>
          <w:kern w:val="0"/>
          <w:sz w:val="15"/>
          <w:szCs w:val="15"/>
          <w:u w:val="single"/>
        </w:rPr>
        <w:t>拒绝向销售机构提供或者未按照要求提供信息的，销售机构有权告知本</w:t>
      </w:r>
      <w:r>
        <w:rPr>
          <w:rFonts w:hint="eastAsia"/>
          <w:b/>
          <w:bCs/>
          <w:color w:val="3D3D3D"/>
          <w:kern w:val="0"/>
          <w:sz w:val="15"/>
          <w:szCs w:val="15"/>
          <w:u w:val="single"/>
        </w:rPr>
        <w:t>投资者</w:t>
      </w:r>
      <w:r>
        <w:rPr>
          <w:rFonts w:hint="eastAsia"/>
          <w:b/>
          <w:color w:val="3D3D3D"/>
          <w:kern w:val="0"/>
          <w:sz w:val="15"/>
          <w:szCs w:val="15"/>
          <w:u w:val="single"/>
        </w:rPr>
        <w:t>相应的后果和责任，并有权拒绝向本</w:t>
      </w:r>
      <w:r>
        <w:rPr>
          <w:rFonts w:hint="eastAsia"/>
          <w:b/>
          <w:bCs/>
          <w:color w:val="3D3D3D"/>
          <w:kern w:val="0"/>
          <w:sz w:val="15"/>
          <w:szCs w:val="15"/>
          <w:u w:val="single"/>
        </w:rPr>
        <w:t>投资者</w:t>
      </w:r>
      <w:r>
        <w:rPr>
          <w:rFonts w:hint="eastAsia"/>
          <w:b/>
          <w:color w:val="3D3D3D"/>
          <w:kern w:val="0"/>
          <w:sz w:val="15"/>
          <w:szCs w:val="15"/>
          <w:u w:val="single"/>
        </w:rPr>
        <w:t>提供销售服务。</w:t>
      </w:r>
    </w:p>
    <w:p>
      <w:pPr>
        <w:widowControl/>
        <w:spacing w:line="200" w:lineRule="exact"/>
        <w:ind w:firstLine="420"/>
        <w:rPr>
          <w:b/>
          <w:color w:val="3D3D3D"/>
          <w:kern w:val="0"/>
          <w:sz w:val="15"/>
          <w:szCs w:val="15"/>
          <w:u w:val="single"/>
        </w:rPr>
      </w:pPr>
      <w:r>
        <w:rPr>
          <w:rFonts w:hint="eastAsia"/>
          <w:b/>
          <w:color w:val="3D3D3D"/>
          <w:kern w:val="0"/>
          <w:sz w:val="15"/>
          <w:szCs w:val="15"/>
        </w:rPr>
        <w:t>3.</w:t>
      </w:r>
      <w:r>
        <w:rPr>
          <w:rFonts w:hint="eastAsia"/>
          <w:b/>
          <w:color w:val="3D3D3D"/>
          <w:kern w:val="0"/>
          <w:sz w:val="15"/>
          <w:szCs w:val="15"/>
          <w:u w:val="single"/>
        </w:rPr>
        <w:t>本投资者确认，投资本理财产品的资金非贷款、发行债券等募集的非自有资金。</w:t>
      </w:r>
    </w:p>
    <w:p>
      <w:pPr>
        <w:widowControl/>
        <w:spacing w:line="200" w:lineRule="exact"/>
        <w:ind w:firstLine="420"/>
        <w:rPr>
          <w:b/>
          <w:color w:val="3D3D3D"/>
          <w:kern w:val="0"/>
          <w:sz w:val="15"/>
          <w:szCs w:val="15"/>
          <w:u w:val="single"/>
        </w:rPr>
      </w:pPr>
      <w:r>
        <w:rPr>
          <w:rFonts w:hint="eastAsia"/>
          <w:b/>
          <w:color w:val="3D3D3D"/>
          <w:kern w:val="0"/>
          <w:sz w:val="15"/>
          <w:szCs w:val="15"/>
        </w:rPr>
        <w:t>4.</w:t>
      </w:r>
      <w:r>
        <w:rPr>
          <w:rFonts w:hint="eastAsia"/>
          <w:b/>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中低、中、中高、高）。如果影响本投资者风险承受能力的因素发生变化，本投资者将及时完成风险承受能力评估，否则由此产生的责任和风险由本投资者自行承担。（仅由个人投资者亲自填写）</w:t>
      </w:r>
    </w:p>
    <w:p>
      <w:pPr>
        <w:widowControl/>
        <w:spacing w:line="200" w:lineRule="exact"/>
        <w:ind w:firstLine="420"/>
        <w:rPr>
          <w:b/>
          <w:color w:val="3D3D3D"/>
          <w:kern w:val="0"/>
          <w:sz w:val="15"/>
          <w:szCs w:val="15"/>
          <w:u w:val="single"/>
        </w:rPr>
      </w:pPr>
      <w:r>
        <w:rPr>
          <w:rFonts w:hint="eastAsia"/>
          <w:b/>
          <w:color w:val="3D3D3D"/>
          <w:kern w:val="0"/>
          <w:sz w:val="15"/>
          <w:szCs w:val="15"/>
        </w:rPr>
        <w:t>5.</w:t>
      </w:r>
      <w:r>
        <w:rPr>
          <w:rFonts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pPr>
        <w:widowControl/>
        <w:spacing w:line="200" w:lineRule="exact"/>
        <w:ind w:firstLine="420"/>
        <w:rPr>
          <w:b/>
          <w:color w:val="3D3D3D"/>
          <w:kern w:val="0"/>
          <w:sz w:val="15"/>
          <w:szCs w:val="15"/>
          <w:u w:val="single"/>
        </w:rPr>
      </w:pPr>
      <w:r>
        <w:rPr>
          <w:rFonts w:hint="eastAsia"/>
          <w:b/>
          <w:color w:val="3D3D3D"/>
          <w:kern w:val="0"/>
          <w:sz w:val="15"/>
          <w:szCs w:val="15"/>
        </w:rPr>
        <w:t>6.</w:t>
      </w:r>
      <w:r>
        <w:rPr>
          <w:rFonts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widowControl/>
        <w:spacing w:line="200" w:lineRule="exact"/>
        <w:ind w:firstLine="420"/>
        <w:rPr>
          <w:b/>
          <w:color w:val="3D3D3D"/>
          <w:kern w:val="0"/>
          <w:sz w:val="15"/>
          <w:szCs w:val="15"/>
          <w:u w:val="single"/>
        </w:rPr>
      </w:pPr>
      <w:r>
        <w:rPr>
          <w:rFonts w:hint="eastAsia"/>
          <w:b/>
          <w:color w:val="3D3D3D"/>
          <w:kern w:val="0"/>
          <w:sz w:val="15"/>
          <w:szCs w:val="15"/>
        </w:rPr>
        <w:t>7.</w:t>
      </w:r>
      <w:r>
        <w:rPr>
          <w:rFonts w:hint="eastAsia"/>
          <w:b/>
          <w:color w:val="3D3D3D"/>
          <w:kern w:val="0"/>
          <w:sz w:val="15"/>
          <w:szCs w:val="15"/>
          <w:u w:val="single"/>
        </w:rPr>
        <w:t>如销售机构为管理人关联方的，本投资者认可此等关联方及关联交易情形的存在并自愿承担相关投资风险。</w:t>
      </w:r>
    </w:p>
    <w:p>
      <w:pPr>
        <w:widowControl/>
        <w:spacing w:line="200" w:lineRule="exact"/>
        <w:ind w:firstLine="420"/>
        <w:rPr>
          <w:color w:val="3D3D3D"/>
          <w:kern w:val="0"/>
          <w:sz w:val="15"/>
          <w:szCs w:val="15"/>
          <w:u w:val="single"/>
        </w:rPr>
      </w:pPr>
      <w:r>
        <w:rPr>
          <w:rFonts w:hint="eastAsia"/>
          <w:color w:val="3D3D3D"/>
          <w:kern w:val="0"/>
          <w:sz w:val="15"/>
          <w:szCs w:val="15"/>
        </w:rPr>
        <w:t>8.以下划线部分，请投资者抄录确认：</w:t>
      </w:r>
      <w:r>
        <w:rPr>
          <w:color w:val="3D3D3D"/>
          <w:kern w:val="0"/>
          <w:sz w:val="15"/>
          <w:szCs w:val="15"/>
        </w:rPr>
        <w:t>“</w:t>
      </w:r>
      <w:r>
        <w:rPr>
          <w:rFonts w:hint="eastAsia"/>
          <w:b/>
          <w:color w:val="3D3D3D"/>
          <w:kern w:val="0"/>
          <w:sz w:val="15"/>
          <w:szCs w:val="15"/>
          <w:u w:val="single"/>
        </w:rPr>
        <w:t>本人已经阅读风险揭示，愿意承担投资风险</w:t>
      </w:r>
      <w:r>
        <w:rPr>
          <w:color w:val="3D3D3D"/>
          <w:kern w:val="0"/>
          <w:sz w:val="15"/>
          <w:szCs w:val="15"/>
        </w:rPr>
        <w:t>”</w:t>
      </w:r>
      <w:r>
        <w:rPr>
          <w:rFonts w:hint="eastAsia"/>
          <w:color w:val="3D3D3D"/>
          <w:kern w:val="0"/>
          <w:sz w:val="15"/>
          <w:szCs w:val="15"/>
        </w:rPr>
        <w:t>。</w:t>
      </w:r>
    </w:p>
    <w:p>
      <w:pPr>
        <w:widowControl/>
        <w:spacing w:line="200" w:lineRule="exact"/>
        <w:ind w:firstLine="210"/>
        <w:rPr>
          <w:color w:val="3D3D3D"/>
          <w:kern w:val="0"/>
          <w:sz w:val="15"/>
          <w:szCs w:val="15"/>
        </w:rPr>
      </w:pPr>
      <w:r>
        <w:rPr>
          <w:rFonts w:hint="eastAsia"/>
          <w:color w:val="3D3D3D"/>
          <w:kern w:val="0"/>
          <w:sz w:val="15"/>
          <w:szCs w:val="15"/>
        </w:rPr>
        <w:t xml:space="preserve">         </w:t>
      </w:r>
    </w:p>
    <w:p>
      <w:pPr>
        <w:widowControl/>
        <w:spacing w:line="200" w:lineRule="exact"/>
        <w:ind w:firstLine="210"/>
        <w:rPr>
          <w:color w:val="3D3D3D"/>
          <w:kern w:val="0"/>
          <w:sz w:val="15"/>
          <w:szCs w:val="15"/>
        </w:rPr>
      </w:pPr>
    </w:p>
    <w:p>
      <w:pPr>
        <w:widowControl/>
        <w:spacing w:line="200" w:lineRule="exact"/>
        <w:ind w:firstLine="210"/>
        <w:rPr>
          <w:color w:val="3D3D3D"/>
          <w:kern w:val="0"/>
          <w:sz w:val="15"/>
          <w:szCs w:val="15"/>
        </w:rPr>
      </w:pPr>
      <w:r>
        <w:rPr>
          <w:rFonts w:hint="eastAsia"/>
          <w:color w:val="3D3D3D"/>
          <w:kern w:val="0"/>
          <w:sz w:val="15"/>
          <w:szCs w:val="15"/>
        </w:rPr>
        <w:t>投资者抄录：</w:t>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r>
        <w:rPr>
          <w:sz w:val="15"/>
          <w:szCs w:val="15"/>
          <w:u w:val="single"/>
        </w:rPr>
        <w:tab/>
      </w:r>
    </w:p>
    <w:p>
      <w:pPr>
        <w:widowControl/>
        <w:spacing w:line="200" w:lineRule="exact"/>
        <w:ind w:firstLine="210"/>
        <w:rPr>
          <w:color w:val="3D3D3D"/>
          <w:kern w:val="0"/>
          <w:sz w:val="13"/>
          <w:szCs w:val="13"/>
        </w:rPr>
      </w:pPr>
    </w:p>
    <w:p>
      <w:pPr>
        <w:widowControl/>
        <w:spacing w:line="200" w:lineRule="exact"/>
        <w:ind w:firstLine="210"/>
        <w:jc w:val="left"/>
        <w:rPr>
          <w:color w:val="3D3D3D"/>
          <w:kern w:val="0"/>
          <w:sz w:val="13"/>
          <w:szCs w:val="13"/>
        </w:rPr>
      </w:pPr>
    </w:p>
    <w:p>
      <w:pPr>
        <w:widowControl/>
        <w:spacing w:line="200" w:lineRule="exact"/>
        <w:ind w:firstLine="210"/>
        <w:jc w:val="left"/>
        <w:rPr>
          <w:color w:val="3D3D3D"/>
          <w:kern w:val="0"/>
          <w:sz w:val="13"/>
          <w:szCs w:val="13"/>
        </w:rPr>
      </w:pPr>
    </w:p>
    <w:tbl>
      <w:tblPr>
        <w:tblStyle w:val="12"/>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b/>
                <w:sz w:val="15"/>
                <w:szCs w:val="15"/>
              </w:rPr>
            </w:pPr>
            <w:r>
              <w:rPr>
                <w:rFonts w:hint="eastAsia"/>
                <w:b/>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360" w:lineRule="auto"/>
              <w:rPr>
                <w:color w:val="3D3D3D"/>
                <w:kern w:val="0"/>
                <w:sz w:val="13"/>
                <w:szCs w:val="13"/>
              </w:rPr>
            </w:pPr>
            <w:r>
              <w:rPr>
                <w:rFonts w:hint="eastAsia"/>
                <w:sz w:val="15"/>
                <w:szCs w:val="15"/>
              </w:rPr>
              <w:t>签名：</w:t>
            </w:r>
          </w:p>
          <w:p>
            <w:pPr>
              <w:widowControl/>
              <w:spacing w:line="360" w:lineRule="auto"/>
              <w:ind w:firstLine="130" w:firstLineChars="100"/>
              <w:rPr>
                <w:sz w:val="15"/>
                <w:szCs w:val="15"/>
              </w:rPr>
            </w:pP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sz w:val="15"/>
                <w:szCs w:val="15"/>
              </w:rPr>
            </w:pPr>
            <w:r>
              <w:rPr>
                <w:rFonts w:hint="eastAsia"/>
                <w:b/>
                <w:bCs/>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200" w:lineRule="exact"/>
              <w:jc w:val="left"/>
              <w:rPr>
                <w:b/>
                <w:bCs/>
                <w:color w:val="3D3D3D"/>
                <w:kern w:val="0"/>
                <w:sz w:val="15"/>
                <w:szCs w:val="15"/>
              </w:rPr>
            </w:pPr>
          </w:p>
          <w:p>
            <w:pPr>
              <w:widowControl/>
              <w:spacing w:line="200" w:lineRule="exact"/>
              <w:jc w:val="left"/>
              <w:rPr>
                <w:b/>
                <w:bCs/>
                <w:color w:val="3D3D3D"/>
                <w:kern w:val="0"/>
                <w:sz w:val="15"/>
                <w:szCs w:val="15"/>
              </w:rPr>
            </w:pPr>
            <w:r>
              <w:rPr>
                <w:rFonts w:hint="eastAsia"/>
                <w:b/>
                <w:bCs/>
                <w:color w:val="3D3D3D"/>
                <w:kern w:val="0"/>
                <w:sz w:val="15"/>
                <w:szCs w:val="15"/>
              </w:rPr>
              <w:t>盖章（公章）</w:t>
            </w:r>
          </w:p>
          <w:p>
            <w:pPr>
              <w:widowControl/>
              <w:spacing w:line="200" w:lineRule="exact"/>
              <w:jc w:val="left"/>
              <w:rPr>
                <w:b/>
                <w:bCs/>
                <w:color w:val="3D3D3D"/>
                <w:kern w:val="0"/>
                <w:sz w:val="15"/>
                <w:szCs w:val="15"/>
              </w:rPr>
            </w:pPr>
          </w:p>
          <w:p>
            <w:pPr>
              <w:widowControl/>
              <w:spacing w:line="200" w:lineRule="exact"/>
              <w:jc w:val="left"/>
              <w:rPr>
                <w:b/>
                <w:bCs/>
                <w:color w:val="3D3D3D"/>
                <w:kern w:val="0"/>
                <w:sz w:val="15"/>
                <w:szCs w:val="15"/>
              </w:rPr>
            </w:pPr>
            <w:r>
              <w:rPr>
                <w:rFonts w:hint="eastAsia"/>
                <w:b/>
                <w:bCs/>
                <w:color w:val="3D3D3D"/>
                <w:kern w:val="0"/>
                <w:sz w:val="15"/>
                <w:szCs w:val="15"/>
              </w:rPr>
              <w:t>法定代表人或授权代理人（签名或盖章）：</w:t>
            </w:r>
            <w:r>
              <w:rPr>
                <w:b/>
                <w:bCs/>
                <w:color w:val="3D3D3D"/>
                <w:kern w:val="0"/>
                <w:sz w:val="15"/>
                <w:szCs w:val="15"/>
              </w:rPr>
              <w:t xml:space="preserve"> </w:t>
            </w:r>
            <w:r>
              <w:rPr>
                <w:b/>
                <w:bCs/>
                <w:color w:val="3D3D3D"/>
                <w:kern w:val="0"/>
                <w:sz w:val="15"/>
                <w:szCs w:val="15"/>
              </w:rPr>
              <w:tab/>
            </w:r>
          </w:p>
          <w:p>
            <w:pPr>
              <w:widowControl/>
              <w:spacing w:line="200" w:lineRule="exact"/>
              <w:jc w:val="left"/>
              <w:rPr>
                <w:color w:val="3D3D3D"/>
                <w:kern w:val="0"/>
                <w:sz w:val="13"/>
                <w:szCs w:val="13"/>
              </w:rPr>
            </w:pPr>
          </w:p>
          <w:p>
            <w:pPr>
              <w:widowControl/>
              <w:spacing w:line="200" w:lineRule="exact"/>
              <w:jc w:val="left"/>
              <w:rPr>
                <w:sz w:val="15"/>
                <w:szCs w:val="15"/>
              </w:rPr>
            </w:pPr>
            <w:r>
              <w:rPr>
                <w:color w:val="3D3D3D"/>
                <w:kern w:val="0"/>
                <w:sz w:val="13"/>
                <w:szCs w:val="13"/>
              </w:rPr>
              <w:t xml:space="preserve">      </w:t>
            </w:r>
            <w:r>
              <w:rPr>
                <w:rFonts w:hint="eastAsia"/>
                <w:color w:val="3D3D3D"/>
                <w:kern w:val="0"/>
                <w:sz w:val="13"/>
                <w:szCs w:val="13"/>
              </w:rPr>
              <w:t>年</w:t>
            </w:r>
            <w:r>
              <w:rPr>
                <w:color w:val="3D3D3D"/>
                <w:kern w:val="0"/>
                <w:sz w:val="13"/>
                <w:szCs w:val="13"/>
              </w:rPr>
              <w:t xml:space="preserve">   </w:t>
            </w:r>
            <w:r>
              <w:rPr>
                <w:rFonts w:hint="eastAsia"/>
                <w:color w:val="3D3D3D"/>
                <w:kern w:val="0"/>
                <w:sz w:val="13"/>
                <w:szCs w:val="13"/>
              </w:rPr>
              <w:t>月</w:t>
            </w:r>
            <w:r>
              <w:rPr>
                <w:color w:val="3D3D3D"/>
                <w:kern w:val="0"/>
                <w:sz w:val="13"/>
                <w:szCs w:val="13"/>
              </w:rPr>
              <w:t xml:space="preserve">    </w:t>
            </w:r>
            <w:r>
              <w:rPr>
                <w:rFonts w:hint="eastAsia"/>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00" w:lineRule="exact"/>
              <w:jc w:val="center"/>
              <w:rPr>
                <w:sz w:val="15"/>
                <w:szCs w:val="15"/>
              </w:rPr>
            </w:pPr>
            <w:r>
              <w:rPr>
                <w:rFonts w:hint="eastAsia"/>
                <w:b/>
                <w:bCs/>
                <w:sz w:val="15"/>
                <w:szCs w:val="15"/>
              </w:rPr>
              <w:t>电子渠道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c>
          <w:tcPr>
            <w:tcW w:w="9287" w:type="dxa"/>
            <w:tcBorders>
              <w:top w:val="single" w:color="auto" w:sz="4" w:space="0"/>
              <w:left w:val="single" w:color="auto" w:sz="4" w:space="0"/>
              <w:bottom w:val="single" w:color="auto" w:sz="4" w:space="0"/>
              <w:right w:val="single" w:color="auto" w:sz="4" w:space="0"/>
              <w:tl2br w:val="nil"/>
              <w:tr2bl w:val="nil"/>
            </w:tcBorders>
          </w:tcPr>
          <w:p>
            <w:pPr>
              <w:widowControl/>
              <w:spacing w:line="200" w:lineRule="exact"/>
              <w:ind w:firstLine="301" w:firstLineChars="200"/>
              <w:rPr>
                <w:sz w:val="15"/>
                <w:szCs w:val="15"/>
              </w:rPr>
            </w:pPr>
            <w:r>
              <w:rPr>
                <w:rFonts w:hint="eastAsia"/>
                <w:b/>
                <w:color w:val="3D3D3D"/>
                <w:kern w:val="0"/>
                <w:sz w:val="15"/>
                <w:szCs w:val="15"/>
                <w:u w:val="single"/>
              </w:rPr>
              <w:t>如投资者通过电子渠道（包括但不限于网上银行、手机银行或官方网站等）购买本理财产品的，</w:t>
            </w:r>
            <w:r>
              <w:rPr>
                <w:rFonts w:hint="eastAsia"/>
                <w:spacing w:val="10"/>
                <w:sz w:val="15"/>
                <w:szCs w:val="15"/>
              </w:rPr>
              <w:t>本风险揭示书以数据电文形式订立，</w:t>
            </w:r>
            <w:r>
              <w:rPr>
                <w:rFonts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险。</w:t>
            </w:r>
            <w:r>
              <w:rPr>
                <w:rFonts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bookmarkStart w:id="0" w:name="_GoBack"/>
      <w:bookmarkEnd w:id="0"/>
    </w:p>
    <w:sectPr>
      <w:head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altName w:val="宋体"/>
    <w:panose1 w:val="00000000000000000000"/>
    <w:charset w:val="86"/>
    <w:family w:val="roman"/>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E88"/>
    <w:rsid w:val="00251E29"/>
    <w:rsid w:val="002F2060"/>
    <w:rsid w:val="008F4E88"/>
    <w:rsid w:val="5E4D3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黑体_GBK" w:hAnsi="方正黑体_GBK" w:eastAsia="方正黑体_GBK" w:cs="Times New Roman"/>
      <w:kern w:val="2"/>
      <w:sz w:val="21"/>
      <w:szCs w:val="21"/>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rPr>
  </w:style>
  <w:style w:type="paragraph" w:styleId="3">
    <w:name w:val="heading 2"/>
    <w:basedOn w:val="1"/>
    <w:next w:val="1"/>
    <w:semiHidden/>
    <w:unhideWhenUsed/>
    <w:qFormat/>
    <w:uiPriority w:val="9"/>
    <w:pPr>
      <w:keepNext/>
      <w:keepLines/>
      <w:spacing w:before="260" w:after="260" w:line="415" w:lineRule="auto"/>
      <w:outlineLvl w:val="1"/>
    </w:pPr>
    <w:rPr>
      <w:b/>
      <w:sz w:val="32"/>
    </w:rPr>
  </w:style>
  <w:style w:type="paragraph" w:styleId="4">
    <w:name w:val="heading 3"/>
    <w:basedOn w:val="1"/>
    <w:next w:val="1"/>
    <w:semiHidden/>
    <w:unhideWhenUsed/>
    <w:qFormat/>
    <w:uiPriority w:val="9"/>
    <w:pPr>
      <w:keepNext/>
      <w:keepLines/>
      <w:spacing w:before="260" w:after="260" w:line="415" w:lineRule="auto"/>
      <w:outlineLvl w:val="2"/>
    </w:pPr>
    <w:rPr>
      <w:b/>
      <w:sz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qFormat/>
    <w:uiPriority w:val="0"/>
    <w:pPr>
      <w:tabs>
        <w:tab w:val="center" w:pos="4153"/>
        <w:tab w:val="right" w:pos="8307"/>
      </w:tabs>
      <w:snapToGrid w:val="0"/>
      <w:jc w:val="left"/>
    </w:pPr>
    <w:rPr>
      <w:sz w:val="18"/>
    </w:rPr>
  </w:style>
  <w:style w:type="paragraph" w:styleId="8">
    <w:name w:val="header"/>
    <w:basedOn w:val="1"/>
    <w:qFormat/>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qFormat/>
    <w:uiPriority w:val="0"/>
  </w:style>
  <w:style w:type="paragraph" w:styleId="10">
    <w:name w:val="toc 4"/>
    <w:basedOn w:val="1"/>
    <w:next w:val="1"/>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3c383257"/>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16">
    <w:name w:val="heading 1f9b5580e"/>
    <w:basedOn w:val="15"/>
    <w:next w:val="1"/>
    <w:uiPriority w:val="0"/>
    <w:pPr>
      <w:keepNext/>
      <w:keepLines/>
      <w:spacing w:before="340" w:after="330" w:line="578" w:lineRule="auto"/>
      <w:outlineLvl w:val="0"/>
    </w:pPr>
    <w:rPr>
      <w:b/>
      <w:bCs/>
      <w:kern w:val="44"/>
      <w:sz w:val="44"/>
    </w:rPr>
  </w:style>
  <w:style w:type="paragraph" w:customStyle="1" w:styleId="17">
    <w:name w:val="heading 2e5b0a235"/>
    <w:basedOn w:val="15"/>
    <w:next w:val="1"/>
    <w:uiPriority w:val="0"/>
    <w:pPr>
      <w:keepNext/>
      <w:keepLines/>
      <w:spacing w:before="260" w:after="260" w:line="415" w:lineRule="auto"/>
      <w:outlineLvl w:val="1"/>
    </w:pPr>
    <w:rPr>
      <w:b/>
      <w:sz w:val="32"/>
    </w:rPr>
  </w:style>
  <w:style w:type="paragraph" w:customStyle="1" w:styleId="18">
    <w:name w:val="heading 3972fb2fa"/>
    <w:basedOn w:val="15"/>
    <w:next w:val="1"/>
    <w:uiPriority w:val="0"/>
    <w:pPr>
      <w:keepNext/>
      <w:keepLines/>
      <w:spacing w:before="260" w:after="260" w:line="415" w:lineRule="auto"/>
      <w:outlineLvl w:val="2"/>
    </w:pPr>
    <w:rPr>
      <w:b/>
      <w:sz w:val="32"/>
    </w:rPr>
  </w:style>
  <w:style w:type="character" w:customStyle="1" w:styleId="19">
    <w:name w:val="Default Paragraph Fontea4da408"/>
    <w:uiPriority w:val="0"/>
  </w:style>
  <w:style w:type="paragraph" w:customStyle="1" w:styleId="20">
    <w:name w:val="toc 1ed4ca3e8"/>
    <w:basedOn w:val="15"/>
    <w:next w:val="1"/>
    <w:uiPriority w:val="0"/>
  </w:style>
  <w:style w:type="paragraph" w:customStyle="1" w:styleId="21">
    <w:name w:val="toc 242931cd9"/>
    <w:basedOn w:val="15"/>
    <w:next w:val="1"/>
    <w:qFormat/>
    <w:uiPriority w:val="0"/>
    <w:pPr>
      <w:ind w:left="420"/>
    </w:pPr>
  </w:style>
  <w:style w:type="paragraph" w:customStyle="1" w:styleId="22">
    <w:name w:val="toc 390fd8906"/>
    <w:basedOn w:val="15"/>
    <w:next w:val="1"/>
    <w:uiPriority w:val="0"/>
    <w:pPr>
      <w:ind w:left="840"/>
    </w:pPr>
  </w:style>
  <w:style w:type="paragraph" w:customStyle="1" w:styleId="23">
    <w:name w:val="toc 4fd7c3a15"/>
    <w:basedOn w:val="15"/>
    <w:next w:val="1"/>
    <w:uiPriority w:val="0"/>
    <w:pPr>
      <w:ind w:left="1260"/>
    </w:pPr>
  </w:style>
  <w:style w:type="paragraph" w:customStyle="1" w:styleId="24">
    <w:name w:val="toc 546e0bb29"/>
    <w:basedOn w:val="15"/>
    <w:next w:val="1"/>
    <w:uiPriority w:val="0"/>
    <w:pPr>
      <w:ind w:left="1680"/>
    </w:pPr>
  </w:style>
  <w:style w:type="paragraph" w:customStyle="1" w:styleId="25">
    <w:name w:val="header1d1f8072"/>
    <w:basedOn w:val="15"/>
    <w:uiPriority w:val="0"/>
    <w:pPr>
      <w:pBdr>
        <w:bottom w:val="single" w:color="auto" w:sz="6" w:space="1"/>
      </w:pBdr>
      <w:tabs>
        <w:tab w:val="center" w:pos="4153"/>
        <w:tab w:val="right" w:pos="8307"/>
      </w:tabs>
      <w:snapToGrid w:val="0"/>
      <w:jc w:val="center"/>
    </w:pPr>
    <w:rPr>
      <w:sz w:val="18"/>
    </w:rPr>
  </w:style>
  <w:style w:type="paragraph" w:customStyle="1" w:styleId="26">
    <w:name w:val="footer208549c7"/>
    <w:basedOn w:val="15"/>
    <w:uiPriority w:val="0"/>
    <w:pPr>
      <w:tabs>
        <w:tab w:val="center" w:pos="4153"/>
        <w:tab w:val="right" w:pos="8307"/>
      </w:tabs>
      <w:snapToGrid w:val="0"/>
      <w:jc w:val="left"/>
    </w:pPr>
    <w:rPr>
      <w:sz w:val="18"/>
    </w:rPr>
  </w:style>
  <w:style w:type="character" w:customStyle="1" w:styleId="27">
    <w:name w:val="Strong6dfe2b87"/>
    <w:uiPriority w:val="0"/>
    <w:rPr>
      <w:b/>
    </w:rPr>
  </w:style>
  <w:style w:type="paragraph" w:customStyle="1" w:styleId="28">
    <w:name w:val="annotation text23"/>
    <w:next w:val="9"/>
    <w:uiPriority w:val="0"/>
    <w:pPr>
      <w:widowControl w:val="0"/>
    </w:pPr>
    <w:rPr>
      <w:rFonts w:ascii="方正黑体_GBK" w:hAnsi="方正黑体_GBK" w:eastAsia="方正黑体_GBK" w:cs="Times New Roman"/>
      <w:kern w:val="2"/>
      <w:sz w:val="21"/>
      <w:szCs w:val="21"/>
      <w:lang w:val="en-US" w:eastAsia="zh-CN" w:bidi="ar-SA"/>
    </w:rPr>
  </w:style>
  <w:style w:type="paragraph" w:customStyle="1" w:styleId="29">
    <w:name w:val="Normalf23d508c"/>
    <w:next w:val="9"/>
    <w:uiPriority w:val="0"/>
    <w:pPr>
      <w:widowControl w:val="0"/>
      <w:jc w:val="both"/>
    </w:pPr>
    <w:rPr>
      <w:rFonts w:ascii="方正黑体_GBK" w:hAnsi="方正黑体_GBK" w:eastAsia="方正黑体_GBK" w:cs="Times New Roman"/>
      <w:kern w:val="2"/>
      <w:sz w:val="18"/>
      <w:szCs w:val="18"/>
      <w:lang w:val="en-US" w:eastAsia="zh-CN" w:bidi="ar-SA"/>
    </w:rPr>
  </w:style>
  <w:style w:type="paragraph" w:customStyle="1" w:styleId="30">
    <w:name w:val="heading 1ad174c2e"/>
    <w:basedOn w:val="29"/>
    <w:next w:val="1"/>
    <w:uiPriority w:val="0"/>
    <w:pPr>
      <w:keepNext/>
      <w:keepLines/>
      <w:spacing w:before="340" w:after="330" w:line="578" w:lineRule="auto"/>
      <w:outlineLvl w:val="0"/>
    </w:pPr>
    <w:rPr>
      <w:b/>
      <w:bCs/>
      <w:kern w:val="44"/>
      <w:sz w:val="44"/>
    </w:rPr>
  </w:style>
  <w:style w:type="paragraph" w:customStyle="1" w:styleId="31">
    <w:name w:val="heading 2affcb11a"/>
    <w:basedOn w:val="29"/>
    <w:next w:val="1"/>
    <w:uiPriority w:val="0"/>
    <w:pPr>
      <w:keepNext/>
      <w:keepLines/>
      <w:spacing w:before="260" w:after="260" w:line="415" w:lineRule="auto"/>
      <w:outlineLvl w:val="1"/>
    </w:pPr>
    <w:rPr>
      <w:b/>
      <w:sz w:val="32"/>
    </w:rPr>
  </w:style>
  <w:style w:type="paragraph" w:customStyle="1" w:styleId="32">
    <w:name w:val="heading 3f5bd7d5a"/>
    <w:basedOn w:val="29"/>
    <w:next w:val="1"/>
    <w:uiPriority w:val="0"/>
    <w:pPr>
      <w:keepNext/>
      <w:keepLines/>
      <w:spacing w:before="260" w:after="260" w:line="415" w:lineRule="auto"/>
      <w:outlineLvl w:val="2"/>
    </w:pPr>
    <w:rPr>
      <w:b/>
      <w:sz w:val="32"/>
    </w:rPr>
  </w:style>
  <w:style w:type="character" w:customStyle="1" w:styleId="33">
    <w:name w:val="Default Paragraph Fontbe01390a"/>
    <w:uiPriority w:val="0"/>
  </w:style>
  <w:style w:type="paragraph" w:customStyle="1" w:styleId="34">
    <w:name w:val="Normal Indent4b59cdd9"/>
    <w:basedOn w:val="29"/>
    <w:uiPriority w:val="0"/>
    <w:pPr>
      <w:ind w:firstLine="200" w:firstLineChars="200"/>
    </w:pPr>
  </w:style>
  <w:style w:type="paragraph" w:customStyle="1" w:styleId="35">
    <w:name w:val="toc 5c0bcc3e8"/>
    <w:basedOn w:val="29"/>
    <w:next w:val="1"/>
    <w:uiPriority w:val="0"/>
    <w:pPr>
      <w:ind w:left="1680"/>
    </w:pPr>
  </w:style>
  <w:style w:type="paragraph" w:customStyle="1" w:styleId="36">
    <w:name w:val="toc 3ee0535ec"/>
    <w:basedOn w:val="29"/>
    <w:next w:val="1"/>
    <w:qFormat/>
    <w:uiPriority w:val="0"/>
    <w:pPr>
      <w:ind w:left="840"/>
    </w:pPr>
  </w:style>
  <w:style w:type="paragraph" w:customStyle="1" w:styleId="37">
    <w:name w:val="footerdd15758d"/>
    <w:basedOn w:val="29"/>
    <w:uiPriority w:val="0"/>
    <w:pPr>
      <w:tabs>
        <w:tab w:val="center" w:pos="4153"/>
        <w:tab w:val="right" w:pos="8307"/>
      </w:tabs>
      <w:snapToGrid w:val="0"/>
      <w:jc w:val="left"/>
    </w:pPr>
  </w:style>
  <w:style w:type="paragraph" w:customStyle="1" w:styleId="38">
    <w:name w:val="header822d190a"/>
    <w:basedOn w:val="29"/>
    <w:uiPriority w:val="0"/>
    <w:pPr>
      <w:pBdr>
        <w:bottom w:val="single" w:color="auto" w:sz="6" w:space="1"/>
      </w:pBdr>
      <w:tabs>
        <w:tab w:val="center" w:pos="4153"/>
        <w:tab w:val="right" w:pos="8307"/>
      </w:tabs>
      <w:snapToGrid w:val="0"/>
      <w:jc w:val="center"/>
    </w:pPr>
  </w:style>
  <w:style w:type="paragraph" w:customStyle="1" w:styleId="39">
    <w:name w:val="toc 17d4ca552"/>
    <w:basedOn w:val="29"/>
    <w:next w:val="1"/>
    <w:uiPriority w:val="0"/>
  </w:style>
  <w:style w:type="paragraph" w:customStyle="1" w:styleId="40">
    <w:name w:val="toc 4358dc304"/>
    <w:basedOn w:val="29"/>
    <w:next w:val="1"/>
    <w:uiPriority w:val="0"/>
    <w:pPr>
      <w:ind w:left="1260"/>
    </w:pPr>
  </w:style>
  <w:style w:type="paragraph" w:customStyle="1" w:styleId="41">
    <w:name w:val="toc 2e432e9f1"/>
    <w:basedOn w:val="29"/>
    <w:next w:val="1"/>
    <w:qFormat/>
    <w:uiPriority w:val="0"/>
    <w:pPr>
      <w:ind w:left="420"/>
    </w:pPr>
  </w:style>
  <w:style w:type="paragraph" w:customStyle="1" w:styleId="42">
    <w:name w:val="Normal (Web)04b52556"/>
    <w:next w:val="8"/>
    <w:uiPriority w:val="0"/>
    <w:pPr>
      <w:spacing w:before="102" w:after="102" w:line="1099" w:lineRule="atLeast"/>
      <w:ind w:firstLine="419"/>
      <w:textAlignment w:val="baseline"/>
    </w:pPr>
    <w:rPr>
      <w:rFonts w:ascii="方正黑体_GBK" w:hAnsi="方正黑体_GBK" w:eastAsia="方正黑体_GBK" w:cs="Times New Roman"/>
      <w:kern w:val="0"/>
      <w:sz w:val="24"/>
      <w:szCs w:val="24"/>
      <w:lang w:val="en-US" w:eastAsia="zh-CN" w:bidi="ar-SA"/>
    </w:rPr>
  </w:style>
  <w:style w:type="paragraph" w:customStyle="1" w:styleId="43">
    <w:name w:val="引文目录124"/>
    <w:next w:val="1"/>
    <w:uiPriority w:val="0"/>
    <w:pPr>
      <w:widowControl w:val="0"/>
      <w:spacing w:before="100" w:beforeAutospacing="1" w:after="100" w:afterAutospacing="1"/>
      <w:ind w:left="200" w:leftChars="200"/>
      <w:jc w:val="both"/>
      <w:textAlignment w:val="baseline"/>
    </w:pPr>
    <w:rPr>
      <w:rFonts w:ascii="方正黑体_GBK" w:hAnsi="方正黑体_GBK" w:eastAsia="方正黑体_GBK" w:cs="Times New Roman"/>
      <w:kern w:val="2"/>
      <w:sz w:val="21"/>
      <w:szCs w:val="21"/>
      <w:lang w:val="en-US" w:eastAsia="zh-CN" w:bidi="ar-SA"/>
    </w:rPr>
  </w:style>
  <w:style w:type="paragraph" w:customStyle="1" w:styleId="44">
    <w:name w:val="Normal8936f75e8936f75e"/>
    <w:next w:val="9"/>
    <w:uiPriority w:val="0"/>
    <w:pPr>
      <w:widowControl w:val="0"/>
      <w:jc w:val="both"/>
    </w:pPr>
    <w:rPr>
      <w:rFonts w:ascii="方正黑体_GBK" w:hAnsi="方正黑体_GBK" w:eastAsia="方正黑体_GBK" w:cs="Times New Roman"/>
      <w:kern w:val="2"/>
      <w:sz w:val="21"/>
      <w:szCs w:val="21"/>
      <w:lang w:val="en-US" w:eastAsia="zh-CN" w:bidi="ar-SA"/>
    </w:rPr>
  </w:style>
  <w:style w:type="paragraph" w:customStyle="1" w:styleId="45">
    <w:name w:val="heading 114a1b50d14a1b50d"/>
    <w:basedOn w:val="44"/>
    <w:next w:val="1"/>
    <w:uiPriority w:val="0"/>
    <w:pPr>
      <w:keepNext/>
      <w:keepLines/>
      <w:spacing w:before="340" w:after="330" w:line="578" w:lineRule="auto"/>
      <w:outlineLvl w:val="0"/>
    </w:pPr>
    <w:rPr>
      <w:b/>
      <w:bCs/>
      <w:kern w:val="44"/>
      <w:sz w:val="44"/>
    </w:rPr>
  </w:style>
  <w:style w:type="paragraph" w:customStyle="1" w:styleId="46">
    <w:name w:val="heading 2d4d8bc05d4d8bc05"/>
    <w:basedOn w:val="44"/>
    <w:next w:val="1"/>
    <w:uiPriority w:val="0"/>
    <w:pPr>
      <w:keepNext/>
      <w:keepLines/>
      <w:spacing w:before="260" w:after="260" w:line="415" w:lineRule="auto"/>
      <w:outlineLvl w:val="1"/>
    </w:pPr>
    <w:rPr>
      <w:b/>
      <w:sz w:val="32"/>
    </w:rPr>
  </w:style>
  <w:style w:type="paragraph" w:customStyle="1" w:styleId="47">
    <w:name w:val="heading 3f441b2abf441b2ab"/>
    <w:basedOn w:val="44"/>
    <w:next w:val="1"/>
    <w:uiPriority w:val="0"/>
    <w:pPr>
      <w:keepNext/>
      <w:keepLines/>
      <w:spacing w:before="260" w:after="260" w:line="415" w:lineRule="auto"/>
      <w:outlineLvl w:val="2"/>
    </w:pPr>
    <w:rPr>
      <w:b/>
      <w:sz w:val="32"/>
    </w:rPr>
  </w:style>
  <w:style w:type="character" w:customStyle="1" w:styleId="48">
    <w:name w:val="Default Paragraph Font93883f8a93883f8a"/>
    <w:uiPriority w:val="0"/>
  </w:style>
  <w:style w:type="paragraph" w:customStyle="1" w:styleId="49">
    <w:name w:val="引文目录14d222d9b4d222d9b"/>
    <w:basedOn w:val="44"/>
    <w:next w:val="1"/>
    <w:uiPriority w:val="0"/>
    <w:pPr>
      <w:ind w:left="200" w:leftChars="200"/>
    </w:pPr>
  </w:style>
  <w:style w:type="paragraph" w:customStyle="1" w:styleId="50">
    <w:name w:val="toc 59d3e29899d3e2989"/>
    <w:basedOn w:val="44"/>
    <w:next w:val="1"/>
    <w:uiPriority w:val="0"/>
    <w:pPr>
      <w:ind w:left="1680"/>
    </w:pPr>
  </w:style>
  <w:style w:type="paragraph" w:customStyle="1" w:styleId="51">
    <w:name w:val="toc 34158a3404158a340"/>
    <w:basedOn w:val="44"/>
    <w:next w:val="1"/>
    <w:qFormat/>
    <w:uiPriority w:val="0"/>
    <w:pPr>
      <w:ind w:left="840"/>
    </w:pPr>
  </w:style>
  <w:style w:type="paragraph" w:customStyle="1" w:styleId="52">
    <w:name w:val="footer7cac24317cac2431"/>
    <w:basedOn w:val="44"/>
    <w:uiPriority w:val="0"/>
    <w:pPr>
      <w:tabs>
        <w:tab w:val="center" w:pos="4153"/>
        <w:tab w:val="right" w:pos="8307"/>
      </w:tabs>
      <w:snapToGrid w:val="0"/>
      <w:jc w:val="left"/>
    </w:pPr>
    <w:rPr>
      <w:sz w:val="18"/>
    </w:rPr>
  </w:style>
  <w:style w:type="paragraph" w:customStyle="1" w:styleId="53">
    <w:name w:val="headerab026573ab026573"/>
    <w:basedOn w:val="44"/>
    <w:uiPriority w:val="0"/>
    <w:pPr>
      <w:pBdr>
        <w:bottom w:val="single" w:color="auto" w:sz="6" w:space="1"/>
      </w:pBdr>
      <w:tabs>
        <w:tab w:val="center" w:pos="4153"/>
        <w:tab w:val="right" w:pos="8307"/>
      </w:tabs>
      <w:snapToGrid w:val="0"/>
      <w:jc w:val="center"/>
    </w:pPr>
    <w:rPr>
      <w:sz w:val="18"/>
    </w:rPr>
  </w:style>
  <w:style w:type="paragraph" w:customStyle="1" w:styleId="54">
    <w:name w:val="toc 1195a9839195a9839"/>
    <w:basedOn w:val="44"/>
    <w:next w:val="1"/>
    <w:uiPriority w:val="0"/>
  </w:style>
  <w:style w:type="paragraph" w:customStyle="1" w:styleId="55">
    <w:name w:val="toc 4cb8016adcb8016ad"/>
    <w:basedOn w:val="44"/>
    <w:next w:val="1"/>
    <w:uiPriority w:val="0"/>
    <w:pPr>
      <w:ind w:left="1260"/>
    </w:pPr>
  </w:style>
  <w:style w:type="paragraph" w:customStyle="1" w:styleId="56">
    <w:name w:val="toc 23081514f3081514f"/>
    <w:basedOn w:val="44"/>
    <w:next w:val="1"/>
    <w:uiPriority w:val="0"/>
    <w:pPr>
      <w:ind w:left="420"/>
    </w:pPr>
  </w:style>
  <w:style w:type="paragraph" w:customStyle="1" w:styleId="57">
    <w:name w:val="列出段落196f3ddcf96f3ddcf"/>
    <w:uiPriority w:val="0"/>
    <w:pPr>
      <w:widowControl w:val="0"/>
      <w:ind w:firstLine="200" w:firstLineChars="200"/>
      <w:jc w:val="both"/>
    </w:pPr>
    <w:rPr>
      <w:rFonts w:ascii="方正黑体_GBK" w:hAnsi="方正黑体_GBK" w:eastAsia="方正黑体_GBK" w:cs="Times New Roman"/>
      <w:kern w:val="2"/>
      <w:sz w:val="21"/>
      <w:szCs w:val="21"/>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1112</Words>
  <Characters>6341</Characters>
  <Lines>52</Lines>
  <Paragraphs>14</Paragraphs>
  <TotalTime>0</TotalTime>
  <ScaleCrop>false</ScaleCrop>
  <LinksUpToDate>false</LinksUpToDate>
  <CharactersWithSpaces>7439</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2024-04-11T08:08:00Z</dcterms:created>
  <dc:creator>HP</dc:creator>
  <cp:lastModifiedBy>User</cp:lastModifiedBy>
  <dcterms:modified xsi:type="dcterms:W3CDTF">2024-04-15T01:14:15Z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02AEF6DED8204361AEB85E71A6BDE641</vt:lpwstr>
  </property>
</Properties>
</file>