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南银理财珠联璧合鑫逸稳一年163期封闭式公募人民币理财产品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2024年04月17日起代销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发行的珠联璧合鑫逸稳一年163期封闭式公募人民币理财产品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0.30%</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spacing w:line="200" w:lineRule="exact"/>
        <w:ind w:firstLine="0"/>
        <w:jc w:val="both"/>
        <w:rPr>
          <w:rFonts w:hint="eastAsia" w:ascii="宋体" w:hAnsi="宋体" w:eastAsia="宋体" w:cs="宋体"/>
          <w:b/>
          <w:color w:val="3D3D3D"/>
          <w:sz w:val="18"/>
          <w:szCs w:val="15"/>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南银理财珠联璧合鑫逸稳一年163期封闭式公募人民币理财产品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ZZ700322400130</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Z7003224000080(投资者可依据该编码在中国理财网www.chinawealth.com.cn查询理财产品相关信息）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lang w:eastAsia="zh-CN"/>
              </w:rPr>
            </w:pPr>
            <w:r>
              <w:rPr>
                <w:rFonts w:hint="eastAsia" w:ascii="宋体" w:hAnsi="宋体" w:eastAsia="宋体" w:cs="宋体"/>
                <w:sz w:val="18"/>
                <w:lang w:eastAsia="zh-CN"/>
              </w:rPr>
              <w:t>A份额：Y30163</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textAlignment w:val="center"/>
              <w:rPr>
                <w:rFonts w:hint="eastAsia" w:ascii="宋体" w:hAnsi="宋体" w:eastAsia="宋体" w:cs="宋体"/>
                <w:kern w:val="0"/>
                <w:sz w:val="18"/>
                <w:szCs w:val="18"/>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szCs w:val="18"/>
                <w:lang w:eastAsia="zh-CN"/>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p>
            <w:pPr>
              <w:spacing w:line="200" w:lineRule="exact"/>
              <w:rPr>
                <w:rFonts w:hint="eastAsia" w:ascii="宋体" w:hAnsi="宋体" w:eastAsia="宋体" w:cs="宋体"/>
                <w:sz w:val="18"/>
                <w:szCs w:val="18"/>
                <w:lang w:eastAsia="zh-CN"/>
              </w:rPr>
            </w:pPr>
            <w:r>
              <w:rPr>
                <w:rFonts w:hint="eastAsia" w:ascii="仿宋" w:hAnsi="仿宋" w:eastAsia="仿宋" w:cs="仿宋"/>
                <w:b/>
                <w:color w:val="FF0000"/>
                <w:sz w:val="22"/>
                <w:szCs w:val="18"/>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A份额：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2024年04月17日 09:00—2024年04月23日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kern w:val="0"/>
                <w:sz w:val="18"/>
                <w:szCs w:val="18"/>
              </w:rPr>
              <w:t>2024年04月24日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2024年04月24日—实际到期日（</w:t>
            </w:r>
            <w:r>
              <w:rPr>
                <w:rFonts w:hint="eastAsia" w:ascii="宋体" w:hAnsi="宋体" w:eastAsia="宋体" w:cs="宋体"/>
                <w:b/>
                <w:sz w:val="18"/>
                <w:szCs w:val="18"/>
              </w:rPr>
              <w:t>如名义到期日遇国家法定节假日，管理人可结合国家法定节假日安排进行调整。同时管理人有权提前终止本产品（提前终止情形详见本产品说明书其他说明事项第一条）。</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399天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2025年05月28日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当理财产品单位净值不低于1时，管理人可以根据实际情况进行收益分配，分配方式为现金分红，具体分配方案以信息披露为准（分配后理财产品净值不低于1）。</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分红资金（如有）、到期资金将于分红权益登记日（如有）、实际到期日后5个工作日内划入投资者授权指定账户，分红权益登记日（如有）、实际到期日后至投资者收益划到投资者授权指定账户之前不计任何收益。</w:t>
            </w:r>
          </w:p>
          <w:p>
            <w:pPr>
              <w:spacing w:line="200" w:lineRule="exact"/>
              <w:rPr>
                <w:rFonts w:hint="eastAsia" w:ascii="宋体" w:hAnsi="宋体" w:eastAsia="宋体" w:cs="宋体"/>
                <w:sz w:val="18"/>
              </w:rPr>
            </w:pPr>
            <w:r>
              <w:rPr>
                <w:rFonts w:hint="eastAsia" w:ascii="宋体" w:hAnsi="宋体" w:eastAsia="宋体" w:cs="宋体"/>
                <w:sz w:val="18"/>
                <w:szCs w:val="18"/>
              </w:rPr>
              <w:t>分红权益登记日指管理人确认投资者所持份额是否享受本次分红的日期。</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b w:val="0"/>
                <w:sz w:val="18"/>
              </w:rPr>
            </w:pPr>
            <w:r>
              <w:rPr>
                <w:rFonts w:hint="eastAsia" w:ascii="宋体" w:hAnsi="宋体" w:eastAsia="宋体" w:cs="宋体"/>
                <w:b w:val="0"/>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本理财产品投资于固定收益类资产的比例为100%,投资于非标准化债权类资产的比例不高于50%。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固定收益类信托计划，底层资产为向融资人徐州经济技术开发区国有资产经营有限责任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2、信托贷款：资产类型为信托公司设立的固定收益类信托计划，底层资产为向融资人盐城市城南新区开发建设投资有限公司发放信托贷款，融资人评级为AA+（评级机构为东方金诚国际信用评估有限公司）。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3、信托贷款：资产类型为信托公司设立的固定收益类信托计划，底层资产为向融资人射阳城市建设发展集团有限公司发放信托贷款，融资人评级为AA（评级机构为中诚信国际信用评级有限责任公司）。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4、信托贷款：资产类型为信托公司设立的固定收益类信托计划，底层资产为向融资人盐城市城市资产投资集团有限公司发放信托贷款，融资人评级为AAA（评级机构为大公国际资信评估有限公司）。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5、信托贷款：资产类型为信托公司设立的固定收益类信托计划，底层资产为向融资人盐城市国有资产投资集团有限公司发放信托贷款，融资人评级为AA+（评级机构为中证鹏元资信评估股份有限公司）。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6、信托贷款：资产类型为信托公司设立的固定收益类信托计划，底层资产为向融资人盐城市东亭投资有限公司发放信托贷款，融资人无外部评级。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7、信托贷款：资产类型为信托公司设立的固定收益类信托计划，底层资产为向融资人泰州市凯明城市建设有限公司发放信托贷款，融资人无外部评级。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8、信托贷款：资产类型为信托公司设立的固定收益类信托计划，底层资产为向融资人江苏软件园科技发展有限公司发放信托贷款，融资人无外部评级。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9、信托贷款：资产类型为信托公司设立的固定收益类信托计划，底层资产为向融资人江苏姜堰经开集团有限公司发放信托贷款，融资人评级为AA（评级机构为中诚信国际信用评级有限责任公司）。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10、信托贷款：资产类型为信托公司设立的固定收益类信托计划，底层资产为向融资人泰州市兴化国有资产投资控股有限公司发放信托贷款，融资人评级为AA+（评级机构为中诚信国际信用评级有限责任公司）。</w:t>
            </w:r>
          </w:p>
          <w:p>
            <w:pPr>
              <w:spacing w:line="200" w:lineRule="exact"/>
              <w:rPr>
                <w:rFonts w:hint="eastAsia" w:ascii="宋体" w:hAnsi="宋体" w:eastAsia="宋体" w:cs="宋体"/>
                <w:sz w:val="18"/>
              </w:rPr>
            </w:pPr>
            <w:r>
              <w:rPr>
                <w:rFonts w:hint="eastAsia" w:ascii="宋体" w:hAnsi="宋体" w:eastAsia="宋体" w:cs="宋体"/>
                <w:sz w:val="18"/>
                <w:szCs w:val="18"/>
              </w:rPr>
              <w:t>11、信托贷款：资产类型为信托公司设立的固定收益类信托计划，底层资产为向融资人宿迁市运河港区开发集团有限公司，融资人评级为AA（评级机构为联合资信评估股份有限公司）。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12、信托贷款：资产类型为信托公司设立的集合资金信托计划，底层资产为蚂蚁智信（杭州）信息技术有限公司与具有专业资质的金融机构合作向用户发放的消费授信付款资产。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13、信托贷款：资产类型为信托公司设立的集合资金信托计划，底层资产为重庆市微恒科技有限公司作为综合服务顾问，由具有专业资质的金融机构向用户发放的分付消费授信付款资产。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14、资产支持计划：资产类型为保险资产管理公司设立的资产支持计划，底层资产为蚂蚁智信（杭州）信息技术有限公司与具有专业资质的金融机构合作向用户发放的消费授信付款资产。</w:t>
            </w:r>
          </w:p>
          <w:p>
            <w:pPr>
              <w:spacing w:line="200" w:lineRule="exact"/>
              <w:rPr>
                <w:rFonts w:hint="eastAsia" w:ascii="宋体" w:hAnsi="宋体" w:eastAsia="宋体" w:cs="宋体"/>
                <w:sz w:val="18"/>
              </w:rPr>
            </w:pPr>
            <w:r>
              <w:rPr>
                <w:rFonts w:hint="eastAsia" w:ascii="宋体" w:hAnsi="宋体" w:eastAsia="宋体" w:cs="宋体"/>
                <w:sz w:val="18"/>
                <w:szCs w:val="18"/>
              </w:rPr>
              <w:t>15、资产支持计划：资产类型为保险资产管理公司设立的资产支持计划，底层资产为深圳智领星辰科技有限公司与具有专业资质的金融机构合作向用户发放的放心借消费贷款产品。</w:t>
            </w:r>
          </w:p>
          <w:p>
            <w:pPr>
              <w:spacing w:line="200" w:lineRule="exact"/>
              <w:rPr>
                <w:rFonts w:hint="eastAsia" w:ascii="宋体" w:hAnsi="宋体" w:eastAsia="宋体" w:cs="宋体"/>
                <w:sz w:val="18"/>
              </w:rPr>
            </w:pPr>
            <w:r>
              <w:rPr>
                <w:rFonts w:hint="eastAsia" w:ascii="宋体" w:hAnsi="宋体" w:eastAsia="宋体" w:cs="宋体"/>
                <w:sz w:val="18"/>
                <w:szCs w:val="18"/>
              </w:rPr>
              <w:t>16、信托贷款：资产类型为信托公司设立的固定收益类信托计划，底层资产为向融资人常州城建产业集团有限公司信托贷款，融资人无外部评级。</w:t>
            </w:r>
          </w:p>
          <w:p>
            <w:pPr>
              <w:spacing w:line="200" w:lineRule="exact"/>
              <w:rPr>
                <w:rFonts w:hint="eastAsia" w:ascii="宋体" w:hAnsi="宋体" w:eastAsia="宋体" w:cs="宋体"/>
                <w:sz w:val="18"/>
              </w:rPr>
            </w:pPr>
            <w:r>
              <w:rPr>
                <w:rFonts w:hint="eastAsia" w:ascii="宋体" w:hAnsi="宋体" w:eastAsia="宋体" w:cs="宋体"/>
                <w:sz w:val="18"/>
                <w:szCs w:val="18"/>
              </w:rPr>
              <w:t>17、信托贷款：资产类型为信托公司设立的固定收益类信托计划，底层资产为向融资人江苏武进太湖湾旅游发展有限公司信托贷款，融资人评级为AA（评级机构为东方金诚国际信用评估有限公司）。</w:t>
            </w:r>
          </w:p>
          <w:p>
            <w:pPr>
              <w:spacing w:line="200" w:lineRule="exact"/>
              <w:rPr>
                <w:rFonts w:hint="eastAsia" w:ascii="宋体" w:hAnsi="宋体" w:eastAsia="宋体" w:cs="宋体"/>
                <w:sz w:val="18"/>
              </w:rPr>
            </w:pPr>
            <w:r>
              <w:rPr>
                <w:rFonts w:hint="eastAsia" w:ascii="宋体" w:hAnsi="宋体" w:eastAsia="宋体" w:cs="宋体"/>
                <w:sz w:val="18"/>
                <w:szCs w:val="18"/>
              </w:rPr>
              <w:t>18、信托贷款：资产类型为信托公司设立的集合资金信托计划，底层资产为深圳智领星辰科技有限公司与具有专业资质的金融机构合作向用户发放的抖音月付个人消费贷款债权。</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kern w:val="0"/>
                <w:sz w:val="18"/>
                <w:szCs w:val="18"/>
              </w:rPr>
            </w:pPr>
            <w:r>
              <w:rPr>
                <w:rFonts w:hint="eastAsia" w:ascii="宋体" w:hAnsi="宋体" w:eastAsia="宋体" w:cs="宋体"/>
                <w:bCs/>
                <w:kern w:val="0"/>
                <w:sz w:val="18"/>
                <w:szCs w:val="18"/>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lang w:eastAsia="zh-CN"/>
              </w:rPr>
            </w:pPr>
            <w:r>
              <w:rPr>
                <w:rFonts w:hint="eastAsia" w:ascii="宋体" w:hAnsi="宋体" w:eastAsia="宋体" w:cs="宋体"/>
                <w:sz w:val="18"/>
                <w:lang w:eastAsia="zh-CN"/>
              </w:rPr>
              <w:t>A份额：业绩比较基准为年化3.1%-3.5% 。</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为100%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00" w:lineRule="exact"/>
              <w:jc w:val="left"/>
              <w:rPr>
                <w:rFonts w:hint="eastAsia" w:ascii="宋体" w:hAnsi="宋体" w:eastAsia="宋体" w:cs="宋体"/>
                <w:bCs/>
                <w:kern w:val="0"/>
                <w:sz w:val="18"/>
                <w:szCs w:val="18"/>
              </w:rPr>
            </w:pPr>
            <w:r>
              <w:rPr>
                <w:rFonts w:hint="eastAsia" w:ascii="宋体" w:hAnsi="宋体" w:eastAsia="宋体" w:cs="宋体"/>
                <w:kern w:val="0"/>
                <w:sz w:val="18"/>
                <w:szCs w:val="18"/>
              </w:rPr>
              <w:t>产品费用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认/申购费：本理财产品暂不收取认/申购费。</w:t>
            </w:r>
          </w:p>
          <w:p>
            <w:pPr>
              <w:spacing w:line="200" w:lineRule="exact"/>
              <w:rPr>
                <w:rFonts w:hint="eastAsia" w:ascii="宋体" w:hAnsi="宋体" w:eastAsia="宋体" w:cs="宋体"/>
                <w:sz w:val="18"/>
              </w:rPr>
            </w:pPr>
            <w:r>
              <w:rPr>
                <w:rFonts w:hint="eastAsia" w:ascii="宋体" w:hAnsi="宋体" w:eastAsia="宋体" w:cs="宋体"/>
                <w:b/>
                <w:sz w:val="18"/>
                <w:szCs w:val="18"/>
              </w:rPr>
              <w:t>赎回费：本理财产品暂不收取赎回费。</w:t>
            </w:r>
          </w:p>
          <w:p>
            <w:pPr>
              <w:spacing w:line="200" w:lineRule="exact"/>
              <w:rPr>
                <w:rFonts w:hint="eastAsia" w:ascii="宋体" w:hAnsi="宋体" w:eastAsia="宋体" w:cs="宋体"/>
                <w:sz w:val="18"/>
              </w:rPr>
            </w:pPr>
            <w:r>
              <w:rPr>
                <w:rFonts w:hint="eastAsia" w:ascii="宋体" w:hAnsi="宋体" w:eastAsia="宋体" w:cs="宋体"/>
                <w:b/>
                <w:sz w:val="18"/>
                <w:szCs w:val="18"/>
              </w:rPr>
              <w:t>销售费：本理财产品按前一日理财产品资产净值收取销售费，按日计提。</w:t>
            </w:r>
          </w:p>
          <w:p>
            <w:pPr>
              <w:spacing w:line="200" w:lineRule="exact"/>
              <w:rPr>
                <w:rFonts w:hint="eastAsia" w:ascii="宋体" w:hAnsi="宋体" w:eastAsia="宋体" w:cs="宋体"/>
                <w:b/>
                <w:sz w:val="18"/>
                <w:lang w:eastAsia="zh-CN"/>
              </w:rPr>
            </w:pPr>
            <w:bookmarkStart w:id="0" w:name="_GoBack"/>
            <w:r>
              <w:rPr>
                <w:rFonts w:hint="eastAsia" w:ascii="宋体" w:hAnsi="宋体" w:eastAsia="宋体" w:cs="宋体"/>
                <w:b/>
                <w:sz w:val="18"/>
                <w:lang w:eastAsia="zh-CN"/>
              </w:rPr>
              <w:t>A份额：销售费年化0.2%</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每日计提的销售费=前一日理财产品资产净值×年化销售费率÷365</w:t>
            </w:r>
          </w:p>
          <w:p>
            <w:pPr>
              <w:spacing w:line="200" w:lineRule="exact"/>
              <w:rPr>
                <w:rFonts w:hint="eastAsia" w:ascii="宋体" w:hAnsi="宋体" w:eastAsia="宋体" w:cs="宋体"/>
                <w:b/>
                <w:sz w:val="18"/>
              </w:rPr>
            </w:pPr>
            <w:r>
              <w:rPr>
                <w:rFonts w:hint="eastAsia" w:ascii="宋体" w:hAnsi="宋体" w:eastAsia="宋体" w:cs="宋体"/>
                <w:b/>
                <w:sz w:val="18"/>
                <w:szCs w:val="18"/>
              </w:rPr>
              <w:t>固定管理费：本理财产品按前一日理财产品资产净值收取固定管理费，按日计提。</w:t>
            </w:r>
          </w:p>
          <w:p>
            <w:pPr>
              <w:spacing w:line="200" w:lineRule="exact"/>
              <w:rPr>
                <w:rFonts w:hint="eastAsia" w:ascii="宋体" w:hAnsi="宋体" w:eastAsia="宋体" w:cs="宋体"/>
                <w:b/>
                <w:sz w:val="18"/>
                <w:lang w:eastAsia="zh-CN"/>
              </w:rPr>
            </w:pPr>
            <w:r>
              <w:rPr>
                <w:rFonts w:hint="eastAsia" w:ascii="宋体" w:hAnsi="宋体" w:eastAsia="宋体" w:cs="宋体"/>
                <w:b/>
                <w:sz w:val="18"/>
                <w:lang w:eastAsia="zh-CN"/>
              </w:rPr>
              <w:t>A份额：固定管理费年化0.3%</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每日计提的固定管理费=前一日理财产品资产净值×年化固定管理费率÷365</w:t>
            </w:r>
          </w:p>
          <w:p>
            <w:pPr>
              <w:spacing w:line="200" w:lineRule="exact"/>
              <w:rPr>
                <w:rFonts w:hint="eastAsia" w:ascii="宋体" w:hAnsi="宋体" w:eastAsia="宋体" w:cs="宋体"/>
                <w:b/>
                <w:sz w:val="18"/>
              </w:rPr>
            </w:pPr>
            <w:r>
              <w:rPr>
                <w:rFonts w:hint="eastAsia" w:ascii="宋体" w:hAnsi="宋体" w:eastAsia="宋体" w:cs="宋体"/>
                <w:b/>
                <w:sz w:val="18"/>
                <w:szCs w:val="18"/>
              </w:rPr>
              <w:t>托管费：本理财产品按前一日理财产品资产净值收取年化0.02%的托管费，按日计提。</w:t>
            </w:r>
          </w:p>
          <w:p>
            <w:pPr>
              <w:spacing w:line="200" w:lineRule="exact"/>
              <w:rPr>
                <w:rFonts w:hint="eastAsia" w:ascii="宋体" w:hAnsi="宋体" w:eastAsia="宋体" w:cs="宋体"/>
                <w:b/>
                <w:sz w:val="18"/>
              </w:rPr>
            </w:pPr>
            <w:r>
              <w:rPr>
                <w:rFonts w:hint="eastAsia" w:ascii="宋体" w:hAnsi="宋体" w:eastAsia="宋体" w:cs="宋体"/>
                <w:b/>
                <w:sz w:val="18"/>
                <w:szCs w:val="18"/>
              </w:rPr>
              <w:t>每日计提的托管费=前一日理财产品资产净值×年化托管费率÷365</w:t>
            </w:r>
          </w:p>
          <w:p>
            <w:pPr>
              <w:spacing w:line="200" w:lineRule="exact"/>
              <w:rPr>
                <w:rFonts w:hint="eastAsia" w:ascii="宋体" w:hAnsi="宋体" w:eastAsia="宋体" w:cs="宋体"/>
                <w:b/>
                <w:sz w:val="18"/>
              </w:rPr>
            </w:pPr>
            <w:r>
              <w:rPr>
                <w:rFonts w:hint="eastAsia" w:ascii="宋体" w:hAnsi="宋体" w:eastAsia="宋体" w:cs="宋体"/>
                <w:b/>
                <w:sz w:val="18"/>
                <w:szCs w:val="18"/>
              </w:rPr>
              <w:t>业绩报酬：</w:t>
            </w:r>
          </w:p>
          <w:p>
            <w:pPr>
              <w:spacing w:line="200" w:lineRule="exact"/>
              <w:rPr>
                <w:rFonts w:hint="eastAsia" w:ascii="宋体" w:hAnsi="宋体" w:eastAsia="宋体" w:cs="宋体"/>
                <w:b/>
                <w:sz w:val="18"/>
                <w:lang w:eastAsia="zh-CN"/>
              </w:rPr>
            </w:pPr>
            <w:r>
              <w:rPr>
                <w:rFonts w:hint="eastAsia" w:ascii="宋体" w:hAnsi="宋体" w:eastAsia="宋体" w:cs="宋体"/>
                <w:b/>
                <w:sz w:val="18"/>
                <w:lang w:eastAsia="zh-CN"/>
              </w:rPr>
              <w:t>A份额：到期兑付时，当期产品投资的实际资产组合收益（扣除销售费、固定管理费、托管费等相关费用）在3.1%（含）（年化，即产品该份额对应的业绩报酬计提基准）至3.5%（不含）之间的部分，管理人将按超过3.1%部分的50%收取业绩报酬；在3.5%（含）（年化，即产品该份额对应的业绩报酬计提基准）以上的部分，管理人将按超过3.5%部分的80%收取业绩报酬。</w:t>
            </w:r>
          </w:p>
          <w:p>
            <w:pPr>
              <w:spacing w:line="200" w:lineRule="exact"/>
              <w:rPr>
                <w:rFonts w:hint="eastAsia" w:ascii="宋体" w:hAnsi="宋体" w:eastAsia="宋体" w:cs="宋体"/>
                <w:b/>
                <w:sz w:val="18"/>
              </w:rPr>
            </w:pPr>
            <w:r>
              <w:rPr>
                <w:rFonts w:hint="eastAsia" w:ascii="宋体" w:hAnsi="宋体" w:eastAsia="宋体"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rPr>
                <w:rFonts w:hint="eastAsia" w:ascii="宋体" w:hAnsi="宋体" w:eastAsia="宋体" w:cs="宋体"/>
                <w:b/>
                <w:sz w:val="18"/>
              </w:rPr>
            </w:pPr>
            <w:r>
              <w:rPr>
                <w:rFonts w:hint="eastAsia" w:ascii="宋体" w:hAnsi="宋体" w:eastAsia="宋体"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rPr>
                <w:rFonts w:hint="eastAsia" w:ascii="宋体" w:hAnsi="宋体" w:eastAsia="宋体" w:cs="宋体"/>
                <w:b/>
                <w:sz w:val="18"/>
              </w:rPr>
            </w:pPr>
            <w:r>
              <w:rPr>
                <w:rFonts w:hint="eastAsia" w:ascii="宋体" w:hAnsi="宋体" w:eastAsia="宋体"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rPr>
                <w:rFonts w:hint="eastAsia" w:ascii="宋体" w:hAnsi="宋体" w:eastAsia="宋体" w:cs="宋体"/>
                <w:b/>
                <w:sz w:val="18"/>
              </w:rPr>
            </w:pPr>
            <w:r>
              <w:rPr>
                <w:rFonts w:hint="eastAsia" w:ascii="宋体" w:hAnsi="宋体" w:eastAsia="宋体"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bookmarkEnd w:id="0"/>
          <w:p>
            <w:pPr>
              <w:spacing w:line="200" w:lineRule="exact"/>
              <w:rPr>
                <w:rFonts w:hint="eastAsia" w:ascii="宋体" w:hAnsi="宋体" w:eastAsia="宋体" w:cs="宋体"/>
                <w:sz w:val="18"/>
              </w:rPr>
            </w:pPr>
            <w:r>
              <w:rPr>
                <w:rFonts w:hint="eastAsia" w:ascii="宋体" w:hAnsi="宋体" w:eastAsia="宋体" w:cs="宋体"/>
                <w:b/>
                <w:sz w:val="18"/>
                <w:szCs w:val="18"/>
              </w:rPr>
              <w:t>计算本区间业绩报酬的公式如下：</w:t>
            </w:r>
          </w:p>
          <w:p>
            <w:pPr>
              <w:spacing w:line="200" w:lineRule="exact"/>
              <w:rPr>
                <w:rFonts w:hint="eastAsia" w:ascii="宋体" w:hAnsi="宋体" w:eastAsia="宋体" w:cs="宋体"/>
                <w:sz w:val="18"/>
              </w:rPr>
            </w:pPr>
            <w:r>
              <w:rPr>
                <w:rFonts w:hint="eastAsia" w:ascii="宋体" w:hAnsi="宋体" w:eastAsia="宋体" w:cs="宋体"/>
                <w:b/>
                <w:sz w:val="18"/>
                <w:szCs w:val="18"/>
              </w:rPr>
              <w:t>A={B-C*D*(1+E*F/365)}*G。</w:t>
            </w:r>
          </w:p>
          <w:p>
            <w:pPr>
              <w:spacing w:line="200" w:lineRule="exact"/>
              <w:rPr>
                <w:rFonts w:hint="eastAsia" w:ascii="宋体" w:hAnsi="宋体" w:eastAsia="宋体" w:cs="宋体"/>
                <w:sz w:val="18"/>
              </w:rPr>
            </w:pPr>
            <w:r>
              <w:rPr>
                <w:rFonts w:hint="eastAsia" w:ascii="宋体" w:hAnsi="宋体" w:eastAsia="宋体"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640" w:firstLineChars="20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4.如有其他未尽事宜以私人银行部解释为准。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1.南银理财珠联璧合鑫逸稳一年163期封闭式公募人民币理财产品风险揭示书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2.南银理财珠联璧合鑫逸稳一年163期封闭式公募人民币理财产品说明书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3.南银理财产品销售协议书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4.南银理财投资者权益须知</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5.南银理财产品投资协议书</w:t>
      </w:r>
    </w:p>
    <w:p>
      <w:pPr>
        <w:adjustRightInd/>
        <w:snapToGrid/>
        <w:spacing w:after="0"/>
        <w:ind w:firstLine="640" w:firstLineChars="200"/>
        <w:rPr>
          <w:rFonts w:hint="default" w:ascii="仿宋_GB2312" w:hAnsi="微软雅黑" w:eastAsia="仿宋_GB2312" w:cs="宋体"/>
          <w:color w:val="000000"/>
          <w:sz w:val="32"/>
          <w:szCs w:val="32"/>
          <w:lang w:val="en-US"/>
        </w:rPr>
      </w:pPr>
      <w:r>
        <w:rPr>
          <w:rFonts w:hint="eastAsia" w:ascii="仿宋_GB2312" w:hAnsi="微软雅黑" w:eastAsia="仿宋_GB2312" w:cs="宋体"/>
          <w:color w:val="000000"/>
          <w:sz w:val="32"/>
          <w:szCs w:val="32"/>
          <w:lang w:eastAsia="zh-CN"/>
        </w:rPr>
        <w:t>6.机构客户理财风险承受能力评估表</w:t>
      </w:r>
      <w:r>
        <w:rPr>
          <w:rFonts w:hint="default" w:ascii="仿宋_GB2312" w:hAnsi="微软雅黑" w:eastAsia="仿宋_GB2312" w:cs="宋体"/>
          <w:color w:val="000000"/>
          <w:sz w:val="32"/>
          <w:szCs w:val="32"/>
          <w:lang w:val="en-US"/>
        </w:rPr>
        <w:t xml:space="preserve"> </w:t>
      </w: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640" w:firstLineChars="200"/>
        <w:rPr>
          <w:rFonts w:hint="default" w:ascii="仿宋_GB2312" w:hAnsi="微软雅黑" w:eastAsia="仿宋_GB2312" w:cs="宋体"/>
          <w:color w:val="000000"/>
          <w:sz w:val="32"/>
          <w:szCs w:val="32"/>
          <w:lang w:val="en-US"/>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jc w:val="right"/>
        <w:rPr>
          <w:rFonts w:hint="eastAsia" w:ascii="宋体" w:hAnsi="宋体" w:eastAsia="宋体" w:cs="宋体"/>
          <w:b/>
          <w:color w:val="000000"/>
          <w:sz w:val="18"/>
          <w:szCs w:val="32"/>
          <w:lang w:val="en-US" w:eastAsia="zh-CN"/>
        </w:rPr>
      </w:pPr>
      <w:r>
        <w:rPr>
          <w:rFonts w:hint="eastAsia" w:ascii="仿宋_GB2312" w:hAnsi="微软雅黑" w:eastAsia="仿宋_GB2312" w:cs="宋体"/>
          <w:color w:val="000000"/>
          <w:sz w:val="32"/>
          <w:szCs w:val="32"/>
          <w:lang w:val="en-US" w:eastAsia="zh-CN"/>
        </w:rPr>
        <w:t>2024年4月15日</w:t>
      </w:r>
    </w:p>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4E40163"/>
    <w:rsid w:val="05CD088A"/>
    <w:rsid w:val="074A2176"/>
    <w:rsid w:val="07527F15"/>
    <w:rsid w:val="0AB33FF3"/>
    <w:rsid w:val="0B432900"/>
    <w:rsid w:val="0C041C0C"/>
    <w:rsid w:val="18404C0C"/>
    <w:rsid w:val="270F46C2"/>
    <w:rsid w:val="2D804DBE"/>
    <w:rsid w:val="2EA60027"/>
    <w:rsid w:val="3B550E9F"/>
    <w:rsid w:val="3E3871C6"/>
    <w:rsid w:val="41E16EF5"/>
    <w:rsid w:val="4A774580"/>
    <w:rsid w:val="4B702A6C"/>
    <w:rsid w:val="4B983BF6"/>
    <w:rsid w:val="50DA080E"/>
    <w:rsid w:val="554B14E6"/>
    <w:rsid w:val="58451B50"/>
    <w:rsid w:val="5A3469C0"/>
    <w:rsid w:val="5AEC1BD4"/>
    <w:rsid w:val="61070171"/>
    <w:rsid w:val="61FE7299"/>
    <w:rsid w:val="63E81F55"/>
    <w:rsid w:val="63F34D6C"/>
    <w:rsid w:val="66D83D00"/>
    <w:rsid w:val="6BDB2263"/>
    <w:rsid w:val="6F3B7E82"/>
    <w:rsid w:val="77C13657"/>
    <w:rsid w:val="79E85921"/>
    <w:rsid w:val="7C6067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04b52556"/>
    <w:next w:val="5"/>
    <w:qFormat/>
    <w:uiPriority w:val="0"/>
    <w:pPr>
      <w:spacing w:before="102" w:after="102" w:line="1099" w:lineRule="atLeast"/>
      <w:ind w:firstLine="419"/>
      <w:textAlignment w:val="baseline"/>
    </w:pPr>
    <w:rPr>
      <w:rFonts w:ascii="方正黑体_GBK" w:hAnsi="方正黑体_GBK" w:eastAsia="方正黑体_GBK"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2024-04-15T01:13:58Z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