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4B7B77">
        <w:rPr>
          <w:rFonts w:ascii="宋体" w:eastAsia="宋体" w:hAnsi="宋体" w:cs="宋体" w:hint="eastAsia"/>
          <w:b/>
          <w:bCs/>
          <w:sz w:val="36"/>
        </w:rPr>
        <w:t>恒</w:t>
      </w:r>
      <w:proofErr w:type="gramStart"/>
      <w:r w:rsidR="004B7B77">
        <w:rPr>
          <w:rFonts w:ascii="宋体" w:eastAsia="宋体" w:hAnsi="宋体" w:cs="宋体" w:hint="eastAsia"/>
          <w:b/>
          <w:bCs/>
          <w:sz w:val="36"/>
        </w:rPr>
        <w:t>源季开放</w:t>
      </w:r>
      <w:proofErr w:type="gramEnd"/>
      <w:r w:rsidR="004B7B77">
        <w:rPr>
          <w:rFonts w:ascii="宋体" w:eastAsia="宋体" w:hAnsi="宋体" w:cs="宋体" w:hint="eastAsia"/>
          <w:b/>
          <w:bCs/>
          <w:sz w:val="36"/>
        </w:rPr>
        <w:t>12号</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844333" w:rsidRDefault="0068015B" w:rsidP="00844333">
      <w:pPr>
        <w:spacing w:after="0"/>
        <w:ind w:firstLineChars="200" w:firstLine="640"/>
        <w:jc w:val="both"/>
        <w:rPr>
          <w:rFonts w:ascii="微软简仿宋" w:eastAsia="微软简仿宋"/>
          <w:szCs w:val="21"/>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4B7B77">
        <w:rPr>
          <w:rFonts w:ascii="仿宋_GB2312" w:eastAsia="仿宋_GB2312" w:hAnsi="微软雅黑" w:cs="宋体" w:hint="eastAsia"/>
          <w:color w:val="000000"/>
          <w:sz w:val="32"/>
          <w:szCs w:val="32"/>
        </w:rPr>
        <w:t>恒</w:t>
      </w:r>
      <w:proofErr w:type="gramStart"/>
      <w:r w:rsidR="004B7B77">
        <w:rPr>
          <w:rFonts w:ascii="仿宋_GB2312" w:eastAsia="仿宋_GB2312" w:hAnsi="微软雅黑" w:cs="宋体" w:hint="eastAsia"/>
          <w:color w:val="000000"/>
          <w:sz w:val="32"/>
          <w:szCs w:val="32"/>
        </w:rPr>
        <w:t>源季开放</w:t>
      </w:r>
      <w:proofErr w:type="gramEnd"/>
      <w:r w:rsidR="004B7B77">
        <w:rPr>
          <w:rFonts w:ascii="仿宋_GB2312" w:eastAsia="仿宋_GB2312" w:hAnsi="微软雅黑" w:cs="宋体" w:hint="eastAsia"/>
          <w:color w:val="000000"/>
          <w:sz w:val="32"/>
          <w:szCs w:val="32"/>
        </w:rPr>
        <w:t>12号</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D86E3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820675">
        <w:rPr>
          <w:rFonts w:ascii="仿宋_GB2312" w:eastAsia="仿宋_GB2312" w:hAnsi="微软雅黑" w:cs="宋体" w:hint="eastAsia"/>
          <w:color w:val="FF0000"/>
          <w:sz w:val="32"/>
          <w:szCs w:val="32"/>
        </w:rPr>
        <w:t>1</w:t>
      </w:r>
      <w:r w:rsidR="005B111F">
        <w:rPr>
          <w:rFonts w:ascii="仿宋_GB2312" w:eastAsia="仿宋_GB2312" w:hAnsi="微软雅黑" w:cs="宋体" w:hint="eastAsia"/>
          <w:color w:val="FF0000"/>
          <w:sz w:val="32"/>
          <w:szCs w:val="32"/>
        </w:rPr>
        <w:t>1</w:t>
      </w:r>
      <w:r>
        <w:rPr>
          <w:rFonts w:ascii="仿宋_GB2312" w:eastAsia="仿宋_GB2312" w:hAnsi="微软雅黑" w:cs="宋体" w:hint="eastAsia"/>
          <w:color w:val="FF0000"/>
          <w:sz w:val="32"/>
          <w:szCs w:val="32"/>
        </w:rPr>
        <w:t>月</w:t>
      </w:r>
      <w:r w:rsidR="004B7B77">
        <w:rPr>
          <w:rFonts w:ascii="仿宋_GB2312" w:eastAsia="仿宋_GB2312" w:hAnsi="微软雅黑" w:cs="宋体" w:hint="eastAsia"/>
          <w:color w:val="FF0000"/>
          <w:sz w:val="32"/>
          <w:szCs w:val="32"/>
        </w:rPr>
        <w:t>29</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D86E3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566F5F">
        <w:rPr>
          <w:rFonts w:ascii="仿宋_GB2312" w:eastAsia="仿宋_GB2312" w:hAnsi="微软雅黑" w:cs="宋体" w:hint="eastAsia"/>
          <w:color w:val="FF0000"/>
          <w:sz w:val="32"/>
          <w:szCs w:val="32"/>
        </w:rPr>
        <w:t>1</w:t>
      </w:r>
      <w:bookmarkStart w:id="0" w:name="_GoBack"/>
      <w:bookmarkEnd w:id="0"/>
      <w:r w:rsidR="004B7B77">
        <w:rPr>
          <w:rFonts w:ascii="仿宋_GB2312" w:eastAsia="仿宋_GB2312" w:hAnsi="微软雅黑" w:cs="宋体" w:hint="eastAsia"/>
          <w:color w:val="FF0000"/>
          <w:sz w:val="32"/>
          <w:szCs w:val="32"/>
        </w:rPr>
        <w:t>2</w:t>
      </w:r>
      <w:r w:rsidR="001D6CA8">
        <w:rPr>
          <w:rFonts w:ascii="仿宋_GB2312" w:eastAsia="仿宋_GB2312" w:hAnsi="微软雅黑" w:cs="宋体" w:hint="eastAsia"/>
          <w:color w:val="FF0000"/>
          <w:sz w:val="32"/>
          <w:szCs w:val="32"/>
        </w:rPr>
        <w:t>月</w:t>
      </w:r>
      <w:r w:rsidR="004B7B77">
        <w:rPr>
          <w:rFonts w:ascii="仿宋_GB2312" w:eastAsia="仿宋_GB2312" w:hAnsi="微软雅黑" w:cs="宋体" w:hint="eastAsia"/>
          <w:color w:val="FF0000"/>
          <w:sz w:val="32"/>
          <w:szCs w:val="32"/>
        </w:rPr>
        <w:t>5</w:t>
      </w:r>
      <w:r w:rsidR="00566F5F">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844333">
        <w:rPr>
          <w:rFonts w:ascii="仿宋_GB2312" w:eastAsia="仿宋_GB2312" w:hAnsi="微软雅黑" w:cs="宋体" w:hint="eastAsia"/>
          <w:color w:val="000000"/>
          <w:sz w:val="32"/>
          <w:szCs w:val="32"/>
        </w:rPr>
        <w:t>和</w:t>
      </w:r>
      <w:r w:rsidR="00844333" w:rsidRPr="00844333">
        <w:rPr>
          <w:rFonts w:ascii="仿宋_GB2312" w:eastAsia="仿宋_GB2312" w:hAnsi="微软雅黑" w:cs="宋体" w:hint="eastAsia"/>
          <w:b/>
          <w:color w:val="FF0000"/>
          <w:sz w:val="32"/>
          <w:szCs w:val="32"/>
        </w:rPr>
        <w:t>柜面</w:t>
      </w:r>
      <w:r w:rsidR="00BB3E57" w:rsidRPr="00BB3E57">
        <w:rPr>
          <w:rFonts w:ascii="仿宋_GB2312" w:eastAsia="仿宋_GB2312" w:hAnsi="微软雅黑" w:cs="宋体" w:hint="eastAsia"/>
          <w:b/>
          <w:sz w:val="32"/>
          <w:szCs w:val="32"/>
        </w:rPr>
        <w:t>等</w:t>
      </w:r>
      <w:r w:rsidR="00844333">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844333" w:rsidRPr="00844333">
        <w:rPr>
          <w:rFonts w:ascii="仿宋_GB2312" w:eastAsia="仿宋_GB2312" w:hAnsi="微软雅黑" w:cs="宋体" w:hint="eastAsia"/>
          <w:color w:val="000000"/>
          <w:sz w:val="32"/>
          <w:szCs w:val="32"/>
        </w:rPr>
        <w:t>销售服务费率：</w:t>
      </w:r>
      <w:r w:rsidR="008F0E74">
        <w:rPr>
          <w:rFonts w:ascii="仿宋_GB2312" w:eastAsia="仿宋_GB2312" w:hAnsi="微软雅黑" w:cs="宋体" w:hint="eastAsia"/>
          <w:color w:val="000000"/>
          <w:sz w:val="32"/>
          <w:szCs w:val="32"/>
        </w:rPr>
        <w:t>G</w:t>
      </w:r>
      <w:r w:rsidR="00844333" w:rsidRPr="00844333">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w:t>
            </w:r>
            <w:proofErr w:type="gramStart"/>
            <w:r>
              <w:rPr>
                <w:rFonts w:ascii="楷体" w:eastAsia="楷体" w:hAnsi="楷体" w:cs="宋体" w:hint="eastAsia"/>
                <w:spacing w:val="-2"/>
                <w:kern w:val="2"/>
                <w:sz w:val="21"/>
                <w:szCs w:val="21"/>
              </w:rPr>
              <w:t>源季开放</w:t>
            </w:r>
            <w:proofErr w:type="gramEnd"/>
            <w:r>
              <w:rPr>
                <w:rFonts w:ascii="楷体" w:eastAsia="楷体" w:hAnsi="楷体" w:cs="宋体" w:hint="eastAsia"/>
                <w:spacing w:val="-2"/>
                <w:kern w:val="2"/>
                <w:sz w:val="21"/>
                <w:szCs w:val="21"/>
              </w:rPr>
              <w:t>12号</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Z7003123000160</w:t>
            </w:r>
          </w:p>
          <w:p w:rsidR="004B7B77" w:rsidRDefault="004B7B77" w:rsidP="004B7B77">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4B7B77" w:rsidTr="004B7B77">
        <w:trPr>
          <w:trHeight w:val="90"/>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G份额：苏银理财恒</w:t>
            </w:r>
            <w:proofErr w:type="gramStart"/>
            <w:r>
              <w:rPr>
                <w:rFonts w:ascii="楷体" w:eastAsia="楷体" w:hAnsi="楷体" w:cs="宋体" w:hint="eastAsia"/>
                <w:spacing w:val="-2"/>
                <w:kern w:val="2"/>
                <w:sz w:val="21"/>
                <w:szCs w:val="21"/>
              </w:rPr>
              <w:t>源季开放</w:t>
            </w:r>
            <w:proofErr w:type="gramEnd"/>
            <w:r>
              <w:rPr>
                <w:rFonts w:ascii="楷体" w:eastAsia="楷体" w:hAnsi="楷体" w:cs="宋体" w:hint="eastAsia"/>
                <w:spacing w:val="-2"/>
                <w:kern w:val="2"/>
                <w:sz w:val="21"/>
                <w:szCs w:val="21"/>
              </w:rPr>
              <w:t>12号G/J02842</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4B7B77" w:rsidRDefault="004B7B77" w:rsidP="004B7B77">
            <w:pPr>
              <w:kinsoku w:val="0"/>
              <w:overflowPunct w:val="0"/>
              <w:autoSpaceDE w:val="0"/>
              <w:autoSpaceDN w:val="0"/>
              <w:spacing w:before="13"/>
              <w:ind w:left="59" w:rightChars="35" w:right="77"/>
              <w:rPr>
                <w:rFonts w:ascii="楷体" w:eastAsia="楷体" w:hAnsi="楷体" w:cs="宋体" w:hint="eastAsia"/>
                <w:spacing w:val="-2"/>
                <w:szCs w:val="21"/>
              </w:rPr>
            </w:pPr>
            <w:r>
              <w:rPr>
                <w:rFonts w:ascii="楷体" w:eastAsia="楷体" w:hAnsi="楷体" w:cs="宋体" w:hint="eastAsia"/>
                <w:b/>
                <w:spacing w:val="-2"/>
                <w:szCs w:val="21"/>
              </w:rPr>
              <w:t>2、</w:t>
            </w:r>
            <w:r>
              <w:rPr>
                <w:rFonts w:ascii="楷体" w:eastAsia="楷体" w:hAnsi="楷体" w:cs="宋体" w:hint="eastAsia"/>
                <w:spacing w:val="-2"/>
                <w:szCs w:val="21"/>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4B7B77" w:rsidRDefault="004B7B77" w:rsidP="004B7B77">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4B7B77" w:rsidRPr="004B7B77" w:rsidRDefault="004B7B77" w:rsidP="004B7B77">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G份额面向个人和机构投资者销售。</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3个月</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首期计划发行规模10亿元。募集过程中管理人有权根据产品的募集情况调整计划发行规模。后续开放期内管理人将根据客户申购/赎回情况调整产品发行规模。</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ind w:left="59" w:rightChars="35" w:right="77"/>
              <w:rPr>
                <w:rFonts w:ascii="楷体" w:eastAsia="楷体" w:hAnsi="楷体" w:hint="eastAsia"/>
                <w:szCs w:val="21"/>
              </w:rPr>
            </w:pPr>
            <w:r>
              <w:rPr>
                <w:rFonts w:ascii="楷体" w:eastAsia="楷体" w:hAnsi="楷体" w:hint="eastAsia"/>
                <w:szCs w:val="21"/>
              </w:rPr>
              <w:t>G份额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认购起点/追加金额具体以销售机构设置为准。认购资金的清算和认购份额的计算详见产品说明书“八、产品认购”。</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kern w:val="2"/>
                <w:szCs w:val="21"/>
              </w:rPr>
            </w:pPr>
            <w:r>
              <w:rPr>
                <w:rFonts w:ascii="楷体" w:eastAsia="楷体" w:hAnsi="楷体" w:cs="宋体" w:hint="eastAsia"/>
                <w:spacing w:val="-2"/>
                <w:kern w:val="2"/>
                <w:sz w:val="21"/>
                <w:szCs w:val="21"/>
              </w:rPr>
              <w:t>1元/份</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2023年11月29日9:00至2023年12月5日17:00</w:t>
            </w:r>
          </w:p>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2023年12月6日</w:t>
            </w:r>
          </w:p>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2033年12月27日（如遇节假日，顺延至下一工作日）</w:t>
            </w:r>
          </w:p>
          <w:p w:rsidR="004B7B77" w:rsidRDefault="004B7B77" w:rsidP="004B7B7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在符合本理财产品说明书约定的条件下，管理人有权提前终止该产品，产品到期日受制于提前终止条款。详见产品说明书“十一、产品的终止与清算”。</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首个投资周期终止日为2024年3月14日，之后本产品每3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4B7B77" w:rsidRDefault="004B7B77" w:rsidP="004B7B77">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管理人有权根据资产运作情况、节假日安排调整开放计划，并在调整前进行公告。详见产品说明书“九、产品申购、赎回”。</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1亿份。</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4B7B77" w:rsidRDefault="004B7B77">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4B7B77" w:rsidRDefault="004B7B77">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4B7B77" w:rsidRDefault="004B7B77" w:rsidP="004B7B77">
            <w:pPr>
              <w:widowControl w:val="0"/>
              <w:ind w:rightChars="35" w:right="77"/>
              <w:jc w:val="both"/>
              <w:rPr>
                <w:rFonts w:ascii="楷体" w:eastAsia="楷体" w:hAnsi="楷体" w:cs="宋体"/>
                <w:spacing w:val="-2"/>
                <w:kern w:val="2"/>
                <w:sz w:val="21"/>
                <w:szCs w:val="21"/>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rightChars="25" w:right="55"/>
              <w:jc w:val="both"/>
              <w:rPr>
                <w:rFonts w:ascii="楷体" w:eastAsia="楷体" w:hAnsi="楷体" w:cs="宋体"/>
                <w:spacing w:val="-2"/>
                <w:kern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ind w:left="59" w:rightChars="35" w:right="77"/>
              <w:rPr>
                <w:rFonts w:ascii="楷体" w:eastAsia="楷体" w:hAnsi="楷体" w:cs="Times New Roman"/>
                <w:szCs w:val="21"/>
              </w:rPr>
            </w:pPr>
            <w:r>
              <w:rPr>
                <w:rFonts w:ascii="楷体" w:eastAsia="楷体" w:hAnsi="楷体" w:cs="宋体" w:hint="eastAsia"/>
                <w:b/>
                <w:bCs/>
                <w:spacing w:val="-2"/>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Cs w:val="21"/>
                <w:u w:val="single"/>
              </w:rPr>
              <w:t>各份额业绩比较基准如下：</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1869"/>
              <w:gridCol w:w="1869"/>
              <w:gridCol w:w="1926"/>
            </w:tblGrid>
            <w:tr w:rsidR="004B7B77">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4B7B77" w:rsidRDefault="004B7B77">
                  <w:pPr>
                    <w:widowControl w:val="0"/>
                    <w:jc w:val="center"/>
                    <w:rPr>
                      <w:rFonts w:ascii="楷体" w:eastAsia="楷体" w:hAnsi="楷体"/>
                      <w:kern w:val="2"/>
                      <w:sz w:val="21"/>
                      <w:szCs w:val="21"/>
                    </w:rPr>
                  </w:pPr>
                  <w:r>
                    <w:rPr>
                      <w:rFonts w:ascii="楷体" w:eastAsia="楷体" w:hAnsi="楷体" w:hint="eastAsia"/>
                      <w:szCs w:val="21"/>
                    </w:rPr>
                    <w:t>投资周期</w:t>
                  </w:r>
                </w:p>
              </w:tc>
              <w:tc>
                <w:tcPr>
                  <w:tcW w:w="1871" w:type="dxa"/>
                  <w:tcBorders>
                    <w:top w:val="single" w:sz="4" w:space="0" w:color="auto"/>
                    <w:left w:val="single" w:sz="4" w:space="0" w:color="auto"/>
                    <w:bottom w:val="single" w:sz="4" w:space="0" w:color="auto"/>
                    <w:right w:val="single" w:sz="4" w:space="0" w:color="auto"/>
                  </w:tcBorders>
                  <w:vAlign w:val="center"/>
                  <w:hideMark/>
                </w:tcPr>
                <w:p w:rsidR="004B7B77" w:rsidRDefault="004B7B77">
                  <w:pPr>
                    <w:widowControl w:val="0"/>
                    <w:jc w:val="center"/>
                    <w:rPr>
                      <w:rFonts w:ascii="楷体" w:eastAsia="楷体" w:hAnsi="楷体"/>
                      <w:kern w:val="2"/>
                      <w:sz w:val="21"/>
                      <w:szCs w:val="21"/>
                    </w:rPr>
                  </w:pPr>
                  <w:r>
                    <w:rPr>
                      <w:rFonts w:ascii="楷体" w:eastAsia="楷体" w:hAnsi="楷体" w:hint="eastAsia"/>
                      <w:szCs w:val="21"/>
                    </w:rPr>
                    <w:t>投资周期起始日</w:t>
                  </w:r>
                </w:p>
              </w:tc>
              <w:tc>
                <w:tcPr>
                  <w:tcW w:w="1871" w:type="dxa"/>
                  <w:tcBorders>
                    <w:top w:val="single" w:sz="4" w:space="0" w:color="auto"/>
                    <w:left w:val="single" w:sz="4" w:space="0" w:color="auto"/>
                    <w:bottom w:val="single" w:sz="4" w:space="0" w:color="auto"/>
                    <w:right w:val="single" w:sz="4" w:space="0" w:color="auto"/>
                  </w:tcBorders>
                  <w:vAlign w:val="center"/>
                  <w:hideMark/>
                </w:tcPr>
                <w:p w:rsidR="004B7B77" w:rsidRDefault="004B7B77">
                  <w:pPr>
                    <w:widowControl w:val="0"/>
                    <w:jc w:val="center"/>
                    <w:rPr>
                      <w:rFonts w:ascii="楷体" w:eastAsia="楷体" w:hAnsi="楷体"/>
                      <w:kern w:val="2"/>
                      <w:sz w:val="21"/>
                      <w:szCs w:val="21"/>
                    </w:rPr>
                  </w:pPr>
                  <w:r>
                    <w:rPr>
                      <w:rFonts w:ascii="楷体" w:eastAsia="楷体" w:hAnsi="楷体" w:hint="eastAsia"/>
                      <w:szCs w:val="21"/>
                    </w:rPr>
                    <w:t>投资周期终止日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4B7B77" w:rsidRDefault="004B7B77">
                  <w:pPr>
                    <w:jc w:val="center"/>
                    <w:rPr>
                      <w:rFonts w:ascii="楷体" w:eastAsia="楷体" w:hAnsi="楷体" w:cs="Times New Roman"/>
                      <w:szCs w:val="21"/>
                    </w:rPr>
                  </w:pPr>
                  <w:r>
                    <w:rPr>
                      <w:rFonts w:ascii="楷体" w:eastAsia="楷体" w:hAnsi="楷体" w:hint="eastAsia"/>
                      <w:szCs w:val="21"/>
                    </w:rPr>
                    <w:t>业绩比较基准</w:t>
                  </w:r>
                </w:p>
                <w:p w:rsidR="004B7B77" w:rsidRDefault="004B7B77">
                  <w:pPr>
                    <w:widowControl w:val="0"/>
                    <w:jc w:val="center"/>
                    <w:rPr>
                      <w:rFonts w:ascii="楷体" w:eastAsia="楷体" w:hAnsi="楷体"/>
                      <w:kern w:val="2"/>
                      <w:sz w:val="21"/>
                      <w:szCs w:val="21"/>
                    </w:rPr>
                  </w:pPr>
                  <w:r>
                    <w:rPr>
                      <w:rFonts w:ascii="楷体" w:eastAsia="楷体" w:hAnsi="楷体" w:hint="eastAsia"/>
                      <w:szCs w:val="21"/>
                    </w:rPr>
                    <w:t>（年化）</w:t>
                  </w:r>
                </w:p>
              </w:tc>
            </w:tr>
            <w:tr w:rsidR="004B7B77">
              <w:trPr>
                <w:trHeight w:val="2161"/>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4B7B77" w:rsidRDefault="004B7B77">
                  <w:pPr>
                    <w:widowControl w:val="0"/>
                    <w:jc w:val="center"/>
                    <w:rPr>
                      <w:rFonts w:ascii="楷体" w:eastAsia="楷体" w:hAnsi="楷体"/>
                      <w:kern w:val="2"/>
                      <w:sz w:val="21"/>
                      <w:szCs w:val="21"/>
                    </w:rPr>
                  </w:pPr>
                  <w:r>
                    <w:rPr>
                      <w:rFonts w:ascii="楷体" w:eastAsia="楷体" w:hAnsi="楷体" w:hint="eastAsia"/>
                      <w:szCs w:val="21"/>
                    </w:rPr>
                    <w:t>1</w:t>
                  </w:r>
                </w:p>
              </w:tc>
              <w:tc>
                <w:tcPr>
                  <w:tcW w:w="1871" w:type="dxa"/>
                  <w:tcBorders>
                    <w:top w:val="single" w:sz="4" w:space="0" w:color="auto"/>
                    <w:left w:val="single" w:sz="4" w:space="0" w:color="auto"/>
                    <w:bottom w:val="single" w:sz="4" w:space="0" w:color="auto"/>
                    <w:right w:val="single" w:sz="4" w:space="0" w:color="auto"/>
                  </w:tcBorders>
                  <w:vAlign w:val="center"/>
                  <w:hideMark/>
                </w:tcPr>
                <w:p w:rsidR="004B7B77" w:rsidRDefault="004B7B77">
                  <w:pPr>
                    <w:widowControl w:val="0"/>
                    <w:jc w:val="center"/>
                    <w:rPr>
                      <w:rFonts w:ascii="楷体" w:eastAsia="楷体" w:hAnsi="楷体"/>
                      <w:kern w:val="2"/>
                      <w:sz w:val="21"/>
                      <w:szCs w:val="21"/>
                    </w:rPr>
                  </w:pPr>
                  <w:r>
                    <w:rPr>
                      <w:rFonts w:ascii="楷体" w:eastAsia="楷体" w:hAnsi="楷体" w:hint="eastAsia"/>
                      <w:szCs w:val="21"/>
                    </w:rPr>
                    <w:t>2023年12月6日</w:t>
                  </w:r>
                </w:p>
              </w:tc>
              <w:tc>
                <w:tcPr>
                  <w:tcW w:w="1871" w:type="dxa"/>
                  <w:tcBorders>
                    <w:top w:val="single" w:sz="4" w:space="0" w:color="auto"/>
                    <w:left w:val="single" w:sz="4" w:space="0" w:color="auto"/>
                    <w:bottom w:val="single" w:sz="4" w:space="0" w:color="auto"/>
                    <w:right w:val="single" w:sz="4" w:space="0" w:color="auto"/>
                  </w:tcBorders>
                  <w:vAlign w:val="center"/>
                  <w:hideMark/>
                </w:tcPr>
                <w:p w:rsidR="004B7B77" w:rsidRDefault="004B7B77">
                  <w:pPr>
                    <w:widowControl w:val="0"/>
                    <w:jc w:val="center"/>
                    <w:rPr>
                      <w:rFonts w:ascii="楷体" w:eastAsia="楷体" w:hAnsi="楷体"/>
                      <w:kern w:val="2"/>
                      <w:sz w:val="21"/>
                      <w:szCs w:val="21"/>
                    </w:rPr>
                  </w:pPr>
                  <w:r>
                    <w:rPr>
                      <w:rFonts w:ascii="楷体" w:eastAsia="楷体" w:hAnsi="楷体" w:hint="eastAsia"/>
                      <w:szCs w:val="21"/>
                    </w:rPr>
                    <w:t>2024年3月14日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4B7B77" w:rsidRPr="004B7B77" w:rsidRDefault="004B7B77" w:rsidP="004B7B77">
                  <w:pPr>
                    <w:spacing w:line="0" w:lineRule="atLeast"/>
                    <w:jc w:val="center"/>
                    <w:rPr>
                      <w:rFonts w:ascii="楷体" w:eastAsia="楷体" w:hAnsi="楷体" w:cs="宋体"/>
                      <w:spacing w:val="-2"/>
                      <w:szCs w:val="21"/>
                    </w:rPr>
                  </w:pPr>
                  <w:r>
                    <w:rPr>
                      <w:rFonts w:ascii="楷体" w:eastAsia="楷体" w:hAnsi="楷体" w:cs="宋体" w:hint="eastAsia"/>
                      <w:spacing w:val="-2"/>
                      <w:szCs w:val="21"/>
                    </w:rPr>
                    <w:t>G份额2.70%-3.60%</w:t>
                  </w:r>
                </w:p>
              </w:tc>
            </w:tr>
          </w:tbl>
          <w:p w:rsidR="004B7B77" w:rsidRDefault="004B7B77" w:rsidP="004B7B77">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4B7B77" w:rsidRDefault="004B7B77" w:rsidP="004B7B77">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4B7B77" w:rsidRDefault="004B7B77" w:rsidP="004B7B77">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2.销售服务费率：0.50%/年。</w:t>
            </w:r>
          </w:p>
          <w:p w:rsidR="004B7B77" w:rsidRDefault="004B7B77" w:rsidP="004B7B77">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 G份额0.80%/年。</w:t>
            </w:r>
          </w:p>
          <w:p w:rsidR="004B7B77" w:rsidRDefault="004B7B77" w:rsidP="004B7B77">
            <w:pPr>
              <w:ind w:left="59" w:rightChars="35" w:right="77"/>
              <w:rPr>
                <w:rFonts w:ascii="楷体" w:eastAsia="楷体" w:hAnsi="楷体" w:cs="宋体" w:hint="eastAsia"/>
                <w:spacing w:val="-2"/>
                <w:szCs w:val="21"/>
              </w:rPr>
            </w:pPr>
            <w:r>
              <w:rPr>
                <w:rFonts w:ascii="楷体" w:eastAsia="楷体" w:hAnsi="楷体" w:cs="宋体" w:hint="eastAsia"/>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上限，则该投资周期终止日后管理人将按照超出部分的50%收取超额</w:t>
            </w:r>
            <w:r>
              <w:rPr>
                <w:rFonts w:ascii="楷体" w:eastAsia="楷体" w:hAnsi="楷体" w:cs="宋体" w:hint="eastAsia"/>
                <w:spacing w:val="-2"/>
                <w:szCs w:val="21"/>
              </w:rPr>
              <w:lastRenderedPageBreak/>
              <w:t>业绩报酬。</w:t>
            </w:r>
          </w:p>
          <w:p w:rsidR="004B7B77" w:rsidRDefault="004B7B77" w:rsidP="004B7B77">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4B7B77" w:rsidRDefault="004B7B77" w:rsidP="004B7B77">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本产品设置有多个份额，各款产品按照设置的销售对象和销售起点进行销售，各款产品实际收取的销售服务费率和投资管理费率可能存在差异，客户根据产品销售时设置的条件自主选择购买。</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本产品每日估值，每个开放日结束后2个工作日内通过本理财产品说明书约定方式披露上一投资周期终止日的单位净值、份额累计净值、认/申购价格和赎回价格。详见产品说明书“十、产品估值”。</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ind w:left="59" w:rightChars="35" w:right="77"/>
              <w:rPr>
                <w:rFonts w:ascii="楷体" w:eastAsia="楷体" w:hAnsi="楷体" w:cs="宋体"/>
                <w:spacing w:val="-2"/>
                <w:szCs w:val="21"/>
              </w:rPr>
            </w:pPr>
            <w:r>
              <w:rPr>
                <w:rFonts w:ascii="楷体" w:eastAsia="楷体" w:hAnsi="楷体" w:cs="宋体" w:hint="eastAsia"/>
                <w:spacing w:val="-2"/>
                <w:szCs w:val="21"/>
              </w:rPr>
              <w:t>本产品无分红机制，投资运作情况体现为产品净值变化。产品投资运作</w:t>
            </w:r>
          </w:p>
          <w:p w:rsidR="004B7B77" w:rsidRDefault="004B7B77" w:rsidP="004B7B77">
            <w:pPr>
              <w:ind w:left="59" w:rightChars="35" w:right="77"/>
              <w:rPr>
                <w:rFonts w:ascii="楷体" w:eastAsia="楷体" w:hAnsi="楷体" w:cs="宋体" w:hint="eastAsia"/>
                <w:spacing w:val="-2"/>
                <w:szCs w:val="21"/>
              </w:rPr>
            </w:pPr>
            <w:r>
              <w:rPr>
                <w:rFonts w:ascii="楷体" w:eastAsia="楷体" w:hAnsi="楷体" w:cs="宋体" w:hint="eastAsia"/>
                <w:spacing w:val="-2"/>
                <w:szCs w:val="21"/>
              </w:rPr>
              <w:t>到期，投资收益扣除相关费用后，全部分配给投资者。详见产品说明书“十一、</w:t>
            </w:r>
          </w:p>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产品的终止与清算</w:t>
            </w:r>
            <w:proofErr w:type="gramStart"/>
            <w:r>
              <w:rPr>
                <w:rFonts w:ascii="楷体" w:eastAsia="楷体" w:hAnsi="楷体" w:cs="宋体" w:hint="eastAsia"/>
                <w:spacing w:val="-2"/>
                <w:szCs w:val="21"/>
              </w:rPr>
              <w:t>”</w:t>
            </w:r>
            <w:proofErr w:type="gramEnd"/>
            <w:r>
              <w:rPr>
                <w:rFonts w:ascii="楷体" w:eastAsia="楷体" w:hAnsi="楷体" w:cs="宋体" w:hint="eastAsia"/>
                <w:spacing w:val="-2"/>
                <w:szCs w:val="21"/>
              </w:rPr>
              <w:t>。</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管理人将按照《理财产品说明书》中约定的方式进行信息披露，详见产品说明书“十五、信息披露”。</w:t>
            </w:r>
          </w:p>
        </w:tc>
      </w:tr>
      <w:tr w:rsidR="004B7B77" w:rsidTr="004B7B77">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B7B77" w:rsidRDefault="004B7B77">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4B7B77" w:rsidRDefault="004B7B77" w:rsidP="004B7B7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本产品运作过程中涉及的各纳税主体，其纳税义务按国家税收法律、法规执行。详见产品说明书“十三、税收规定”。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4B7B77">
        <w:rPr>
          <w:rFonts w:ascii="仿宋_GB2312" w:eastAsia="仿宋_GB2312" w:hAnsi="微软雅黑" w:cs="宋体" w:hint="eastAsia"/>
          <w:color w:val="000000"/>
          <w:sz w:val="32"/>
          <w:szCs w:val="32"/>
        </w:rPr>
        <w:t>恒源季开放12号</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4B7B77">
        <w:rPr>
          <w:rFonts w:ascii="仿宋_GB2312" w:eastAsia="仿宋_GB2312" w:hAnsi="微软雅黑" w:cs="宋体" w:hint="eastAsia"/>
          <w:color w:val="000000"/>
          <w:sz w:val="32"/>
          <w:szCs w:val="32"/>
        </w:rPr>
        <w:t>恒源季开放12号</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rsidP="00B12E27">
      <w:pPr>
        <w:adjustRightInd/>
        <w:snapToGrid/>
        <w:spacing w:after="0"/>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D86E3A">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820675">
        <w:rPr>
          <w:rFonts w:ascii="仿宋_GB2312" w:eastAsia="仿宋_GB2312" w:hAnsi="微软雅黑" w:cs="宋体" w:hint="eastAsia"/>
          <w:color w:val="000000"/>
          <w:sz w:val="32"/>
          <w:szCs w:val="32"/>
        </w:rPr>
        <w:t>1</w:t>
      </w:r>
      <w:r w:rsidR="005B111F">
        <w:rPr>
          <w:rFonts w:ascii="仿宋_GB2312" w:eastAsia="仿宋_GB2312" w:hAnsi="微软雅黑" w:cs="宋体" w:hint="eastAsia"/>
          <w:color w:val="000000"/>
          <w:sz w:val="32"/>
          <w:szCs w:val="32"/>
        </w:rPr>
        <w:t>1</w:t>
      </w:r>
      <w:r>
        <w:rPr>
          <w:rFonts w:ascii="仿宋_GB2312" w:eastAsia="仿宋_GB2312" w:hAnsi="微软雅黑" w:cs="宋体" w:hint="eastAsia"/>
          <w:color w:val="000000"/>
          <w:sz w:val="32"/>
          <w:szCs w:val="32"/>
        </w:rPr>
        <w:t>月</w:t>
      </w:r>
      <w:r w:rsidR="004B7B77">
        <w:rPr>
          <w:rFonts w:ascii="仿宋_GB2312" w:eastAsia="仿宋_GB2312" w:hAnsi="微软雅黑" w:cs="宋体" w:hint="eastAsia"/>
          <w:color w:val="000000"/>
          <w:sz w:val="32"/>
          <w:szCs w:val="32"/>
        </w:rPr>
        <w:t>27</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936F7"/>
    <w:rsid w:val="000957AC"/>
    <w:rsid w:val="000A5028"/>
    <w:rsid w:val="000C0B87"/>
    <w:rsid w:val="000E18A2"/>
    <w:rsid w:val="000E1FA9"/>
    <w:rsid w:val="000E7543"/>
    <w:rsid w:val="0010440D"/>
    <w:rsid w:val="00107F72"/>
    <w:rsid w:val="00110B5C"/>
    <w:rsid w:val="001225F8"/>
    <w:rsid w:val="00123C0C"/>
    <w:rsid w:val="00151F0C"/>
    <w:rsid w:val="00157799"/>
    <w:rsid w:val="00160908"/>
    <w:rsid w:val="00174CF3"/>
    <w:rsid w:val="00174FC8"/>
    <w:rsid w:val="00182785"/>
    <w:rsid w:val="001930D1"/>
    <w:rsid w:val="001A556D"/>
    <w:rsid w:val="001B1BA5"/>
    <w:rsid w:val="001B2273"/>
    <w:rsid w:val="001D40A6"/>
    <w:rsid w:val="001D6CA8"/>
    <w:rsid w:val="001F72B5"/>
    <w:rsid w:val="00201E20"/>
    <w:rsid w:val="00206F8F"/>
    <w:rsid w:val="00207F97"/>
    <w:rsid w:val="00214CF7"/>
    <w:rsid w:val="00216E71"/>
    <w:rsid w:val="002235BC"/>
    <w:rsid w:val="00233CED"/>
    <w:rsid w:val="00236FDA"/>
    <w:rsid w:val="00243012"/>
    <w:rsid w:val="002513BD"/>
    <w:rsid w:val="00257856"/>
    <w:rsid w:val="00274E02"/>
    <w:rsid w:val="00277323"/>
    <w:rsid w:val="002777A1"/>
    <w:rsid w:val="00283408"/>
    <w:rsid w:val="002866F6"/>
    <w:rsid w:val="0029028F"/>
    <w:rsid w:val="002A717C"/>
    <w:rsid w:val="002B1948"/>
    <w:rsid w:val="002B5426"/>
    <w:rsid w:val="002C248B"/>
    <w:rsid w:val="002D757D"/>
    <w:rsid w:val="002D7671"/>
    <w:rsid w:val="002E2039"/>
    <w:rsid w:val="002E3ECB"/>
    <w:rsid w:val="002E7145"/>
    <w:rsid w:val="002F07C0"/>
    <w:rsid w:val="003059D5"/>
    <w:rsid w:val="00320D56"/>
    <w:rsid w:val="00322F4C"/>
    <w:rsid w:val="00323B43"/>
    <w:rsid w:val="00347193"/>
    <w:rsid w:val="00353BA9"/>
    <w:rsid w:val="00355E21"/>
    <w:rsid w:val="00357EB7"/>
    <w:rsid w:val="00361A72"/>
    <w:rsid w:val="00393219"/>
    <w:rsid w:val="003C0D6B"/>
    <w:rsid w:val="003C1D41"/>
    <w:rsid w:val="003D37D8"/>
    <w:rsid w:val="003D4715"/>
    <w:rsid w:val="003E2BFC"/>
    <w:rsid w:val="003F70AB"/>
    <w:rsid w:val="00410A33"/>
    <w:rsid w:val="00414451"/>
    <w:rsid w:val="00422AD1"/>
    <w:rsid w:val="00426133"/>
    <w:rsid w:val="00431C9E"/>
    <w:rsid w:val="004349C0"/>
    <w:rsid w:val="004358AB"/>
    <w:rsid w:val="00443E90"/>
    <w:rsid w:val="00450005"/>
    <w:rsid w:val="00450C77"/>
    <w:rsid w:val="0045680A"/>
    <w:rsid w:val="00471A3B"/>
    <w:rsid w:val="004749F0"/>
    <w:rsid w:val="004755D1"/>
    <w:rsid w:val="00476C3B"/>
    <w:rsid w:val="0049140E"/>
    <w:rsid w:val="004950F4"/>
    <w:rsid w:val="00496E4F"/>
    <w:rsid w:val="004B7B77"/>
    <w:rsid w:val="004C175A"/>
    <w:rsid w:val="004F5A23"/>
    <w:rsid w:val="00510995"/>
    <w:rsid w:val="005168C5"/>
    <w:rsid w:val="005218F6"/>
    <w:rsid w:val="00523BDD"/>
    <w:rsid w:val="0052515C"/>
    <w:rsid w:val="00526052"/>
    <w:rsid w:val="00530F2D"/>
    <w:rsid w:val="00536DF2"/>
    <w:rsid w:val="00543584"/>
    <w:rsid w:val="00543782"/>
    <w:rsid w:val="0055369F"/>
    <w:rsid w:val="00560B87"/>
    <w:rsid w:val="00566F5F"/>
    <w:rsid w:val="00566FD9"/>
    <w:rsid w:val="00567122"/>
    <w:rsid w:val="00577BF0"/>
    <w:rsid w:val="005B111F"/>
    <w:rsid w:val="005B1774"/>
    <w:rsid w:val="005B45CF"/>
    <w:rsid w:val="005C155D"/>
    <w:rsid w:val="005C31E9"/>
    <w:rsid w:val="005D072F"/>
    <w:rsid w:val="005D21AE"/>
    <w:rsid w:val="005F2B78"/>
    <w:rsid w:val="00606205"/>
    <w:rsid w:val="00607EC0"/>
    <w:rsid w:val="00610019"/>
    <w:rsid w:val="006110FC"/>
    <w:rsid w:val="00611544"/>
    <w:rsid w:val="006128D5"/>
    <w:rsid w:val="006148C9"/>
    <w:rsid w:val="0061606F"/>
    <w:rsid w:val="006214F4"/>
    <w:rsid w:val="00672DFF"/>
    <w:rsid w:val="00677D5A"/>
    <w:rsid w:val="0068015B"/>
    <w:rsid w:val="0068109C"/>
    <w:rsid w:val="006C44CC"/>
    <w:rsid w:val="006C68D5"/>
    <w:rsid w:val="006F7856"/>
    <w:rsid w:val="00701C74"/>
    <w:rsid w:val="0070239F"/>
    <w:rsid w:val="00714B02"/>
    <w:rsid w:val="007248B8"/>
    <w:rsid w:val="0073205A"/>
    <w:rsid w:val="0074046E"/>
    <w:rsid w:val="00740E8C"/>
    <w:rsid w:val="00741563"/>
    <w:rsid w:val="00747E0A"/>
    <w:rsid w:val="007675CD"/>
    <w:rsid w:val="00783419"/>
    <w:rsid w:val="007865C9"/>
    <w:rsid w:val="00793A91"/>
    <w:rsid w:val="00796629"/>
    <w:rsid w:val="007A6260"/>
    <w:rsid w:val="007C44C4"/>
    <w:rsid w:val="007D35F2"/>
    <w:rsid w:val="007D51DB"/>
    <w:rsid w:val="00816AD1"/>
    <w:rsid w:val="008201C5"/>
    <w:rsid w:val="00820675"/>
    <w:rsid w:val="00827FB9"/>
    <w:rsid w:val="00844333"/>
    <w:rsid w:val="008445DB"/>
    <w:rsid w:val="008450A8"/>
    <w:rsid w:val="00846546"/>
    <w:rsid w:val="008507C0"/>
    <w:rsid w:val="0085497C"/>
    <w:rsid w:val="00854BCB"/>
    <w:rsid w:val="00867E9B"/>
    <w:rsid w:val="00884835"/>
    <w:rsid w:val="008930CD"/>
    <w:rsid w:val="00893277"/>
    <w:rsid w:val="00895EEF"/>
    <w:rsid w:val="00896D1C"/>
    <w:rsid w:val="00897920"/>
    <w:rsid w:val="008A6AC1"/>
    <w:rsid w:val="008B008A"/>
    <w:rsid w:val="008B4334"/>
    <w:rsid w:val="008B450C"/>
    <w:rsid w:val="008B4E39"/>
    <w:rsid w:val="008B6523"/>
    <w:rsid w:val="008B7726"/>
    <w:rsid w:val="008F0E74"/>
    <w:rsid w:val="008F2B7A"/>
    <w:rsid w:val="008F5738"/>
    <w:rsid w:val="008F7CA5"/>
    <w:rsid w:val="00903E35"/>
    <w:rsid w:val="009058E8"/>
    <w:rsid w:val="00911DE1"/>
    <w:rsid w:val="00916AFD"/>
    <w:rsid w:val="00951BFC"/>
    <w:rsid w:val="00953E58"/>
    <w:rsid w:val="00963C82"/>
    <w:rsid w:val="0096633A"/>
    <w:rsid w:val="0096677C"/>
    <w:rsid w:val="00971266"/>
    <w:rsid w:val="00985586"/>
    <w:rsid w:val="00986A17"/>
    <w:rsid w:val="00996AC4"/>
    <w:rsid w:val="009A5FF7"/>
    <w:rsid w:val="009A6871"/>
    <w:rsid w:val="009B21F1"/>
    <w:rsid w:val="009B2786"/>
    <w:rsid w:val="009C0525"/>
    <w:rsid w:val="009D1D85"/>
    <w:rsid w:val="009E16F2"/>
    <w:rsid w:val="00A01DF4"/>
    <w:rsid w:val="00A215C9"/>
    <w:rsid w:val="00A30CF8"/>
    <w:rsid w:val="00A4169B"/>
    <w:rsid w:val="00A54155"/>
    <w:rsid w:val="00A65280"/>
    <w:rsid w:val="00A6775F"/>
    <w:rsid w:val="00A838DC"/>
    <w:rsid w:val="00A84AE0"/>
    <w:rsid w:val="00A9135E"/>
    <w:rsid w:val="00A9294C"/>
    <w:rsid w:val="00A97403"/>
    <w:rsid w:val="00AA23FA"/>
    <w:rsid w:val="00AB6BA4"/>
    <w:rsid w:val="00AC33B2"/>
    <w:rsid w:val="00AC51A3"/>
    <w:rsid w:val="00AC6774"/>
    <w:rsid w:val="00AD4C9C"/>
    <w:rsid w:val="00AE6487"/>
    <w:rsid w:val="00AF3E9A"/>
    <w:rsid w:val="00B01B88"/>
    <w:rsid w:val="00B02F94"/>
    <w:rsid w:val="00B126A7"/>
    <w:rsid w:val="00B12E27"/>
    <w:rsid w:val="00B21220"/>
    <w:rsid w:val="00B22801"/>
    <w:rsid w:val="00B24A4C"/>
    <w:rsid w:val="00B27E33"/>
    <w:rsid w:val="00B4326E"/>
    <w:rsid w:val="00B73A10"/>
    <w:rsid w:val="00B941A3"/>
    <w:rsid w:val="00B941AB"/>
    <w:rsid w:val="00BA2412"/>
    <w:rsid w:val="00BB3E57"/>
    <w:rsid w:val="00BC7E3B"/>
    <w:rsid w:val="00BD4E51"/>
    <w:rsid w:val="00BE351A"/>
    <w:rsid w:val="00C00041"/>
    <w:rsid w:val="00C15704"/>
    <w:rsid w:val="00C17395"/>
    <w:rsid w:val="00C23A87"/>
    <w:rsid w:val="00C419AF"/>
    <w:rsid w:val="00C468C3"/>
    <w:rsid w:val="00C50780"/>
    <w:rsid w:val="00C50B0B"/>
    <w:rsid w:val="00C66A8C"/>
    <w:rsid w:val="00C71423"/>
    <w:rsid w:val="00C77D66"/>
    <w:rsid w:val="00C934C7"/>
    <w:rsid w:val="00CA70DD"/>
    <w:rsid w:val="00CB16FF"/>
    <w:rsid w:val="00CB29BA"/>
    <w:rsid w:val="00CB2A01"/>
    <w:rsid w:val="00CD21BA"/>
    <w:rsid w:val="00CD328F"/>
    <w:rsid w:val="00CD4295"/>
    <w:rsid w:val="00CD4F0F"/>
    <w:rsid w:val="00CD74BD"/>
    <w:rsid w:val="00CE0BFB"/>
    <w:rsid w:val="00CE0C36"/>
    <w:rsid w:val="00CF5224"/>
    <w:rsid w:val="00CF76C9"/>
    <w:rsid w:val="00D0319E"/>
    <w:rsid w:val="00D10241"/>
    <w:rsid w:val="00D20F22"/>
    <w:rsid w:val="00D31D50"/>
    <w:rsid w:val="00D40F02"/>
    <w:rsid w:val="00D42DFD"/>
    <w:rsid w:val="00D476F9"/>
    <w:rsid w:val="00D51249"/>
    <w:rsid w:val="00D5491D"/>
    <w:rsid w:val="00D57726"/>
    <w:rsid w:val="00D67754"/>
    <w:rsid w:val="00D763B7"/>
    <w:rsid w:val="00D80BDE"/>
    <w:rsid w:val="00D86E3A"/>
    <w:rsid w:val="00DA521E"/>
    <w:rsid w:val="00DB1998"/>
    <w:rsid w:val="00DB267C"/>
    <w:rsid w:val="00DC08E6"/>
    <w:rsid w:val="00DC2619"/>
    <w:rsid w:val="00DD1E41"/>
    <w:rsid w:val="00DD52AA"/>
    <w:rsid w:val="00DE145A"/>
    <w:rsid w:val="00DF18D2"/>
    <w:rsid w:val="00E022DA"/>
    <w:rsid w:val="00E05633"/>
    <w:rsid w:val="00E210A0"/>
    <w:rsid w:val="00E328E5"/>
    <w:rsid w:val="00E342C9"/>
    <w:rsid w:val="00E4613A"/>
    <w:rsid w:val="00E51943"/>
    <w:rsid w:val="00E65FB9"/>
    <w:rsid w:val="00E71932"/>
    <w:rsid w:val="00E773E2"/>
    <w:rsid w:val="00E774C6"/>
    <w:rsid w:val="00E807D3"/>
    <w:rsid w:val="00E86AD3"/>
    <w:rsid w:val="00EA1489"/>
    <w:rsid w:val="00EB3586"/>
    <w:rsid w:val="00EC780B"/>
    <w:rsid w:val="00ED0BA2"/>
    <w:rsid w:val="00EE0CF8"/>
    <w:rsid w:val="00EE50F7"/>
    <w:rsid w:val="00EF297D"/>
    <w:rsid w:val="00EF76FE"/>
    <w:rsid w:val="00F04234"/>
    <w:rsid w:val="00F21AAA"/>
    <w:rsid w:val="00F234C6"/>
    <w:rsid w:val="00F24E77"/>
    <w:rsid w:val="00F634A7"/>
    <w:rsid w:val="00F7443F"/>
    <w:rsid w:val="00F805F0"/>
    <w:rsid w:val="00F94E57"/>
    <w:rsid w:val="00F957A8"/>
    <w:rsid w:val="00F96EC9"/>
    <w:rsid w:val="00FA233C"/>
    <w:rsid w:val="00FA792A"/>
    <w:rsid w:val="00FA7FB6"/>
    <w:rsid w:val="00FB39AB"/>
    <w:rsid w:val="00FC1CBF"/>
    <w:rsid w:val="00FC73A4"/>
    <w:rsid w:val="00FD35EB"/>
    <w:rsid w:val="00FE0475"/>
    <w:rsid w:val="00FE20C6"/>
    <w:rsid w:val="00FE3568"/>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3651128">
      <w:bodyDiv w:val="1"/>
      <w:marLeft w:val="0"/>
      <w:marRight w:val="0"/>
      <w:marTop w:val="0"/>
      <w:marBottom w:val="0"/>
      <w:divBdr>
        <w:top w:val="none" w:sz="0" w:space="0" w:color="auto"/>
        <w:left w:val="none" w:sz="0" w:space="0" w:color="auto"/>
        <w:bottom w:val="none" w:sz="0" w:space="0" w:color="auto"/>
        <w:right w:val="none" w:sz="0" w:space="0" w:color="auto"/>
      </w:divBdr>
    </w:div>
    <w:div w:id="174882628">
      <w:bodyDiv w:val="1"/>
      <w:marLeft w:val="0"/>
      <w:marRight w:val="0"/>
      <w:marTop w:val="0"/>
      <w:marBottom w:val="0"/>
      <w:divBdr>
        <w:top w:val="none" w:sz="0" w:space="0" w:color="auto"/>
        <w:left w:val="none" w:sz="0" w:space="0" w:color="auto"/>
        <w:bottom w:val="none" w:sz="0" w:space="0" w:color="auto"/>
        <w:right w:val="none" w:sz="0" w:space="0" w:color="auto"/>
      </w:divBdr>
    </w:div>
    <w:div w:id="257178654">
      <w:bodyDiv w:val="1"/>
      <w:marLeft w:val="0"/>
      <w:marRight w:val="0"/>
      <w:marTop w:val="0"/>
      <w:marBottom w:val="0"/>
      <w:divBdr>
        <w:top w:val="none" w:sz="0" w:space="0" w:color="auto"/>
        <w:left w:val="none" w:sz="0" w:space="0" w:color="auto"/>
        <w:bottom w:val="none" w:sz="0" w:space="0" w:color="auto"/>
        <w:right w:val="none" w:sz="0" w:space="0" w:color="auto"/>
      </w:divBdr>
    </w:div>
    <w:div w:id="292560250">
      <w:bodyDiv w:val="1"/>
      <w:marLeft w:val="0"/>
      <w:marRight w:val="0"/>
      <w:marTop w:val="0"/>
      <w:marBottom w:val="0"/>
      <w:divBdr>
        <w:top w:val="none" w:sz="0" w:space="0" w:color="auto"/>
        <w:left w:val="none" w:sz="0" w:space="0" w:color="auto"/>
        <w:bottom w:val="none" w:sz="0" w:space="0" w:color="auto"/>
        <w:right w:val="none" w:sz="0" w:space="0" w:color="auto"/>
      </w:divBdr>
    </w:div>
    <w:div w:id="306084500">
      <w:bodyDiv w:val="1"/>
      <w:marLeft w:val="0"/>
      <w:marRight w:val="0"/>
      <w:marTop w:val="0"/>
      <w:marBottom w:val="0"/>
      <w:divBdr>
        <w:top w:val="none" w:sz="0" w:space="0" w:color="auto"/>
        <w:left w:val="none" w:sz="0" w:space="0" w:color="auto"/>
        <w:bottom w:val="none" w:sz="0" w:space="0" w:color="auto"/>
        <w:right w:val="none" w:sz="0" w:space="0" w:color="auto"/>
      </w:divBdr>
    </w:div>
    <w:div w:id="32868143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504251568">
      <w:bodyDiv w:val="1"/>
      <w:marLeft w:val="0"/>
      <w:marRight w:val="0"/>
      <w:marTop w:val="0"/>
      <w:marBottom w:val="0"/>
      <w:divBdr>
        <w:top w:val="none" w:sz="0" w:space="0" w:color="auto"/>
        <w:left w:val="none" w:sz="0" w:space="0" w:color="auto"/>
        <w:bottom w:val="none" w:sz="0" w:space="0" w:color="auto"/>
        <w:right w:val="none" w:sz="0" w:space="0" w:color="auto"/>
      </w:divBdr>
    </w:div>
    <w:div w:id="520357141">
      <w:bodyDiv w:val="1"/>
      <w:marLeft w:val="0"/>
      <w:marRight w:val="0"/>
      <w:marTop w:val="0"/>
      <w:marBottom w:val="0"/>
      <w:divBdr>
        <w:top w:val="none" w:sz="0" w:space="0" w:color="auto"/>
        <w:left w:val="none" w:sz="0" w:space="0" w:color="auto"/>
        <w:bottom w:val="none" w:sz="0" w:space="0" w:color="auto"/>
        <w:right w:val="none" w:sz="0" w:space="0" w:color="auto"/>
      </w:divBdr>
    </w:div>
    <w:div w:id="564494189">
      <w:bodyDiv w:val="1"/>
      <w:marLeft w:val="0"/>
      <w:marRight w:val="0"/>
      <w:marTop w:val="0"/>
      <w:marBottom w:val="0"/>
      <w:divBdr>
        <w:top w:val="none" w:sz="0" w:space="0" w:color="auto"/>
        <w:left w:val="none" w:sz="0" w:space="0" w:color="auto"/>
        <w:bottom w:val="none" w:sz="0" w:space="0" w:color="auto"/>
        <w:right w:val="none" w:sz="0" w:space="0" w:color="auto"/>
      </w:divBdr>
    </w:div>
    <w:div w:id="630281731">
      <w:bodyDiv w:val="1"/>
      <w:marLeft w:val="0"/>
      <w:marRight w:val="0"/>
      <w:marTop w:val="0"/>
      <w:marBottom w:val="0"/>
      <w:divBdr>
        <w:top w:val="none" w:sz="0" w:space="0" w:color="auto"/>
        <w:left w:val="none" w:sz="0" w:space="0" w:color="auto"/>
        <w:bottom w:val="none" w:sz="0" w:space="0" w:color="auto"/>
        <w:right w:val="none" w:sz="0" w:space="0" w:color="auto"/>
      </w:divBdr>
    </w:div>
    <w:div w:id="789400102">
      <w:bodyDiv w:val="1"/>
      <w:marLeft w:val="0"/>
      <w:marRight w:val="0"/>
      <w:marTop w:val="0"/>
      <w:marBottom w:val="0"/>
      <w:divBdr>
        <w:top w:val="none" w:sz="0" w:space="0" w:color="auto"/>
        <w:left w:val="none" w:sz="0" w:space="0" w:color="auto"/>
        <w:bottom w:val="none" w:sz="0" w:space="0" w:color="auto"/>
        <w:right w:val="none" w:sz="0" w:space="0" w:color="auto"/>
      </w:divBdr>
    </w:div>
    <w:div w:id="879391185">
      <w:bodyDiv w:val="1"/>
      <w:marLeft w:val="0"/>
      <w:marRight w:val="0"/>
      <w:marTop w:val="0"/>
      <w:marBottom w:val="0"/>
      <w:divBdr>
        <w:top w:val="none" w:sz="0" w:space="0" w:color="auto"/>
        <w:left w:val="none" w:sz="0" w:space="0" w:color="auto"/>
        <w:bottom w:val="none" w:sz="0" w:space="0" w:color="auto"/>
        <w:right w:val="none" w:sz="0" w:space="0" w:color="auto"/>
      </w:divBdr>
    </w:div>
    <w:div w:id="881405338">
      <w:bodyDiv w:val="1"/>
      <w:marLeft w:val="0"/>
      <w:marRight w:val="0"/>
      <w:marTop w:val="0"/>
      <w:marBottom w:val="0"/>
      <w:divBdr>
        <w:top w:val="none" w:sz="0" w:space="0" w:color="auto"/>
        <w:left w:val="none" w:sz="0" w:space="0" w:color="auto"/>
        <w:bottom w:val="none" w:sz="0" w:space="0" w:color="auto"/>
        <w:right w:val="none" w:sz="0" w:space="0" w:color="auto"/>
      </w:divBdr>
    </w:div>
    <w:div w:id="919489289">
      <w:bodyDiv w:val="1"/>
      <w:marLeft w:val="0"/>
      <w:marRight w:val="0"/>
      <w:marTop w:val="0"/>
      <w:marBottom w:val="0"/>
      <w:divBdr>
        <w:top w:val="none" w:sz="0" w:space="0" w:color="auto"/>
        <w:left w:val="none" w:sz="0" w:space="0" w:color="auto"/>
        <w:bottom w:val="none" w:sz="0" w:space="0" w:color="auto"/>
        <w:right w:val="none" w:sz="0" w:space="0" w:color="auto"/>
      </w:divBdr>
    </w:div>
    <w:div w:id="938023640">
      <w:bodyDiv w:val="1"/>
      <w:marLeft w:val="0"/>
      <w:marRight w:val="0"/>
      <w:marTop w:val="0"/>
      <w:marBottom w:val="0"/>
      <w:divBdr>
        <w:top w:val="none" w:sz="0" w:space="0" w:color="auto"/>
        <w:left w:val="none" w:sz="0" w:space="0" w:color="auto"/>
        <w:bottom w:val="none" w:sz="0" w:space="0" w:color="auto"/>
        <w:right w:val="none" w:sz="0" w:space="0" w:color="auto"/>
      </w:divBdr>
    </w:div>
    <w:div w:id="1140002560">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215459821">
      <w:bodyDiv w:val="1"/>
      <w:marLeft w:val="0"/>
      <w:marRight w:val="0"/>
      <w:marTop w:val="0"/>
      <w:marBottom w:val="0"/>
      <w:divBdr>
        <w:top w:val="none" w:sz="0" w:space="0" w:color="auto"/>
        <w:left w:val="none" w:sz="0" w:space="0" w:color="auto"/>
        <w:bottom w:val="none" w:sz="0" w:space="0" w:color="auto"/>
        <w:right w:val="none" w:sz="0" w:space="0" w:color="auto"/>
      </w:divBdr>
    </w:div>
    <w:div w:id="1216161439">
      <w:bodyDiv w:val="1"/>
      <w:marLeft w:val="0"/>
      <w:marRight w:val="0"/>
      <w:marTop w:val="0"/>
      <w:marBottom w:val="0"/>
      <w:divBdr>
        <w:top w:val="none" w:sz="0" w:space="0" w:color="auto"/>
        <w:left w:val="none" w:sz="0" w:space="0" w:color="auto"/>
        <w:bottom w:val="none" w:sz="0" w:space="0" w:color="auto"/>
        <w:right w:val="none" w:sz="0" w:space="0" w:color="auto"/>
      </w:divBdr>
    </w:div>
    <w:div w:id="1252351037">
      <w:bodyDiv w:val="1"/>
      <w:marLeft w:val="0"/>
      <w:marRight w:val="0"/>
      <w:marTop w:val="0"/>
      <w:marBottom w:val="0"/>
      <w:divBdr>
        <w:top w:val="none" w:sz="0" w:space="0" w:color="auto"/>
        <w:left w:val="none" w:sz="0" w:space="0" w:color="auto"/>
        <w:bottom w:val="none" w:sz="0" w:space="0" w:color="auto"/>
        <w:right w:val="none" w:sz="0" w:space="0" w:color="auto"/>
      </w:divBdr>
    </w:div>
    <w:div w:id="1254433483">
      <w:bodyDiv w:val="1"/>
      <w:marLeft w:val="0"/>
      <w:marRight w:val="0"/>
      <w:marTop w:val="0"/>
      <w:marBottom w:val="0"/>
      <w:divBdr>
        <w:top w:val="none" w:sz="0" w:space="0" w:color="auto"/>
        <w:left w:val="none" w:sz="0" w:space="0" w:color="auto"/>
        <w:bottom w:val="none" w:sz="0" w:space="0" w:color="auto"/>
        <w:right w:val="none" w:sz="0" w:space="0" w:color="auto"/>
      </w:divBdr>
    </w:div>
    <w:div w:id="1255699684">
      <w:bodyDiv w:val="1"/>
      <w:marLeft w:val="0"/>
      <w:marRight w:val="0"/>
      <w:marTop w:val="0"/>
      <w:marBottom w:val="0"/>
      <w:divBdr>
        <w:top w:val="none" w:sz="0" w:space="0" w:color="auto"/>
        <w:left w:val="none" w:sz="0" w:space="0" w:color="auto"/>
        <w:bottom w:val="none" w:sz="0" w:space="0" w:color="auto"/>
        <w:right w:val="none" w:sz="0" w:space="0" w:color="auto"/>
      </w:divBdr>
    </w:div>
    <w:div w:id="1299408770">
      <w:bodyDiv w:val="1"/>
      <w:marLeft w:val="0"/>
      <w:marRight w:val="0"/>
      <w:marTop w:val="0"/>
      <w:marBottom w:val="0"/>
      <w:divBdr>
        <w:top w:val="none" w:sz="0" w:space="0" w:color="auto"/>
        <w:left w:val="none" w:sz="0" w:space="0" w:color="auto"/>
        <w:bottom w:val="none" w:sz="0" w:space="0" w:color="auto"/>
        <w:right w:val="none" w:sz="0" w:space="0" w:color="auto"/>
      </w:divBdr>
    </w:div>
    <w:div w:id="1311137564">
      <w:bodyDiv w:val="1"/>
      <w:marLeft w:val="0"/>
      <w:marRight w:val="0"/>
      <w:marTop w:val="0"/>
      <w:marBottom w:val="0"/>
      <w:divBdr>
        <w:top w:val="none" w:sz="0" w:space="0" w:color="auto"/>
        <w:left w:val="none" w:sz="0" w:space="0" w:color="auto"/>
        <w:bottom w:val="none" w:sz="0" w:space="0" w:color="auto"/>
        <w:right w:val="none" w:sz="0" w:space="0" w:color="auto"/>
      </w:divBdr>
    </w:div>
    <w:div w:id="1312716174">
      <w:bodyDiv w:val="1"/>
      <w:marLeft w:val="0"/>
      <w:marRight w:val="0"/>
      <w:marTop w:val="0"/>
      <w:marBottom w:val="0"/>
      <w:divBdr>
        <w:top w:val="none" w:sz="0" w:space="0" w:color="auto"/>
        <w:left w:val="none" w:sz="0" w:space="0" w:color="auto"/>
        <w:bottom w:val="none" w:sz="0" w:space="0" w:color="auto"/>
        <w:right w:val="none" w:sz="0" w:space="0" w:color="auto"/>
      </w:divBdr>
    </w:div>
    <w:div w:id="1361396425">
      <w:bodyDiv w:val="1"/>
      <w:marLeft w:val="0"/>
      <w:marRight w:val="0"/>
      <w:marTop w:val="0"/>
      <w:marBottom w:val="0"/>
      <w:divBdr>
        <w:top w:val="none" w:sz="0" w:space="0" w:color="auto"/>
        <w:left w:val="none" w:sz="0" w:space="0" w:color="auto"/>
        <w:bottom w:val="none" w:sz="0" w:space="0" w:color="auto"/>
        <w:right w:val="none" w:sz="0" w:space="0" w:color="auto"/>
      </w:divBdr>
    </w:div>
    <w:div w:id="1480342450">
      <w:bodyDiv w:val="1"/>
      <w:marLeft w:val="0"/>
      <w:marRight w:val="0"/>
      <w:marTop w:val="0"/>
      <w:marBottom w:val="0"/>
      <w:divBdr>
        <w:top w:val="none" w:sz="0" w:space="0" w:color="auto"/>
        <w:left w:val="none" w:sz="0" w:space="0" w:color="auto"/>
        <w:bottom w:val="none" w:sz="0" w:space="0" w:color="auto"/>
        <w:right w:val="none" w:sz="0" w:space="0" w:color="auto"/>
      </w:divBdr>
    </w:div>
    <w:div w:id="1557862854">
      <w:bodyDiv w:val="1"/>
      <w:marLeft w:val="0"/>
      <w:marRight w:val="0"/>
      <w:marTop w:val="0"/>
      <w:marBottom w:val="0"/>
      <w:divBdr>
        <w:top w:val="none" w:sz="0" w:space="0" w:color="auto"/>
        <w:left w:val="none" w:sz="0" w:space="0" w:color="auto"/>
        <w:bottom w:val="none" w:sz="0" w:space="0" w:color="auto"/>
        <w:right w:val="none" w:sz="0" w:space="0" w:color="auto"/>
      </w:divBdr>
    </w:div>
    <w:div w:id="1832601786">
      <w:bodyDiv w:val="1"/>
      <w:marLeft w:val="0"/>
      <w:marRight w:val="0"/>
      <w:marTop w:val="0"/>
      <w:marBottom w:val="0"/>
      <w:divBdr>
        <w:top w:val="none" w:sz="0" w:space="0" w:color="auto"/>
        <w:left w:val="none" w:sz="0" w:space="0" w:color="auto"/>
        <w:bottom w:val="none" w:sz="0" w:space="0" w:color="auto"/>
        <w:right w:val="none" w:sz="0" w:space="0" w:color="auto"/>
      </w:divBdr>
    </w:div>
    <w:div w:id="1881356422">
      <w:bodyDiv w:val="1"/>
      <w:marLeft w:val="0"/>
      <w:marRight w:val="0"/>
      <w:marTop w:val="0"/>
      <w:marBottom w:val="0"/>
      <w:divBdr>
        <w:top w:val="none" w:sz="0" w:space="0" w:color="auto"/>
        <w:left w:val="none" w:sz="0" w:space="0" w:color="auto"/>
        <w:bottom w:val="none" w:sz="0" w:space="0" w:color="auto"/>
        <w:right w:val="none" w:sz="0" w:space="0" w:color="auto"/>
      </w:divBdr>
    </w:div>
    <w:div w:id="1901331115">
      <w:bodyDiv w:val="1"/>
      <w:marLeft w:val="0"/>
      <w:marRight w:val="0"/>
      <w:marTop w:val="0"/>
      <w:marBottom w:val="0"/>
      <w:divBdr>
        <w:top w:val="none" w:sz="0" w:space="0" w:color="auto"/>
        <w:left w:val="none" w:sz="0" w:space="0" w:color="auto"/>
        <w:bottom w:val="none" w:sz="0" w:space="0" w:color="auto"/>
        <w:right w:val="none" w:sz="0" w:space="0" w:color="auto"/>
      </w:divBdr>
    </w:div>
    <w:div w:id="2069574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79E35-2D47-4CCE-BA7A-1CEEC75CC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593</Words>
  <Characters>3386</Characters>
  <Application>Microsoft Office Word</Application>
  <DocSecurity>0</DocSecurity>
  <Lines>28</Lines>
  <Paragraphs>7</Paragraphs>
  <ScaleCrop>false</ScaleCrop>
  <Company/>
  <LinksUpToDate>false</LinksUpToDate>
  <CharactersWithSpaces>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9</cp:revision>
  <cp:lastPrinted>2021-06-03T04:20:00Z</cp:lastPrinted>
  <dcterms:created xsi:type="dcterms:W3CDTF">2023-09-26T04:29:00Z</dcterms:created>
  <dcterms:modified xsi:type="dcterms:W3CDTF">2023-11-27T01:34:00Z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