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6" w:name="_GoBack"/>
      <w:bookmarkEnd w:id="6"/>
      <w:r>
        <w:rPr>
          <w:rFonts w:hint="eastAsia" w:eastAsia="黑体"/>
          <w:bCs/>
          <w:sz w:val="36"/>
          <w:szCs w:val="36"/>
        </w:rPr>
        <w:t>华夏理财固定收益债权型封闭式理财产品1</w:t>
      </w:r>
      <w:r>
        <w:rPr>
          <w:rFonts w:hint="eastAsia" w:eastAsia="黑体"/>
          <w:bCs/>
          <w:sz w:val="36"/>
          <w:szCs w:val="36"/>
          <w:lang w:val="en-US" w:eastAsia="zh-CN"/>
        </w:rPr>
        <w:t>79</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w:t>
            </w:r>
            <w:r>
              <w:rPr>
                <w:rFonts w:hint="eastAsia" w:ascii="仿宋" w:hAnsi="仿宋" w:eastAsia="仿宋"/>
                <w:b/>
                <w:bCs/>
                <w:szCs w:val="21"/>
                <w:lang w:val="en-US" w:eastAsia="zh-CN"/>
              </w:rPr>
              <w:t>79</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A份额简称：“华夏理财固收债权封闭式1</w:t>
            </w:r>
            <w:r>
              <w:rPr>
                <w:rFonts w:hint="eastAsia" w:ascii="仿宋" w:hAnsi="仿宋" w:eastAsia="仿宋"/>
                <w:b/>
                <w:bCs/>
                <w:szCs w:val="21"/>
                <w:lang w:val="en-US" w:eastAsia="zh-CN"/>
              </w:rPr>
              <w:t>79</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V</w:t>
            </w:r>
            <w:r>
              <w:rPr>
                <w:rFonts w:hint="eastAsia" w:ascii="仿宋" w:hAnsi="仿宋" w:eastAsia="仿宋"/>
                <w:b/>
                <w:bCs/>
                <w:szCs w:val="21"/>
              </w:rPr>
              <w:t>份额简称：“华夏理财固收债权封闭式1</w:t>
            </w:r>
            <w:r>
              <w:rPr>
                <w:rFonts w:hint="eastAsia" w:ascii="仿宋" w:hAnsi="仿宋" w:eastAsia="仿宋"/>
                <w:b/>
                <w:bCs/>
                <w:szCs w:val="21"/>
                <w:lang w:val="en-US" w:eastAsia="zh-CN"/>
              </w:rPr>
              <w:t>79</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V</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Z</w:t>
            </w:r>
            <w:r>
              <w:rPr>
                <w:rFonts w:hint="eastAsia" w:ascii="仿宋" w:hAnsi="仿宋" w:eastAsia="仿宋"/>
                <w:b/>
                <w:bCs/>
                <w:szCs w:val="21"/>
              </w:rPr>
              <w:t>份额简称：“华夏理财固收债权封闭式1</w:t>
            </w:r>
            <w:r>
              <w:rPr>
                <w:rFonts w:hint="eastAsia" w:ascii="仿宋" w:hAnsi="仿宋" w:eastAsia="仿宋"/>
                <w:b/>
                <w:bCs/>
                <w:szCs w:val="21"/>
                <w:lang w:val="en-US" w:eastAsia="zh-CN"/>
              </w:rPr>
              <w:t>79</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231211</w:t>
            </w:r>
            <w:r>
              <w:rPr>
                <w:rFonts w:hint="eastAsia" w:ascii="仿宋" w:hAnsi="仿宋" w:eastAsia="仿宋"/>
                <w:bCs/>
                <w:szCs w:val="21"/>
                <w:lang w:val="en-US" w:eastAsia="zh-CN"/>
              </w:rPr>
              <w:t>79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ascii="仿宋" w:hAnsi="仿宋" w:eastAsia="仿宋"/>
                <w:bCs/>
                <w:szCs w:val="21"/>
              </w:rPr>
              <w:t>231211</w:t>
            </w:r>
            <w:r>
              <w:rPr>
                <w:rFonts w:hint="eastAsia" w:ascii="仿宋" w:hAnsi="仿宋" w:eastAsia="仿宋"/>
                <w:bCs/>
                <w:szCs w:val="21"/>
                <w:lang w:val="en-US" w:eastAsia="zh-CN"/>
              </w:rPr>
              <w:t>79</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V</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79V</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79Z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w:t>
            </w:r>
            <w:r>
              <w:rPr>
                <w:rFonts w:hint="eastAsia" w:ascii="仿宋" w:hAnsi="仿宋" w:eastAsia="仿宋"/>
                <w:bCs/>
                <w:szCs w:val="21"/>
                <w:lang w:val="en-US" w:eastAsia="zh-CN"/>
              </w:rPr>
              <w:t>354</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3.80%-4.10%</w:t>
            </w:r>
            <w:r>
              <w:rPr>
                <w:rFonts w:hint="eastAsia" w:ascii="仿宋" w:hAnsi="仿宋" w:eastAsia="仿宋" w:cs="Cambria"/>
                <w:bCs/>
                <w:szCs w:val="21"/>
              </w:rPr>
              <w:t>（年化）;</w:t>
            </w:r>
            <w:r>
              <w:rPr>
                <w:rFonts w:hint="eastAsia" w:ascii="仿宋" w:hAnsi="仿宋" w:eastAsia="仿宋" w:cs="Cambria"/>
                <w:bCs/>
                <w:szCs w:val="21"/>
                <w:lang w:val="en-US" w:eastAsia="zh-CN"/>
              </w:rPr>
              <w:t>V</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3.75</w:t>
            </w:r>
            <w:r>
              <w:rPr>
                <w:rFonts w:hint="eastAsia" w:ascii="仿宋" w:hAnsi="仿宋" w:eastAsia="仿宋" w:cs="Cambria"/>
                <w:bCs/>
                <w:szCs w:val="21"/>
              </w:rPr>
              <w:t>%</w:t>
            </w:r>
            <w:r>
              <w:rPr>
                <w:rFonts w:hint="eastAsia" w:ascii="仿宋" w:hAnsi="仿宋" w:eastAsia="仿宋" w:cs="Cambria"/>
                <w:bCs/>
                <w:szCs w:val="21"/>
                <w:lang w:val="en-US" w:eastAsia="zh-CN"/>
              </w:rPr>
              <w:t>-4.05%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Z</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3.65</w:t>
            </w:r>
            <w:r>
              <w:rPr>
                <w:rFonts w:hint="eastAsia" w:ascii="仿宋" w:hAnsi="仿宋" w:eastAsia="仿宋" w:cs="Cambria"/>
                <w:bCs/>
                <w:szCs w:val="21"/>
              </w:rPr>
              <w:t>%</w:t>
            </w:r>
            <w:r>
              <w:rPr>
                <w:rFonts w:hint="eastAsia" w:ascii="仿宋" w:hAnsi="仿宋" w:eastAsia="仿宋" w:cs="Cambria"/>
                <w:bCs/>
                <w:szCs w:val="21"/>
                <w:lang w:val="en-US" w:eastAsia="zh-CN"/>
              </w:rPr>
              <w:t>-3.95%</w:t>
            </w:r>
            <w:r>
              <w:rPr>
                <w:rFonts w:hint="eastAsia" w:ascii="仿宋" w:hAnsi="仿宋" w:eastAsia="仿宋" w:cs="Cambria"/>
                <w:bCs/>
                <w:szCs w:val="21"/>
              </w:rPr>
              <w:t>（年化）。</w:t>
            </w:r>
            <w:r>
              <w:rPr>
                <w:rFonts w:hint="eastAsia" w:ascii="仿宋" w:hAnsi="仿宋" w:eastAsia="仿宋" w:cs="Cambria"/>
                <w:bCs/>
                <w:i w:val="0"/>
                <w:iCs w:val="0"/>
                <w:szCs w:val="21"/>
                <w:highlight w:val="none"/>
              </w:rPr>
              <w:t>以产品投资债券类资产仓位</w:t>
            </w:r>
            <w:r>
              <w:rPr>
                <w:rFonts w:hint="eastAsia" w:ascii="仿宋" w:hAnsi="仿宋" w:eastAsia="仿宋" w:cs="Cambria"/>
                <w:bCs/>
                <w:i w:val="0"/>
                <w:iCs w:val="0"/>
                <w:szCs w:val="21"/>
                <w:highlight w:val="none"/>
                <w:lang w:val="en-US" w:eastAsia="zh-CN"/>
              </w:rPr>
              <w:t>55</w:t>
            </w:r>
            <w:r>
              <w:rPr>
                <w:rFonts w:hint="eastAsia" w:ascii="仿宋" w:hAnsi="仿宋" w:eastAsia="仿宋" w:cs="Cambria"/>
                <w:bCs/>
                <w:i w:val="0"/>
                <w:iCs w:val="0"/>
                <w:szCs w:val="21"/>
                <w:highlight w:val="none"/>
              </w:rPr>
              <w:t>%-100%，非标债权类资产仓位0-4</w:t>
            </w:r>
            <w:r>
              <w:rPr>
                <w:rFonts w:hint="eastAsia" w:ascii="仿宋" w:hAnsi="仿宋" w:eastAsia="仿宋" w:cs="Cambria"/>
                <w:bCs/>
                <w:i w:val="0"/>
                <w:iCs w:val="0"/>
                <w:szCs w:val="21"/>
                <w:highlight w:val="none"/>
                <w:lang w:val="en-US" w:eastAsia="zh-CN"/>
              </w:rPr>
              <w:t>5</w:t>
            </w:r>
            <w:r>
              <w:rPr>
                <w:rFonts w:hint="eastAsia" w:ascii="仿宋" w:hAnsi="仿宋" w:eastAsia="仿宋" w:cs="Cambria"/>
                <w:bCs/>
                <w:i w:val="0"/>
                <w:iCs w:val="0"/>
                <w:szCs w:val="21"/>
                <w:highlight w:val="none"/>
              </w:rPr>
              <w:t>%，组合杠杆率100%-1</w:t>
            </w:r>
            <w:r>
              <w:rPr>
                <w:rFonts w:hint="eastAsia" w:ascii="仿宋" w:hAnsi="仿宋" w:eastAsia="仿宋" w:cs="Cambria"/>
                <w:bCs/>
                <w:i w:val="0"/>
                <w:iCs w:val="0"/>
                <w:szCs w:val="21"/>
                <w:highlight w:val="none"/>
                <w:lang w:eastAsia="zh-CN"/>
              </w:rPr>
              <w:t>4</w:t>
            </w:r>
            <w:r>
              <w:rPr>
                <w:rFonts w:hint="eastAsia" w:ascii="仿宋" w:hAnsi="仿宋" w:eastAsia="仿宋" w:cs="Cambria"/>
                <w:bCs/>
                <w:i w:val="0"/>
                <w:iCs w:val="0"/>
                <w:szCs w:val="21"/>
                <w:highlight w:val="none"/>
              </w:rPr>
              <w:t>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31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11</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2024年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V</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Z</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rPr>
              <w:t>A份额：</w:t>
            </w:r>
            <w:r>
              <w:rPr>
                <w:rFonts w:ascii="仿宋" w:hAnsi="仿宋" w:eastAsia="仿宋"/>
                <w:b/>
                <w:bCs w:val="0"/>
                <w:szCs w:val="21"/>
              </w:rPr>
              <w:t>0.</w:t>
            </w:r>
            <w:r>
              <w:rPr>
                <w:rFonts w:hint="eastAsia" w:ascii="仿宋" w:hAnsi="仿宋" w:eastAsia="仿宋"/>
                <w:b/>
                <w:bCs w:val="0"/>
                <w:szCs w:val="21"/>
                <w:lang w:val="en-US" w:eastAsia="zh-CN"/>
              </w:rPr>
              <w:t>05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lang w:val="en-US" w:eastAsia="zh-CN"/>
              </w:rPr>
              <w:t>V</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lang w:val="en-US" w:eastAsia="zh-CN"/>
              </w:rPr>
              <w:t>Z</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05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05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hint="eastAsia" w:ascii="仿宋" w:hAnsi="仿宋" w:eastAsia="仿宋"/>
                <w:b/>
                <w:szCs w:val="21"/>
                <w:lang w:val="en-US" w:eastAsia="zh-CN"/>
              </w:rPr>
              <w:t>4.10</w:t>
            </w:r>
            <w:r>
              <w:rPr>
                <w:rFonts w:ascii="仿宋" w:hAnsi="仿宋" w:eastAsia="仿宋"/>
                <w:b/>
                <w:szCs w:val="21"/>
              </w:rPr>
              <w:t>%</w:t>
            </w:r>
            <w:r>
              <w:rPr>
                <w:rFonts w:hint="eastAsia" w:ascii="仿宋" w:hAnsi="仿宋" w:eastAsia="仿宋" w:cs="Cambria"/>
                <w:b/>
                <w:szCs w:val="21"/>
              </w:rPr>
              <w:t>（年化）；</w:t>
            </w:r>
            <w:r>
              <w:rPr>
                <w:rFonts w:hint="eastAsia" w:ascii="仿宋" w:hAnsi="仿宋" w:eastAsia="仿宋" w:cs="Cambria"/>
                <w:b/>
                <w:szCs w:val="21"/>
                <w:lang w:val="en-US" w:eastAsia="zh-CN"/>
              </w:rPr>
              <w:t>V</w:t>
            </w:r>
            <w:r>
              <w:rPr>
                <w:rFonts w:hint="eastAsia" w:ascii="仿宋" w:hAnsi="仿宋" w:eastAsia="仿宋" w:cs="Cambria"/>
                <w:b/>
                <w:szCs w:val="21"/>
              </w:rPr>
              <w:t>份额超额管理费计提基准为</w:t>
            </w:r>
            <w:r>
              <w:rPr>
                <w:rFonts w:hint="eastAsia" w:ascii="仿宋" w:hAnsi="仿宋" w:eastAsia="仿宋" w:cs="Cambria"/>
                <w:b/>
                <w:szCs w:val="21"/>
                <w:lang w:val="en-US" w:eastAsia="zh-CN"/>
              </w:rPr>
              <w:t>4</w:t>
            </w:r>
            <w:r>
              <w:rPr>
                <w:rFonts w:hint="eastAsia" w:ascii="仿宋" w:hAnsi="仿宋" w:eastAsia="仿宋" w:cs="Cambria"/>
                <w:b/>
                <w:szCs w:val="21"/>
              </w:rPr>
              <w:t>.</w:t>
            </w:r>
            <w:r>
              <w:rPr>
                <w:rFonts w:hint="eastAsia" w:ascii="仿宋" w:hAnsi="仿宋" w:eastAsia="仿宋" w:cs="Cambria"/>
                <w:b/>
                <w:szCs w:val="21"/>
                <w:lang w:val="en-US" w:eastAsia="zh-CN"/>
              </w:rPr>
              <w:t>05</w:t>
            </w:r>
            <w:r>
              <w:rPr>
                <w:rFonts w:hint="eastAsia" w:ascii="仿宋" w:hAnsi="仿宋" w:eastAsia="仿宋" w:cs="Cambria"/>
                <w:b/>
                <w:szCs w:val="21"/>
              </w:rPr>
              <w:t>%（年化）；</w:t>
            </w:r>
            <w:r>
              <w:rPr>
                <w:rFonts w:hint="eastAsia" w:ascii="仿宋" w:hAnsi="仿宋" w:eastAsia="仿宋" w:cs="Cambria"/>
                <w:b/>
                <w:szCs w:val="21"/>
                <w:lang w:val="en-US" w:eastAsia="zh-CN"/>
              </w:rPr>
              <w:t>Z</w:t>
            </w:r>
            <w:r>
              <w:rPr>
                <w:rFonts w:hint="eastAsia" w:ascii="仿宋" w:hAnsi="仿宋" w:eastAsia="仿宋" w:cs="Cambria"/>
                <w:b/>
                <w:szCs w:val="21"/>
              </w:rPr>
              <w:t>份额超额管理费计提基准为</w:t>
            </w:r>
            <w:r>
              <w:rPr>
                <w:rFonts w:hint="eastAsia" w:ascii="仿宋" w:hAnsi="仿宋" w:eastAsia="仿宋" w:cs="Cambria"/>
                <w:b/>
                <w:szCs w:val="21"/>
                <w:lang w:val="en-US" w:eastAsia="zh-CN"/>
              </w:rPr>
              <w:t>3</w:t>
            </w:r>
            <w:r>
              <w:rPr>
                <w:rFonts w:hint="eastAsia" w:ascii="仿宋" w:hAnsi="仿宋" w:eastAsia="仿宋" w:cs="Cambria"/>
                <w:b/>
                <w:szCs w:val="21"/>
              </w:rPr>
              <w:t>.</w:t>
            </w:r>
            <w:r>
              <w:rPr>
                <w:rFonts w:hint="eastAsia" w:ascii="仿宋" w:hAnsi="仿宋" w:eastAsia="仿宋" w:cs="Cambria"/>
                <w:b/>
                <w:szCs w:val="21"/>
                <w:lang w:val="en-US" w:eastAsia="zh-CN"/>
              </w:rPr>
              <w:t>95</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kern w:val="0"/>
          <w:sz w:val="24"/>
          <w:szCs w:val="24"/>
          <w:lang w:val="en-US" w:eastAsia="zh-CN" w:bidi="ar-SA"/>
        </w:rPr>
        <w:t xml:space="preserve">    6</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abstractNum w:abstractNumId="1690771721">
    <w:nsid w:val="64C72109"/>
    <w:multiLevelType w:val="singleLevel"/>
    <w:tmpl w:val="64C72109"/>
    <w:lvl w:ilvl="0" w:tentative="1">
      <w:start w:val="15"/>
      <w:numFmt w:val="chineseCounting"/>
      <w:suff w:val="nothing"/>
      <w:lvlText w:val="（%1）"/>
      <w:lvlJc w:val="left"/>
    </w:lvl>
  </w:abstractNum>
  <w:num w:numId="1">
    <w:abstractNumId w:val="1672112637"/>
  </w:num>
  <w:num w:numId="2">
    <w:abstractNumId w:val="16907717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3F262A7"/>
    <w:rsid w:val="04196F12"/>
    <w:rsid w:val="04435A9E"/>
    <w:rsid w:val="04950991"/>
    <w:rsid w:val="054B7EFA"/>
    <w:rsid w:val="054E6434"/>
    <w:rsid w:val="05831998"/>
    <w:rsid w:val="060A409E"/>
    <w:rsid w:val="0610015A"/>
    <w:rsid w:val="06331B3C"/>
    <w:rsid w:val="06605FED"/>
    <w:rsid w:val="066C6455"/>
    <w:rsid w:val="06930C07"/>
    <w:rsid w:val="06CE1059"/>
    <w:rsid w:val="072859C3"/>
    <w:rsid w:val="07692EB6"/>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A7B7656"/>
    <w:rsid w:val="0A983E05"/>
    <w:rsid w:val="0AB822A5"/>
    <w:rsid w:val="0B3A7B24"/>
    <w:rsid w:val="0D3600BA"/>
    <w:rsid w:val="0D6C5F44"/>
    <w:rsid w:val="0DD32259"/>
    <w:rsid w:val="0E73282A"/>
    <w:rsid w:val="0EF43DB9"/>
    <w:rsid w:val="0F850895"/>
    <w:rsid w:val="0FAD1DC8"/>
    <w:rsid w:val="102F133E"/>
    <w:rsid w:val="10510955"/>
    <w:rsid w:val="10987645"/>
    <w:rsid w:val="10B272CB"/>
    <w:rsid w:val="10ED247D"/>
    <w:rsid w:val="110764BF"/>
    <w:rsid w:val="113A6DA1"/>
    <w:rsid w:val="113D243D"/>
    <w:rsid w:val="114758B1"/>
    <w:rsid w:val="11921C3C"/>
    <w:rsid w:val="119A5652"/>
    <w:rsid w:val="11BA7B51"/>
    <w:rsid w:val="120F1E2C"/>
    <w:rsid w:val="12540566"/>
    <w:rsid w:val="12946645"/>
    <w:rsid w:val="12D3200B"/>
    <w:rsid w:val="13495D69"/>
    <w:rsid w:val="13AB6DD5"/>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90F268E"/>
    <w:rsid w:val="19287585"/>
    <w:rsid w:val="19610BFF"/>
    <w:rsid w:val="19953307"/>
    <w:rsid w:val="19A07D04"/>
    <w:rsid w:val="1AAF4AC2"/>
    <w:rsid w:val="1AB13D5A"/>
    <w:rsid w:val="1B2C6F2C"/>
    <w:rsid w:val="1B365748"/>
    <w:rsid w:val="1B5D5F33"/>
    <w:rsid w:val="1B9B57CD"/>
    <w:rsid w:val="1BA24967"/>
    <w:rsid w:val="1BAF6A57"/>
    <w:rsid w:val="1BCE5D96"/>
    <w:rsid w:val="1BDE2098"/>
    <w:rsid w:val="1BE069CA"/>
    <w:rsid w:val="1C465E86"/>
    <w:rsid w:val="1C470F75"/>
    <w:rsid w:val="1C726314"/>
    <w:rsid w:val="1C8B0511"/>
    <w:rsid w:val="1CDB3C40"/>
    <w:rsid w:val="1CE252F3"/>
    <w:rsid w:val="1D0662A6"/>
    <w:rsid w:val="1D104FDC"/>
    <w:rsid w:val="1D117096"/>
    <w:rsid w:val="1D1B764B"/>
    <w:rsid w:val="1DE516B8"/>
    <w:rsid w:val="1E047274"/>
    <w:rsid w:val="1E2F7887"/>
    <w:rsid w:val="1E433C85"/>
    <w:rsid w:val="1EAB2B1F"/>
    <w:rsid w:val="1ED877DF"/>
    <w:rsid w:val="1F0B3DFE"/>
    <w:rsid w:val="1F5522A7"/>
    <w:rsid w:val="1FD45CE1"/>
    <w:rsid w:val="1FF41399"/>
    <w:rsid w:val="20F111F7"/>
    <w:rsid w:val="21433609"/>
    <w:rsid w:val="214D162F"/>
    <w:rsid w:val="21DE0D16"/>
    <w:rsid w:val="22171129"/>
    <w:rsid w:val="222D0D62"/>
    <w:rsid w:val="22551E62"/>
    <w:rsid w:val="227D729C"/>
    <w:rsid w:val="2350568B"/>
    <w:rsid w:val="237F35E5"/>
    <w:rsid w:val="23A50D24"/>
    <w:rsid w:val="23E44373"/>
    <w:rsid w:val="23F947F3"/>
    <w:rsid w:val="242806AA"/>
    <w:rsid w:val="24392A65"/>
    <w:rsid w:val="2467066D"/>
    <w:rsid w:val="24E91956"/>
    <w:rsid w:val="252E26F1"/>
    <w:rsid w:val="25C3267A"/>
    <w:rsid w:val="25D568B4"/>
    <w:rsid w:val="25F33B9E"/>
    <w:rsid w:val="260C731E"/>
    <w:rsid w:val="260E5AEA"/>
    <w:rsid w:val="26103F21"/>
    <w:rsid w:val="27914154"/>
    <w:rsid w:val="27C604DA"/>
    <w:rsid w:val="27DC6AC2"/>
    <w:rsid w:val="27EA63D1"/>
    <w:rsid w:val="287A5D0E"/>
    <w:rsid w:val="28B05EE9"/>
    <w:rsid w:val="28D30187"/>
    <w:rsid w:val="28D53151"/>
    <w:rsid w:val="28E571A8"/>
    <w:rsid w:val="29216629"/>
    <w:rsid w:val="294C4E21"/>
    <w:rsid w:val="296D4B02"/>
    <w:rsid w:val="29D46607"/>
    <w:rsid w:val="2A103412"/>
    <w:rsid w:val="2A1E1418"/>
    <w:rsid w:val="2A770C99"/>
    <w:rsid w:val="2AF67748"/>
    <w:rsid w:val="2BBB2833"/>
    <w:rsid w:val="2BC42334"/>
    <w:rsid w:val="2C1011CD"/>
    <w:rsid w:val="2C374208"/>
    <w:rsid w:val="2C40390A"/>
    <w:rsid w:val="2C4C703B"/>
    <w:rsid w:val="2CE37AF2"/>
    <w:rsid w:val="2D241337"/>
    <w:rsid w:val="2D753D30"/>
    <w:rsid w:val="2DB6436A"/>
    <w:rsid w:val="2DC02129"/>
    <w:rsid w:val="2DD51336"/>
    <w:rsid w:val="2E010168"/>
    <w:rsid w:val="2E016F46"/>
    <w:rsid w:val="2E6A7D66"/>
    <w:rsid w:val="2EA605F1"/>
    <w:rsid w:val="2EA972CC"/>
    <w:rsid w:val="2EC31B75"/>
    <w:rsid w:val="2FE72027"/>
    <w:rsid w:val="306A1371"/>
    <w:rsid w:val="30BD6A03"/>
    <w:rsid w:val="3127549C"/>
    <w:rsid w:val="31533557"/>
    <w:rsid w:val="31B41A9A"/>
    <w:rsid w:val="31C74937"/>
    <w:rsid w:val="31F02E84"/>
    <w:rsid w:val="32062205"/>
    <w:rsid w:val="322068C9"/>
    <w:rsid w:val="326170B4"/>
    <w:rsid w:val="328F3B54"/>
    <w:rsid w:val="329A11A0"/>
    <w:rsid w:val="32FF7EB7"/>
    <w:rsid w:val="33424079"/>
    <w:rsid w:val="33A6484B"/>
    <w:rsid w:val="34126396"/>
    <w:rsid w:val="345352E6"/>
    <w:rsid w:val="345E593B"/>
    <w:rsid w:val="34605A84"/>
    <w:rsid w:val="346C230B"/>
    <w:rsid w:val="35034F52"/>
    <w:rsid w:val="352C602C"/>
    <w:rsid w:val="35353A80"/>
    <w:rsid w:val="35B16527"/>
    <w:rsid w:val="36B76A85"/>
    <w:rsid w:val="36B82ADE"/>
    <w:rsid w:val="36D84DBF"/>
    <w:rsid w:val="376879F0"/>
    <w:rsid w:val="378F057D"/>
    <w:rsid w:val="37EC4B4C"/>
    <w:rsid w:val="3858774F"/>
    <w:rsid w:val="387B665C"/>
    <w:rsid w:val="39690814"/>
    <w:rsid w:val="39AE279C"/>
    <w:rsid w:val="39B76C90"/>
    <w:rsid w:val="39C37A55"/>
    <w:rsid w:val="39C53B44"/>
    <w:rsid w:val="39EF39C3"/>
    <w:rsid w:val="3A021304"/>
    <w:rsid w:val="3A23092B"/>
    <w:rsid w:val="3A35598B"/>
    <w:rsid w:val="3A595F4B"/>
    <w:rsid w:val="3A813FE5"/>
    <w:rsid w:val="3A9D0C11"/>
    <w:rsid w:val="3B4C73CF"/>
    <w:rsid w:val="3BC55932"/>
    <w:rsid w:val="3C2D51C9"/>
    <w:rsid w:val="3C7826C2"/>
    <w:rsid w:val="3C8F2051"/>
    <w:rsid w:val="3CD87A38"/>
    <w:rsid w:val="3D83215E"/>
    <w:rsid w:val="3DF76443"/>
    <w:rsid w:val="3DFF3A1A"/>
    <w:rsid w:val="3E5B1D19"/>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771BBE"/>
    <w:rsid w:val="42C36006"/>
    <w:rsid w:val="42CD30A6"/>
    <w:rsid w:val="42F60353"/>
    <w:rsid w:val="438556A7"/>
    <w:rsid w:val="43A6228A"/>
    <w:rsid w:val="446369C0"/>
    <w:rsid w:val="449B7167"/>
    <w:rsid w:val="44CC2C77"/>
    <w:rsid w:val="4524487F"/>
    <w:rsid w:val="45CC078F"/>
    <w:rsid w:val="466B6F06"/>
    <w:rsid w:val="46860155"/>
    <w:rsid w:val="473C7E58"/>
    <w:rsid w:val="476049FD"/>
    <w:rsid w:val="47802A85"/>
    <w:rsid w:val="487C60FD"/>
    <w:rsid w:val="489E098C"/>
    <w:rsid w:val="48B61CC6"/>
    <w:rsid w:val="48E45B65"/>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4D03ED"/>
    <w:rsid w:val="4EDD4EDE"/>
    <w:rsid w:val="4EE45C33"/>
    <w:rsid w:val="4EED4C04"/>
    <w:rsid w:val="4F323CFA"/>
    <w:rsid w:val="4FC908A2"/>
    <w:rsid w:val="50081263"/>
    <w:rsid w:val="500C5A60"/>
    <w:rsid w:val="50461117"/>
    <w:rsid w:val="509A5F14"/>
    <w:rsid w:val="51844BB9"/>
    <w:rsid w:val="51954E8A"/>
    <w:rsid w:val="519B5496"/>
    <w:rsid w:val="52667895"/>
    <w:rsid w:val="52B20439"/>
    <w:rsid w:val="52B95D52"/>
    <w:rsid w:val="53080EFD"/>
    <w:rsid w:val="5341023D"/>
    <w:rsid w:val="53735224"/>
    <w:rsid w:val="537D24F6"/>
    <w:rsid w:val="53A260CE"/>
    <w:rsid w:val="542B039A"/>
    <w:rsid w:val="542C519E"/>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7162CE"/>
    <w:rsid w:val="598336AE"/>
    <w:rsid w:val="599B3F0F"/>
    <w:rsid w:val="59A2047A"/>
    <w:rsid w:val="5A41650D"/>
    <w:rsid w:val="5A7852B1"/>
    <w:rsid w:val="5A9A631A"/>
    <w:rsid w:val="5AA97C90"/>
    <w:rsid w:val="5AE4319D"/>
    <w:rsid w:val="5B2B6EDA"/>
    <w:rsid w:val="5C7E5C8C"/>
    <w:rsid w:val="5CE90207"/>
    <w:rsid w:val="5CEA4265"/>
    <w:rsid w:val="5D2B5865"/>
    <w:rsid w:val="5DAA0B36"/>
    <w:rsid w:val="5E3B759B"/>
    <w:rsid w:val="5E501568"/>
    <w:rsid w:val="5E50611E"/>
    <w:rsid w:val="5EB138AE"/>
    <w:rsid w:val="5EB53035"/>
    <w:rsid w:val="5ED23CC7"/>
    <w:rsid w:val="5EE6353D"/>
    <w:rsid w:val="5F0310B7"/>
    <w:rsid w:val="5F0C287E"/>
    <w:rsid w:val="5F125F0A"/>
    <w:rsid w:val="5F1655AE"/>
    <w:rsid w:val="5F5952B0"/>
    <w:rsid w:val="5FE12DAA"/>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7664A0"/>
    <w:rsid w:val="64E9282A"/>
    <w:rsid w:val="65C63D9B"/>
    <w:rsid w:val="66103AAA"/>
    <w:rsid w:val="667640C4"/>
    <w:rsid w:val="66DC24A5"/>
    <w:rsid w:val="66DF3B52"/>
    <w:rsid w:val="672963E0"/>
    <w:rsid w:val="67363836"/>
    <w:rsid w:val="675A4556"/>
    <w:rsid w:val="675C47D1"/>
    <w:rsid w:val="675E5725"/>
    <w:rsid w:val="679271B5"/>
    <w:rsid w:val="67A01A11"/>
    <w:rsid w:val="67AE1BA6"/>
    <w:rsid w:val="68191A65"/>
    <w:rsid w:val="68F60924"/>
    <w:rsid w:val="69572330"/>
    <w:rsid w:val="698C4C9E"/>
    <w:rsid w:val="69E719A0"/>
    <w:rsid w:val="6A5B0FA5"/>
    <w:rsid w:val="6A983C35"/>
    <w:rsid w:val="6AAC3F8C"/>
    <w:rsid w:val="6B4C2F45"/>
    <w:rsid w:val="6B966680"/>
    <w:rsid w:val="6C026743"/>
    <w:rsid w:val="6C161AD0"/>
    <w:rsid w:val="6D157AE9"/>
    <w:rsid w:val="6D2C2EC2"/>
    <w:rsid w:val="6D2E7D50"/>
    <w:rsid w:val="6D9938C6"/>
    <w:rsid w:val="6DD90E21"/>
    <w:rsid w:val="6DE0162F"/>
    <w:rsid w:val="6DFA3383"/>
    <w:rsid w:val="6E062488"/>
    <w:rsid w:val="6E1A49C5"/>
    <w:rsid w:val="6E254EA7"/>
    <w:rsid w:val="6E4B2AEB"/>
    <w:rsid w:val="6EBA3C47"/>
    <w:rsid w:val="6EBB30B7"/>
    <w:rsid w:val="6F191C5C"/>
    <w:rsid w:val="6F44586C"/>
    <w:rsid w:val="6F786BDA"/>
    <w:rsid w:val="70113542"/>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726249"/>
    <w:rsid w:val="74A805D6"/>
    <w:rsid w:val="74A870B6"/>
    <w:rsid w:val="74EC6D1E"/>
    <w:rsid w:val="74FA0674"/>
    <w:rsid w:val="75385547"/>
    <w:rsid w:val="754F1383"/>
    <w:rsid w:val="75DC198B"/>
    <w:rsid w:val="75E25A77"/>
    <w:rsid w:val="762A07F6"/>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1012D5"/>
    <w:rsid w:val="7B2F3DDD"/>
    <w:rsid w:val="7B4B41CD"/>
    <w:rsid w:val="7B5A24C6"/>
    <w:rsid w:val="7B6F7E14"/>
    <w:rsid w:val="7C651F72"/>
    <w:rsid w:val="7C6F2735"/>
    <w:rsid w:val="7CDB4C9F"/>
    <w:rsid w:val="7D016D57"/>
    <w:rsid w:val="7D2B624D"/>
    <w:rsid w:val="7DC33AA0"/>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Autospacing="1"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16549</Words>
  <Characters>16993</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RORO</cp:lastModifiedBy>
  <cp:lastPrinted>2021-07-21T07:06:00Z</cp:lastPrinted>
  <dcterms:modified xsi:type="dcterms:W3CDTF">2023-10-19T05:11:54Z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