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Pr="00977E89" w:rsidRDefault="00977E89" w:rsidP="008D450C">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南银理财珠联璧合鑫逸稳半年18期封闭式公募人民币理财产品</w:t>
      </w:r>
    </w:p>
    <w:p w:rsidR="00FF26C8" w:rsidRPr="00977E89" w:rsidRDefault="00977E89" w:rsidP="008D450C">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4660E6">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977E89"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8D450C" w:rsidRDefault="008D450C">
      <w:pPr>
        <w:widowControl/>
        <w:jc w:val="left"/>
        <w:rPr>
          <w:rFonts w:ascii="方正黑体简体" w:eastAsia="方正黑体简体"/>
          <w:sz w:val="36"/>
        </w:rPr>
      </w:pPr>
      <w:r>
        <w:rPr>
          <w:rFonts w:ascii="方正黑体简体" w:eastAsia="方正黑体简体"/>
          <w:sz w:val="36"/>
        </w:rPr>
        <w:br w:type="page"/>
      </w:r>
    </w:p>
    <w:p w:rsidR="00FF26C8" w:rsidRPr="004D1578" w:rsidRDefault="001B497D" w:rsidP="008D450C">
      <w:pPr>
        <w:widowControl/>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894"/>
        <w:gridCol w:w="5924"/>
      </w:tblGrid>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南银理财珠联璧合鑫逸稳半年18期封闭式公募人民币理财产品</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Z7003223000055（投资者可依据该编码在中国理财网www.chinawealth.com.cn查询理财产品相关信息）</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封闭式净值型</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2023年03月29日</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
            </w:r>
            <w:r w:rsidR="00B534AE">
              <w:rPr>
                <w:rFonts w:ascii="方正仿宋简体" w:eastAsia="方正仿宋简体" w:hint="eastAsia"/>
                <w:sz w:val="24"/>
                <w:szCs w:val="24"/>
              </w:rPr>
              <w:t/>
            </w:r>
            <w:r w:rsidRPr="000F06ED">
              <w:rPr>
                <w:rFonts w:ascii="方正仿宋简体" w:eastAsia="方正仿宋简体" w:hint="eastAsia"/>
                <w:sz w:val="24"/>
                <w:szCs w:val="24"/>
              </w:rPr>
              <w:t>471,750,032.00份</w:t>
            </w:r>
          </w:p>
        </w:tc>
      </w:tr>
      <w:tr w:rsidR="00F47E18" w:rsidRPr="000F06ED" w:rsidTr="00C02F0B">
        <w:tc>
          <w:tcPr>
            <w:tcW w:w="289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592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sz w:val="24"/>
                <w:szCs w:val="24"/>
              </w:rPr>
              <w:t>100.07</w:t>
            </w:r>
            <w:r w:rsidR="00BA2C7F">
              <w:rPr>
                <w:rFonts w:ascii="方正仿宋简体" w:eastAsia="方正仿宋简体"/>
                <w:sz w:val="24"/>
                <w:szCs w:val="24"/>
              </w:rPr>
              <w:t>%</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鑫元基金管理有限公司,江苏省国际信托有限责任公司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8D450C">
      <w:pPr>
        <w:spacing w:before="240" w:afterLines="30" w:line="360" w:lineRule="auto"/>
        <w:rPr>
          <w:rFonts w:ascii="方正仿宋简体" w:eastAsia="方正仿宋简体" w:hAnsi="Calibri"/>
          <w:sz w:val="24"/>
          <w:szCs w:val="24"/>
        </w:rPr>
      </w:pPr>
    </w:p>
    <w:p w:rsidR="00FF26C8" w:rsidRPr="00C02F0B"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8D450C">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48"/>
        <w:gridCol w:w="2291"/>
        <w:gridCol w:w="1888"/>
        <w:gridCol w:w="1981"/>
        <w:gridCol w:w="1394"/>
      </w:tblGrid>
      <w:tr w:rsidR="00565BF6" w:rsidRPr="000F06ED" w:rsidTr="00113F5F">
        <w:trPr>
          <w:trHeight w:val="744"/>
          <w:jc w:val="center"/>
        </w:trPr>
        <w:tc>
          <w:tcPr>
            <w:tcW w:w="1348" w:type="dxa"/>
            <w:vMerge w:val="restart"/>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554" w:type="dxa"/>
            <w:gridSpan w:val="4"/>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报告期（2023年03月29日 - 2023年06月30日）</w:t>
            </w:r>
          </w:p>
        </w:tc>
      </w:tr>
      <w:tr w:rsidR="00565BF6" w:rsidRPr="000F06ED" w:rsidTr="00DA139A">
        <w:trPr>
          <w:trHeight w:val="1563"/>
          <w:jc w:val="center"/>
        </w:trPr>
        <w:tc>
          <w:tcPr>
            <w:tcW w:w="1348" w:type="dxa"/>
            <w:vMerge/>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p>
        </w:tc>
        <w:tc>
          <w:tcPr>
            <w:tcW w:w="229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Y70018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100,052,064.63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Y71018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128,850,508.65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Y72018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247,584,674.77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注：产品净值可能存在未扣除管理人及投资合作机构业绩报酬、赎回费等费用（如有）</w:t>
      </w:r>
      <w:r w:rsidRPr="000F06ED">
        <w:rPr>
          <w:rFonts w:ascii="方正仿宋简体" w:eastAsia="方正仿宋简体" w:hint="eastAsia"/>
          <w:sz w:val="24"/>
          <w:szCs w:val="24"/>
        </w:rPr>
        <w:lastRenderedPageBreak/>
        <w:t>的情况，实际收益以兑付为准。</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6E70D5" w:rsidRDefault="001B497D" w:rsidP="008D450C">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8D450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8D450C">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4660E6">
        <w:rPr>
          <w:rFonts w:ascii="方正仿宋简体" w:eastAsia="方正仿宋简体" w:hint="eastAsia"/>
          <w:sz w:val="24"/>
          <w:szCs w:val="24"/>
        </w:rPr>
        <w:t>，</w:t>
      </w:r>
      <w:r w:rsidRPr="000F06ED">
        <w:rPr>
          <w:rFonts w:ascii="方正仿宋简体" w:eastAsia="方正仿宋简体" w:hint="eastAsia"/>
          <w:sz w:val="24"/>
          <w:szCs w:val="24"/>
        </w:rPr>
        <w:t/>
      </w:r>
      <w:r w:rsidR="00895C9A" w:rsidRPr="000F06ED">
        <w:rPr>
          <w:rFonts w:ascii="方正仿宋简体" w:eastAsia="方正仿宋简体" w:hint="eastAsia"/>
          <w:sz w:val="24"/>
          <w:szCs w:val="24"/>
        </w:rPr>
        <w:t/>
      </w:r>
      <w:r w:rsidRPr="000F06ED">
        <w:rPr>
          <w:rFonts w:ascii="方正仿宋简体" w:eastAsia="方正仿宋简体" w:hint="eastAsia"/>
          <w:sz w:val="24"/>
          <w:szCs w:val="24"/>
        </w:rPr>
        <w:t>本产品Y70018份额净值为1.0097元，Y71018份额净值为1.0099元，Y72018份额净值为1.0102元。</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7110ED" w:rsidRDefault="001B497D" w:rsidP="008D450C">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4.3 托管人对本半年度报告中财务信息等内容的真实、准确和完整发表意见</w:t>
      </w:r>
    </w:p>
    <w:p w:rsidR="00FF26C8"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65529B">
        <w:trPr>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7110ED" w:rsidRDefault="007110ED" w:rsidP="008D450C">
      <w:pPr>
        <w:spacing w:before="240" w:afterLines="30" w:line="360" w:lineRule="auto"/>
        <w:rPr>
          <w:rFonts w:ascii="方正仿宋简体" w:eastAsia="方正仿宋简体"/>
          <w:b/>
          <w:sz w:val="24"/>
          <w:szCs w:val="24"/>
        </w:rPr>
      </w:pPr>
    </w:p>
    <w:p w:rsidR="00FF26C8" w:rsidRPr="000F06ED" w:rsidRDefault="001B497D" w:rsidP="008D450C">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CD4ADA">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977E89" w:rsidRPr="000F06ED" w:rsidTr="00C02F0B">
        <w:trPr>
          <w:trHeight w:val="1322"/>
          <w:jc w:val="center"/>
        </w:trPr>
        <w:tc>
          <w:tcPr>
            <w:tcW w:w="704"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633"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721"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59"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w:t>
            </w:r>
            <w:r w:rsidR="004660E6">
              <w:rPr>
                <w:rFonts w:ascii="方正仿宋简体" w:eastAsia="方正仿宋简体" w:hAnsiTheme="minorEastAsia" w:hint="eastAsia"/>
                <w:sz w:val="24"/>
                <w:szCs w:val="24"/>
              </w:rPr>
              <w:t>（</w:t>
            </w:r>
            <w:r w:rsidRPr="008B2B66">
              <w:rPr>
                <w:rFonts w:ascii="方正仿宋简体" w:eastAsia="方正仿宋简体" w:hAnsiTheme="minorEastAsia" w:hint="eastAsia"/>
                <w:sz w:val="24"/>
                <w:szCs w:val="24"/>
              </w:rPr>
              <w:t>元</w:t>
            </w:r>
            <w:r w:rsidR="004660E6">
              <w:rPr>
                <w:rFonts w:ascii="方正仿宋简体" w:eastAsia="方正仿宋简体" w:hAnsiTheme="minorEastAsia" w:hint="eastAsia"/>
                <w:sz w:val="24"/>
                <w:szCs w:val="24"/>
              </w:rPr>
              <w:t>）</w:t>
            </w:r>
          </w:p>
        </w:tc>
        <w:tc>
          <w:tcPr>
            <w:tcW w:w="1785"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333,457,686.04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69.98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ZJQTT202203100001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141,719,569.96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29.74</w:t>
            </w:r>
          </w:p>
        </w:tc>
      </w:tr>
    </w:tbl>
    <w:p w:rsidR="00977E89" w:rsidRPr="000F06ED" w:rsidRDefault="00977E89" w:rsidP="008D450C">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8D450C">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977E89" w:rsidRPr="000F06ED" w:rsidTr="004660E6">
        <w:trPr>
          <w:jc w:val="center"/>
        </w:trPr>
        <w:tc>
          <w:tcPr>
            <w:tcW w:w="70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77E89" w:rsidRPr="000F06ED" w:rsidTr="004660E6">
        <w:trPr>
          <w:trHeight w:val="705"/>
          <w:jc w:val="center"/>
        </w:trPr>
        <w:tc>
          <w:tcPr>
            <w:tcW w:w="968"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43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52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0120070000001107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南银理财鑫逸稳半年18期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0F06ED" w:rsidRDefault="00977E89"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140,000,000.00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3,069,369.03</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8D450C">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2448E3" w:rsidRPr="000F06ED" w:rsidRDefault="002448E3" w:rsidP="008D450C">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CB06E8">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1E5DF7">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EF" w:rsidRDefault="000E6DEF">
      <w:r>
        <w:separator/>
      </w:r>
    </w:p>
  </w:endnote>
  <w:endnote w:type="continuationSeparator" w:id="1">
    <w:p w:rsidR="000E6DEF" w:rsidRDefault="000E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CB06E8">
    <w:pPr>
      <w:pStyle w:val="a6"/>
      <w:framePr w:wrap="around" w:vAnchor="text" w:hAnchor="margin" w:xAlign="center" w:y="1"/>
      <w:rPr>
        <w:rStyle w:val="aa"/>
      </w:rPr>
    </w:pPr>
    <w:r>
      <w:fldChar w:fldCharType="begin"/>
    </w:r>
    <w:r w:rsidR="004D1578">
      <w:rPr>
        <w:rStyle w:val="aa"/>
      </w:rPr>
      <w:instrText xml:space="preserve">PAGE  </w:instrText>
    </w:r>
    <w:r>
      <w:fldChar w:fldCharType="end"/>
    </w:r>
  </w:p>
  <w:p w:rsidR="004D1578" w:rsidRDefault="004D157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EF" w:rsidRDefault="000E6DEF">
      <w:r>
        <w:separator/>
      </w:r>
    </w:p>
  </w:footnote>
  <w:footnote w:type="continuationSeparator" w:id="1">
    <w:p w:rsidR="000E6DEF" w:rsidRDefault="000E6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bordersDoNotSurroundHeader/>
  <w:bordersDoNotSurroundFooter/>
  <w:defaultTabStop w:val="720"/>
  <w:noPunctuationKerning/>
  <w:characterSpacingControl w:val="compressPunctuation"/>
  <w:hdrShapeDefaults>
    <o:shapedefaults v:ext="edit" spidmax="33794"/>
  </w:hdrShapeDefaults>
  <w:footnotePr>
    <w:footnote w:id="0"/>
    <w:footnote w:id="1"/>
  </w:footnotePr>
  <w:endnotePr>
    <w:endnote w:id="0"/>
    <w:endnote w:id="1"/>
  </w:endnotePr>
  <w:compat>
    <w:doNotExpandShiftReturn/>
    <w:useFELayout/>
  </w:compat>
  <w:rsids>
    <w:rsidRoot w:val="00172A27"/>
    <w:rsid w:val="00000A95"/>
    <w:rsid w:val="000060E5"/>
    <w:rsid w:val="00015019"/>
    <w:rsid w:val="000218B3"/>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E6DEF"/>
    <w:rsid w:val="000F06ED"/>
    <w:rsid w:val="000F27F1"/>
    <w:rsid w:val="000F6191"/>
    <w:rsid w:val="00113F5F"/>
    <w:rsid w:val="001279EA"/>
    <w:rsid w:val="00130CE8"/>
    <w:rsid w:val="0013364F"/>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033B"/>
    <w:rsid w:val="0085663C"/>
    <w:rsid w:val="00870717"/>
    <w:rsid w:val="008768AB"/>
    <w:rsid w:val="008870FD"/>
    <w:rsid w:val="008904CC"/>
    <w:rsid w:val="008926F7"/>
    <w:rsid w:val="008945C6"/>
    <w:rsid w:val="00895C9A"/>
    <w:rsid w:val="008A7510"/>
    <w:rsid w:val="008B2B66"/>
    <w:rsid w:val="008C18AE"/>
    <w:rsid w:val="008C3CBF"/>
    <w:rsid w:val="008C670A"/>
    <w:rsid w:val="008C78BD"/>
    <w:rsid w:val="008D450C"/>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B06E8"/>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E5DF7"/>
    <w:rPr>
      <w:b/>
      <w:bCs/>
    </w:rPr>
  </w:style>
  <w:style w:type="paragraph" w:styleId="a4">
    <w:name w:val="annotation text"/>
    <w:basedOn w:val="a"/>
    <w:link w:val="Char0"/>
    <w:uiPriority w:val="99"/>
    <w:unhideWhenUsed/>
    <w:qFormat/>
    <w:rsid w:val="001E5DF7"/>
    <w:pPr>
      <w:jc w:val="left"/>
    </w:pPr>
  </w:style>
  <w:style w:type="paragraph" w:styleId="a5">
    <w:name w:val="Balloon Text"/>
    <w:basedOn w:val="a"/>
    <w:link w:val="Char1"/>
    <w:uiPriority w:val="99"/>
    <w:unhideWhenUsed/>
    <w:qFormat/>
    <w:rsid w:val="001E5DF7"/>
    <w:rPr>
      <w:sz w:val="18"/>
      <w:szCs w:val="18"/>
    </w:rPr>
  </w:style>
  <w:style w:type="paragraph" w:styleId="a6">
    <w:name w:val="footer"/>
    <w:basedOn w:val="a"/>
    <w:link w:val="Char2"/>
    <w:uiPriority w:val="99"/>
    <w:unhideWhenUsed/>
    <w:qFormat/>
    <w:rsid w:val="001E5DF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E5DF7"/>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1E5DF7"/>
    <w:pPr>
      <w:snapToGrid w:val="0"/>
      <w:jc w:val="left"/>
    </w:pPr>
    <w:rPr>
      <w:sz w:val="18"/>
    </w:rPr>
  </w:style>
  <w:style w:type="paragraph" w:styleId="a9">
    <w:name w:val="Normal (Web)"/>
    <w:basedOn w:val="a"/>
    <w:qFormat/>
    <w:rsid w:val="001E5DF7"/>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1E5DF7"/>
  </w:style>
  <w:style w:type="character" w:styleId="ab">
    <w:name w:val="annotation reference"/>
    <w:uiPriority w:val="99"/>
    <w:unhideWhenUsed/>
    <w:qFormat/>
    <w:rsid w:val="001E5DF7"/>
    <w:rPr>
      <w:sz w:val="21"/>
      <w:szCs w:val="21"/>
    </w:rPr>
  </w:style>
  <w:style w:type="character" w:styleId="ac">
    <w:name w:val="footnote reference"/>
    <w:uiPriority w:val="99"/>
    <w:unhideWhenUsed/>
    <w:qFormat/>
    <w:rsid w:val="001E5DF7"/>
    <w:rPr>
      <w:vertAlign w:val="superscript"/>
    </w:rPr>
  </w:style>
  <w:style w:type="character" w:customStyle="1" w:styleId="Char1">
    <w:name w:val="批注框文本 Char"/>
    <w:link w:val="a5"/>
    <w:uiPriority w:val="99"/>
    <w:semiHidden/>
    <w:qFormat/>
    <w:rsid w:val="001E5DF7"/>
    <w:rPr>
      <w:kern w:val="2"/>
      <w:sz w:val="18"/>
      <w:szCs w:val="18"/>
    </w:rPr>
  </w:style>
  <w:style w:type="character" w:customStyle="1" w:styleId="Char3">
    <w:name w:val="页眉 Char"/>
    <w:link w:val="a7"/>
    <w:uiPriority w:val="99"/>
    <w:semiHidden/>
    <w:qFormat/>
    <w:locked/>
    <w:rsid w:val="001E5DF7"/>
    <w:rPr>
      <w:rFonts w:ascii="Times New Roman" w:hAnsi="Times New Roman" w:cs="Times New Roman" w:hint="default"/>
      <w:sz w:val="18"/>
      <w:szCs w:val="18"/>
    </w:rPr>
  </w:style>
  <w:style w:type="character" w:customStyle="1" w:styleId="Char">
    <w:name w:val="批注主题 Char"/>
    <w:link w:val="a3"/>
    <w:uiPriority w:val="99"/>
    <w:semiHidden/>
    <w:qFormat/>
    <w:rsid w:val="001E5DF7"/>
    <w:rPr>
      <w:b/>
      <w:bCs/>
      <w:kern w:val="2"/>
      <w:sz w:val="21"/>
      <w:szCs w:val="22"/>
    </w:rPr>
  </w:style>
  <w:style w:type="character" w:customStyle="1" w:styleId="Char2">
    <w:name w:val="页脚 Char"/>
    <w:link w:val="a6"/>
    <w:uiPriority w:val="99"/>
    <w:semiHidden/>
    <w:qFormat/>
    <w:locked/>
    <w:rsid w:val="001E5DF7"/>
    <w:rPr>
      <w:rFonts w:ascii="Times New Roman" w:hAnsi="Times New Roman" w:cs="Times New Roman" w:hint="default"/>
      <w:sz w:val="18"/>
      <w:szCs w:val="18"/>
    </w:rPr>
  </w:style>
  <w:style w:type="character" w:customStyle="1" w:styleId="Char0">
    <w:name w:val="批注文字 Char"/>
    <w:link w:val="a4"/>
    <w:uiPriority w:val="99"/>
    <w:qFormat/>
    <w:rsid w:val="001E5DF7"/>
    <w:rPr>
      <w:kern w:val="2"/>
      <w:sz w:val="21"/>
      <w:szCs w:val="22"/>
    </w:rPr>
  </w:style>
  <w:style w:type="paragraph" w:customStyle="1" w:styleId="zhongyaotishi">
    <w:name w:val="zhongyaotishi"/>
    <w:basedOn w:val="a"/>
    <w:qFormat/>
    <w:rsid w:val="001E5DF7"/>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E5DF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E5DF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E5DF7"/>
    <w:pPr>
      <w:widowControl w:val="0"/>
      <w:jc w:val="center"/>
    </w:pPr>
    <w:rPr>
      <w:kern w:val="2"/>
      <w:sz w:val="33"/>
      <w:szCs w:val="22"/>
    </w:rPr>
  </w:style>
  <w:style w:type="paragraph" w:customStyle="1" w:styleId="biaogeleft">
    <w:name w:val="biaoge_left"/>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E5DF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E5DF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E5DF7"/>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E5DF7"/>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E5DF7"/>
    <w:pPr>
      <w:widowControl w:val="0"/>
    </w:pPr>
    <w:rPr>
      <w:kern w:val="2"/>
      <w:sz w:val="21"/>
      <w:szCs w:val="22"/>
    </w:rPr>
  </w:style>
  <w:style w:type="paragraph" w:customStyle="1" w:styleId="neirong">
    <w:name w:val="neirong"/>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1E5DF7"/>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paragraph" w:styleId="ad">
    <w:name w:val="Document Map"/>
    <w:basedOn w:val="a"/>
    <w:link w:val="Char4"/>
    <w:uiPriority w:val="99"/>
    <w:semiHidden/>
    <w:unhideWhenUsed/>
    <w:rsid w:val="000218B3"/>
    <w:rPr>
      <w:rFonts w:ascii="宋体"/>
      <w:sz w:val="18"/>
      <w:szCs w:val="18"/>
    </w:rPr>
  </w:style>
  <w:style w:type="character" w:customStyle="1" w:styleId="Char4">
    <w:name w:val="文档结构图 Char"/>
    <w:basedOn w:val="a0"/>
    <w:link w:val="ad"/>
    <w:uiPriority w:val="99"/>
    <w:semiHidden/>
    <w:rsid w:val="000218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342</Words>
  <Characters>1953</Characters>
  <Application>Microsoft Office Word</Application>
  <DocSecurity>0</DocSecurity>
  <Lines>16</Lines>
  <Paragraphs>4</Paragraphs>
  <ScaleCrop>false</ScaleCrop>
  <Company>微软中国</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2023-08-31T08:36:00Z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