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8D450C">
      <w:pPr>
        <w:spacing w:before="240" w:afterLines="30" w:line="360" w:lineRule="auto"/>
        <w:jc w:val="center"/>
      </w:pPr>
    </w:p>
    <w:p w:rsidR="00FF26C8" w:rsidRDefault="00FF26C8" w:rsidP="008D450C">
      <w:pPr>
        <w:spacing w:before="240" w:afterLines="30" w:line="360" w:lineRule="auto"/>
        <w:jc w:val="center"/>
      </w:pPr>
    </w:p>
    <w:p w:rsidR="00FF26C8" w:rsidRDefault="00FF26C8" w:rsidP="008D450C">
      <w:pPr>
        <w:spacing w:before="240" w:afterLines="30" w:line="360" w:lineRule="auto"/>
        <w:jc w:val="center"/>
      </w:pPr>
    </w:p>
    <w:p w:rsidR="00FF26C8" w:rsidRPr="00977E89" w:rsidRDefault="00977E89" w:rsidP="008D450C">
      <w:pPr>
        <w:spacing w:before="240" w:afterLines="30" w:line="360" w:lineRule="auto"/>
        <w:jc w:val="center"/>
        <w:outlineLvl w:val="0"/>
        <w:rPr>
          <w:rFonts w:ascii="方正黑体简体" w:eastAsia="方正黑体简体"/>
          <w:sz w:val="36"/>
        </w:rPr>
      </w:pPr>
      <w:r w:rsidRPr="00977E89">
        <w:rPr>
          <w:rFonts w:ascii="方正黑体简体" w:eastAsia="方正黑体简体"/>
          <w:sz w:val="36"/>
        </w:rPr>
        <w:t>南银理财珠联璧合鑫逸稳一年95期封闭式公募人民币理财产品</w:t>
      </w:r>
    </w:p>
    <w:p w:rsidR="00FF26C8" w:rsidRPr="00977E89" w:rsidRDefault="00977E89" w:rsidP="008D450C">
      <w:pPr>
        <w:spacing w:before="240" w:afterLines="30" w:line="360" w:lineRule="auto"/>
        <w:jc w:val="center"/>
        <w:outlineLvl w:val="0"/>
        <w:rPr>
          <w:rFonts w:ascii="方正黑体简体" w:eastAsia="方正黑体简体" w:hAnsi="黑体"/>
          <w:sz w:val="36"/>
        </w:rPr>
      </w:pPr>
      <w:r>
        <w:rPr>
          <w:rFonts w:ascii="方正黑体简体" w:eastAsia="方正黑体简体" w:hAnsi="黑体"/>
          <w:sz w:val="36"/>
        </w:rPr>
        <w:t>2023</w:t>
      </w:r>
      <w:r w:rsidR="004660E6">
        <w:rPr>
          <w:rFonts w:ascii="方正黑体简体" w:eastAsia="方正黑体简体" w:hAnsi="黑体"/>
          <w:sz w:val="36"/>
        </w:rPr>
        <w:t>年半</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977E89" w:rsidRPr="000F06ED" w:rsidRDefault="00977E89"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产品管理人:</w:t>
      </w:r>
      <w:r w:rsidRPr="000F06ED">
        <w:rPr>
          <w:rFonts w:ascii="方正仿宋简体" w:eastAsia="方正仿宋简体"/>
          <w:b/>
          <w:sz w:val="24"/>
          <w:szCs w:val="24"/>
        </w:rPr>
        <w:t>南银理财有限责任公司</w:t>
      </w:r>
    </w:p>
    <w:p w:rsidR="00FF26C8" w:rsidRPr="000F06ED" w:rsidRDefault="00977E89"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产品托管人:</w:t>
      </w:r>
      <w:r w:rsidRPr="000F06ED">
        <w:rPr>
          <w:rFonts w:ascii="方正仿宋简体" w:eastAsia="方正仿宋简体"/>
          <w:b/>
          <w:sz w:val="24"/>
          <w:szCs w:val="24"/>
        </w:rPr>
        <w:t>南京银行股份有限公司</w:t>
      </w:r>
    </w:p>
    <w:p w:rsidR="008D450C" w:rsidRDefault="008D450C">
      <w:pPr>
        <w:widowControl/>
        <w:jc w:val="left"/>
        <w:rPr>
          <w:rFonts w:ascii="方正黑体简体" w:eastAsia="方正黑体简体"/>
          <w:sz w:val="36"/>
        </w:rPr>
      </w:pPr>
      <w:r>
        <w:rPr>
          <w:rFonts w:ascii="方正黑体简体" w:eastAsia="方正黑体简体"/>
          <w:sz w:val="36"/>
        </w:rPr>
        <w:br w:type="page"/>
      </w:r>
    </w:p>
    <w:p w:rsidR="00FF26C8" w:rsidRPr="004D1578" w:rsidRDefault="001B497D" w:rsidP="008D450C">
      <w:pPr>
        <w:widowControl/>
        <w:spacing w:before="240" w:afterLines="30" w:line="360" w:lineRule="auto"/>
        <w:jc w:val="center"/>
        <w:rPr>
          <w:rFonts w:ascii="方正仿宋简体" w:eastAsia="方正仿宋简体" w:hAnsi="Calibri"/>
          <w:b/>
          <w:sz w:val="24"/>
          <w:szCs w:val="24"/>
        </w:rPr>
      </w:pPr>
      <w:r w:rsidRPr="000F06ED">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894"/>
        <w:gridCol w:w="5924"/>
      </w:tblGrid>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产品全称</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南银理财珠联璧合鑫逸稳一年95期封闭式公募人民币理财产品</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产品登记编码</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Z7003223000008（投资者可依据该编码在中国理财网www.chinawealth.com.cn查询理财产品相关信息）</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产品运作方式</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封闭式净值型</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产品成立日</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2023年01月18日</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报告期末产品份额总额</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
            </w:r>
            <w:r w:rsidR="00B534AE">
              <w:rPr>
                <w:rFonts w:ascii="方正仿宋简体" w:eastAsia="方正仿宋简体" w:hint="eastAsia"/>
                <w:sz w:val="24"/>
                <w:szCs w:val="24"/>
              </w:rPr>
              <w:t/>
            </w:r>
            <w:r w:rsidRPr="000F06ED">
              <w:rPr>
                <w:rFonts w:ascii="方正仿宋简体" w:eastAsia="方正仿宋简体" w:hint="eastAsia"/>
                <w:sz w:val="24"/>
                <w:szCs w:val="24"/>
              </w:rPr>
              <w:t>1,188,319,823.00份</w:t>
            </w:r>
          </w:p>
        </w:tc>
      </w:tr>
      <w:tr w:rsidR="00F47E18" w:rsidRPr="000F06ED" w:rsidTr="00C02F0B">
        <w:tc>
          <w:tcPr>
            <w:tcW w:w="2894" w:type="dxa"/>
            <w:vAlign w:val="center"/>
          </w:tcPr>
          <w:p w:rsidR="00F47E18" w:rsidRPr="00F47E18" w:rsidRDefault="00F47E18" w:rsidP="008D450C">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5924" w:type="dxa"/>
            <w:vAlign w:val="center"/>
          </w:tcPr>
          <w:p w:rsidR="00F47E18" w:rsidRPr="00F47E18" w:rsidRDefault="00F47E18" w:rsidP="008D450C">
            <w:pPr>
              <w:spacing w:beforeLines="20" w:afterLines="20"/>
              <w:jc w:val="left"/>
              <w:rPr>
                <w:rFonts w:ascii="方正仿宋简体" w:eastAsia="方正仿宋简体"/>
                <w:sz w:val="24"/>
                <w:szCs w:val="24"/>
              </w:rPr>
            </w:pPr>
            <w:r w:rsidRPr="00F47E18">
              <w:rPr>
                <w:rFonts w:ascii="方正仿宋简体" w:eastAsia="方正仿宋简体"/>
                <w:sz w:val="24"/>
                <w:szCs w:val="24"/>
              </w:rPr>
              <w:t>100.09</w:t>
            </w:r>
            <w:r w:rsidR="00BA2C7F">
              <w:rPr>
                <w:rFonts w:ascii="方正仿宋简体" w:eastAsia="方正仿宋简体"/>
                <w:sz w:val="24"/>
                <w:szCs w:val="24"/>
              </w:rPr>
              <w:t>%</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合作机构</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中国对外经济贸易信托有限公司,鑫元基金管理有限公司</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产品管理人</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南银理财有限责任公司</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产品托管人</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南京银行股份有限公司</w:t>
            </w:r>
          </w:p>
        </w:tc>
      </w:tr>
    </w:tbl>
    <w:p w:rsidR="00FF26C8" w:rsidRPr="000F06ED" w:rsidRDefault="00FF26C8" w:rsidP="008D450C">
      <w:pPr>
        <w:spacing w:before="240" w:afterLines="30" w:line="360" w:lineRule="auto"/>
        <w:rPr>
          <w:rFonts w:ascii="方正仿宋简体" w:eastAsia="方正仿宋简体" w:hAnsi="Calibri"/>
          <w:sz w:val="24"/>
          <w:szCs w:val="24"/>
        </w:rPr>
      </w:pPr>
    </w:p>
    <w:p w:rsidR="00FF26C8" w:rsidRPr="00C02F0B"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Ansi="Calibri" w:hint="eastAsia"/>
          <w:b/>
          <w:sz w:val="24"/>
          <w:szCs w:val="24"/>
        </w:rPr>
        <w:t>§2  主要财务指标</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2.1 主要财务指标</w:t>
      </w:r>
    </w:p>
    <w:p w:rsidR="00FF26C8" w:rsidRDefault="001B497D" w:rsidP="008D450C">
      <w:pPr>
        <w:spacing w:before="240" w:afterLines="30" w:line="360" w:lineRule="auto"/>
        <w:jc w:val="right"/>
        <w:rPr>
          <w:rFonts w:ascii="方正仿宋简体" w:eastAsia="方正仿宋简体" w:cs="宋体"/>
          <w:kern w:val="0"/>
          <w:sz w:val="24"/>
          <w:szCs w:val="24"/>
        </w:rPr>
      </w:pPr>
      <w:r w:rsidRPr="000F06ED">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348"/>
        <w:gridCol w:w="2291"/>
        <w:gridCol w:w="1888"/>
        <w:gridCol w:w="1981"/>
        <w:gridCol w:w="1394"/>
      </w:tblGrid>
      <w:tr w:rsidR="00565BF6" w:rsidRPr="000F06ED" w:rsidTr="00113F5F">
        <w:trPr>
          <w:trHeight w:val="744"/>
          <w:jc w:val="center"/>
        </w:trPr>
        <w:tc>
          <w:tcPr>
            <w:tcW w:w="1348" w:type="dxa"/>
            <w:vMerge w:val="restart"/>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8B2B66">
              <w:rPr>
                <w:rFonts w:ascii="方正仿宋简体" w:eastAsia="方正仿宋简体" w:hint="eastAsia"/>
                <w:sz w:val="24"/>
                <w:szCs w:val="24"/>
                <w:shd w:val="clear" w:color="auto" w:fill="FFFFFF"/>
              </w:rPr>
              <w:t>内部销售代码</w:t>
            </w:r>
          </w:p>
        </w:tc>
        <w:tc>
          <w:tcPr>
            <w:tcW w:w="7554" w:type="dxa"/>
            <w:gridSpan w:val="4"/>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8B2B66">
              <w:rPr>
                <w:rFonts w:ascii="方正仿宋简体" w:eastAsia="方正仿宋简体" w:hint="eastAsia"/>
                <w:sz w:val="24"/>
                <w:szCs w:val="24"/>
                <w:shd w:val="clear" w:color="auto" w:fill="FFFFFF"/>
              </w:rPr>
              <w:t>报告期（2023年01月18日 - 2023年06月30日）</w:t>
            </w:r>
          </w:p>
        </w:tc>
      </w:tr>
      <w:tr w:rsidR="00565BF6" w:rsidRPr="000F06ED" w:rsidTr="00DA139A">
        <w:trPr>
          <w:trHeight w:val="1563"/>
          <w:jc w:val="center"/>
        </w:trPr>
        <w:tc>
          <w:tcPr>
            <w:tcW w:w="1348" w:type="dxa"/>
            <w:vMerge/>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p>
        </w:tc>
        <w:tc>
          <w:tcPr>
            <w:tcW w:w="2291"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Y30095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62,680,723.84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Y31095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55,421,644.26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Y32095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1,094,841,829.46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FF26C8" w:rsidRPr="000F06ED" w:rsidRDefault="001B497D"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注：产品净值可能存在未扣除管理人及投资合作机构业绩报酬、赎回费等费用（如有）</w:t>
      </w:r>
      <w:r w:rsidRPr="000F06ED">
        <w:rPr>
          <w:rFonts w:ascii="方正仿宋简体" w:eastAsia="方正仿宋简体" w:hint="eastAsia"/>
          <w:sz w:val="24"/>
          <w:szCs w:val="24"/>
        </w:rPr>
        <w:lastRenderedPageBreak/>
        <w:t>的情况，实际收益以兑付为准。</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6E70D5" w:rsidRDefault="001B497D" w:rsidP="008D450C">
      <w:pPr>
        <w:spacing w:before="240" w:afterLines="30" w:line="360" w:lineRule="auto"/>
        <w:jc w:val="center"/>
        <w:rPr>
          <w:rFonts w:ascii="方正仿宋简体" w:eastAsia="方正仿宋简体"/>
          <w:b/>
          <w:sz w:val="24"/>
          <w:szCs w:val="24"/>
        </w:rPr>
      </w:pPr>
      <w:r w:rsidRPr="006E70D5">
        <w:rPr>
          <w:rFonts w:ascii="方正仿宋简体" w:eastAsia="方正仿宋简体" w:hAnsi="Calibri" w:hint="eastAsia"/>
          <w:b/>
          <w:sz w:val="24"/>
          <w:szCs w:val="24"/>
        </w:rPr>
        <w:t>§3  管理人报告</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3.1 报告期内产品的投资策略和运作分析</w:t>
      </w:r>
    </w:p>
    <w:p w:rsidR="00977E89" w:rsidRPr="000F06ED" w:rsidRDefault="00977E89" w:rsidP="008D450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0F06ED">
        <w:rPr>
          <w:rFonts w:ascii="方正仿宋简体" w:eastAsia="方正仿宋简体" w:hint="eastAsia"/>
          <w:sz w:val="24"/>
          <w:szCs w:val="24"/>
        </w:rPr>
        <w:t/>
      </w:r>
      <w:r w:rsidR="00B964AE" w:rsidRPr="000F06ED">
        <w:rPr>
          <w:rFonts w:ascii="方正仿宋简体" w:eastAsia="方正仿宋简体" w:hint="eastAsia"/>
          <w:sz w:val="24"/>
          <w:szCs w:val="24"/>
        </w:rPr>
        <w:t/>
      </w:r>
      <w:r w:rsidRPr="000F06ED">
        <w:rPr>
          <w:rFonts w:ascii="方正仿宋简体" w:eastAsia="方正仿宋简体" w:hint="eastAsia"/>
          <w:sz w:val="24"/>
          <w:szCs w:val="24"/>
        </w:rPr>
        <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3.2 报告期内产品的流动性风险分析</w:t>
      </w:r>
    </w:p>
    <w:p w:rsidR="00977E89" w:rsidRPr="000F06ED" w:rsidRDefault="00977E89"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w:r>
      <w:r w:rsidR="00B964AE" w:rsidRPr="000F06ED">
        <w:rPr>
          <w:rFonts w:ascii="方正仿宋简体" w:eastAsia="方正仿宋简体" w:hint="eastAsia"/>
          <w:sz w:val="24"/>
          <w:szCs w:val="24"/>
        </w:rPr>
        <w:t/>
      </w:r>
      <w:r w:rsidRPr="000F06ED">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3.3 报告期内产品的业绩表现</w:t>
      </w:r>
    </w:p>
    <w:p w:rsidR="00977E89" w:rsidRPr="000F06ED" w:rsidRDefault="00977E89" w:rsidP="008D450C">
      <w:pPr>
        <w:spacing w:before="240" w:afterLines="30" w:line="360" w:lineRule="auto"/>
        <w:ind w:firstLineChars="200" w:firstLine="480"/>
        <w:rPr>
          <w:rFonts w:ascii="方正仿宋简体" w:eastAsia="方正仿宋简体"/>
          <w:sz w:val="24"/>
          <w:szCs w:val="24"/>
        </w:rPr>
      </w:pPr>
      <w:r w:rsidRPr="000F06ED">
        <w:rPr>
          <w:rFonts w:ascii="方正仿宋简体" w:eastAsia="方正仿宋简体" w:hint="eastAsia"/>
          <w:sz w:val="24"/>
          <w:szCs w:val="24"/>
        </w:rPr>
        <w:t>截至报告期末</w:t>
      </w:r>
      <w:r w:rsidR="004660E6">
        <w:rPr>
          <w:rFonts w:ascii="方正仿宋简体" w:eastAsia="方正仿宋简体" w:hint="eastAsia"/>
          <w:sz w:val="24"/>
          <w:szCs w:val="24"/>
        </w:rPr>
        <w:t>，</w:t>
      </w:r>
      <w:r w:rsidRPr="000F06ED">
        <w:rPr>
          <w:rFonts w:ascii="方正仿宋简体" w:eastAsia="方正仿宋简体" w:hint="eastAsia"/>
          <w:sz w:val="24"/>
          <w:szCs w:val="24"/>
        </w:rPr>
        <w:t/>
      </w:r>
      <w:r w:rsidR="00895C9A" w:rsidRPr="000F06ED">
        <w:rPr>
          <w:rFonts w:ascii="方正仿宋简体" w:eastAsia="方正仿宋简体" w:hint="eastAsia"/>
          <w:sz w:val="24"/>
          <w:szCs w:val="24"/>
        </w:rPr>
        <w:t/>
      </w:r>
      <w:r w:rsidRPr="000F06ED">
        <w:rPr>
          <w:rFonts w:ascii="方正仿宋简体" w:eastAsia="方正仿宋简体" w:hint="eastAsia"/>
          <w:sz w:val="24"/>
          <w:szCs w:val="24"/>
        </w:rPr>
        <w:t>本产品Y30095份额净值为1.0198元，Y31095份额净值为1.0203元，Y32095份额净值为1.0207元。</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7110ED" w:rsidRDefault="001B497D" w:rsidP="008D450C">
      <w:pPr>
        <w:spacing w:before="240" w:afterLines="30" w:line="360" w:lineRule="auto"/>
        <w:jc w:val="center"/>
        <w:rPr>
          <w:rFonts w:ascii="方正仿宋简体" w:eastAsia="方正仿宋简体" w:hAnsi="Calibri"/>
          <w:b/>
          <w:sz w:val="24"/>
          <w:szCs w:val="24"/>
        </w:rPr>
      </w:pPr>
      <w:r w:rsidRPr="000F06ED">
        <w:rPr>
          <w:rFonts w:ascii="方正仿宋简体" w:eastAsia="方正仿宋简体" w:hAnsi="Calibri" w:hint="eastAsia"/>
          <w:b/>
          <w:sz w:val="24"/>
          <w:szCs w:val="24"/>
        </w:rPr>
        <w:t>§4  托管人报告</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4.1报告期内托管人遵规守信情况声明</w:t>
      </w:r>
    </w:p>
    <w:p w:rsidR="00FF26C8" w:rsidRPr="000F06ED" w:rsidRDefault="00977E89"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4.2 托管人对报告期内投资运作遵规守信、净值计算、利润分配等情况的说明</w:t>
      </w:r>
    </w:p>
    <w:p w:rsidR="00B964AE" w:rsidRPr="000F06ED" w:rsidRDefault="00B964AE"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4.3 托管人对本半年度报告中财务信息等内容的真实、准确和完整发表意见</w:t>
      </w:r>
    </w:p>
    <w:p w:rsidR="00FF26C8" w:rsidRDefault="00B964AE"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F06ED" w:rsidRPr="000F06ED" w:rsidRDefault="000F06ED" w:rsidP="008D450C">
      <w:pPr>
        <w:spacing w:before="240" w:afterLines="30" w:line="360" w:lineRule="auto"/>
        <w:rPr>
          <w:rFonts w:ascii="方正仿宋简体" w:eastAsia="方正仿宋简体"/>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Ansi="Calibri" w:hint="eastAsia"/>
          <w:b/>
          <w:sz w:val="24"/>
          <w:szCs w:val="24"/>
        </w:rPr>
        <w:t>§5  投资组合报告</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资产类别</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穿透前占总资产比例</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穿透后占总资产比例</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1</w:t>
            </w:r>
          </w:p>
        </w:tc>
        <w:tc>
          <w:tcPr>
            <w:tcW w:w="1843" w:type="dxa"/>
            <w:vAlign w:val="bottom"/>
          </w:tcPr>
          <w:p w:rsidR="00977E89" w:rsidRPr="008B2B66" w:rsidRDefault="00C11797"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固定收益类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100.00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100.00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2</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权益类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65529B">
        <w:trPr>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3</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商品及金融衍生品类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4</w:t>
            </w:r>
          </w:p>
        </w:tc>
        <w:tc>
          <w:tcPr>
            <w:tcW w:w="1843" w:type="dxa"/>
            <w:vAlign w:val="bottom"/>
          </w:tcPr>
          <w:p w:rsidR="00977E89" w:rsidRPr="008B2B66" w:rsidRDefault="00C11797"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混合类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5</w:t>
            </w:r>
          </w:p>
        </w:tc>
        <w:tc>
          <w:tcPr>
            <w:tcW w:w="1843"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合计</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p>
        </w:tc>
      </w:tr>
    </w:tbl>
    <w:p w:rsidR="007110ED" w:rsidRDefault="007110ED" w:rsidP="008D450C">
      <w:pPr>
        <w:spacing w:before="240" w:afterLines="30" w:line="360" w:lineRule="auto"/>
        <w:rPr>
          <w:rFonts w:ascii="方正仿宋简体" w:eastAsia="方正仿宋简体"/>
          <w:b/>
          <w:sz w:val="24"/>
          <w:szCs w:val="24"/>
        </w:rPr>
      </w:pPr>
    </w:p>
    <w:p w:rsidR="00FF26C8" w:rsidRPr="000F06ED" w:rsidRDefault="001B497D" w:rsidP="008D450C">
      <w:pPr>
        <w:spacing w:before="240" w:afterLines="30" w:line="360" w:lineRule="auto"/>
        <w:rPr>
          <w:rFonts w:ascii="方正仿宋简体" w:eastAsia="方正仿宋简体"/>
          <w:b/>
          <w:sz w:val="24"/>
          <w:szCs w:val="24"/>
          <w:shd w:val="clear" w:color="auto" w:fill="FFFFFF"/>
        </w:rPr>
      </w:pPr>
      <w:r w:rsidRPr="000F06ED">
        <w:rPr>
          <w:rFonts w:ascii="方正仿宋简体" w:eastAsia="方正仿宋简体" w:hint="eastAsia"/>
          <w:b/>
          <w:sz w:val="24"/>
          <w:szCs w:val="24"/>
        </w:rPr>
        <w:t>5.2 报告期末按公允价值</w:t>
      </w:r>
      <w:r w:rsidR="00CD4ADA">
        <w:rPr>
          <w:rFonts w:ascii="方正仿宋简体" w:eastAsia="方正仿宋简体" w:hint="eastAsia"/>
          <w:b/>
          <w:sz w:val="24"/>
          <w:szCs w:val="24"/>
        </w:rPr>
        <w:t>占产品</w:t>
      </w:r>
      <w:r w:rsidRPr="000F06ED">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4"/>
        <w:gridCol w:w="1633"/>
        <w:gridCol w:w="2721"/>
        <w:gridCol w:w="2059"/>
        <w:gridCol w:w="1785"/>
      </w:tblGrid>
      <w:tr w:rsidR="00977E89" w:rsidRPr="000F06ED" w:rsidTr="00C02F0B">
        <w:trPr>
          <w:trHeight w:val="1322"/>
          <w:jc w:val="center"/>
        </w:trPr>
        <w:tc>
          <w:tcPr>
            <w:tcW w:w="704"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633"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代码</w:t>
            </w:r>
          </w:p>
        </w:tc>
        <w:tc>
          <w:tcPr>
            <w:tcW w:w="2721"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名称</w:t>
            </w:r>
          </w:p>
        </w:tc>
        <w:tc>
          <w:tcPr>
            <w:tcW w:w="2059"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公允价值</w:t>
            </w:r>
            <w:r w:rsidR="004660E6">
              <w:rPr>
                <w:rFonts w:ascii="方正仿宋简体" w:eastAsia="方正仿宋简体" w:hAnsiTheme="minorEastAsia" w:hint="eastAsia"/>
                <w:sz w:val="24"/>
                <w:szCs w:val="24"/>
              </w:rPr>
              <w:t>（</w:t>
            </w:r>
            <w:r w:rsidRPr="008B2B66">
              <w:rPr>
                <w:rFonts w:ascii="方正仿宋简体" w:eastAsia="方正仿宋简体" w:hAnsiTheme="minorEastAsia" w:hint="eastAsia"/>
                <w:sz w:val="24"/>
                <w:szCs w:val="24"/>
              </w:rPr>
              <w:t>元</w:t>
            </w:r>
            <w:r w:rsidR="004660E6">
              <w:rPr>
                <w:rFonts w:ascii="方正仿宋简体" w:eastAsia="方正仿宋简体" w:hAnsiTheme="minorEastAsia" w:hint="eastAsia"/>
                <w:sz w:val="24"/>
                <w:szCs w:val="24"/>
              </w:rPr>
              <w:t>）</w:t>
            </w:r>
          </w:p>
        </w:tc>
        <w:tc>
          <w:tcPr>
            <w:tcW w:w="1785"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203,760,000.00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16.80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23880220</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23安吉交投01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16.49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174,773,449.23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14.41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23880307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23启东城投01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8.24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23880147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23金坛建发03</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8.24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23880344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23启东城投02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7.42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177037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20桐资01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50,067,314.70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167974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20南湖02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40,102,806.09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167921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20华靖02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40,069,971.51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23880228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23扬州庆和瑞02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3.30</w:t>
            </w:r>
          </w:p>
        </w:tc>
      </w:tr>
    </w:tbl>
    <w:p w:rsidR="00977E89" w:rsidRPr="000F06ED" w:rsidRDefault="00977E89" w:rsidP="008D450C">
      <w:pPr>
        <w:spacing w:before="240" w:afterLines="30" w:line="360" w:lineRule="auto"/>
        <w:rPr>
          <w:rFonts w:ascii="方正仿宋简体" w:eastAsia="方正仿宋简体" w:hAnsi="宋体" w:cs="宋体"/>
          <w:sz w:val="24"/>
          <w:szCs w:val="24"/>
          <w:shd w:val="clear" w:color="auto" w:fill="FFFFFF"/>
        </w:rPr>
      </w:pPr>
    </w:p>
    <w:p w:rsidR="00FF26C8" w:rsidRPr="000F06ED" w:rsidRDefault="001B497D" w:rsidP="008D450C">
      <w:pPr>
        <w:spacing w:before="240" w:afterLines="30" w:line="360" w:lineRule="auto"/>
        <w:rPr>
          <w:rFonts w:ascii="方正仿宋简体" w:eastAsia="方正仿宋简体" w:hAnsi="宋体" w:cs="宋体"/>
          <w:b/>
          <w:sz w:val="24"/>
          <w:szCs w:val="24"/>
          <w:shd w:val="clear" w:color="auto" w:fill="FFFFFF"/>
        </w:rPr>
      </w:pPr>
      <w:r w:rsidRPr="000F06ED">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977E89" w:rsidRPr="000F06ED" w:rsidTr="004660E6">
        <w:trPr>
          <w:jc w:val="center"/>
        </w:trPr>
        <w:tc>
          <w:tcPr>
            <w:tcW w:w="709"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276"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融资客户</w:t>
            </w:r>
          </w:p>
        </w:tc>
        <w:tc>
          <w:tcPr>
            <w:tcW w:w="170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项目名称</w:t>
            </w:r>
          </w:p>
        </w:tc>
        <w:tc>
          <w:tcPr>
            <w:tcW w:w="1417"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剩余融资期限</w:t>
            </w:r>
          </w:p>
        </w:tc>
        <w:tc>
          <w:tcPr>
            <w:tcW w:w="170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到期收益分配</w:t>
            </w:r>
          </w:p>
        </w:tc>
        <w:tc>
          <w:tcPr>
            <w:tcW w:w="1276"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交易结构</w:t>
            </w:r>
          </w:p>
        </w:tc>
        <w:tc>
          <w:tcPr>
            <w:tcW w:w="85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安吉县交通投资发展集团有限公司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23安吉交投01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217</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江苏金坛建设发展有限公司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23金坛建发03</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启东城投集团有限公司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23启东城投01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225</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启东城投集团有限公司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23启东城投02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232</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泗阳县佳鼎实业有限公司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23泗阳佳鼎02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扬州庆和瑞投资建设有限公司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23扬州庆和瑞02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218</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977E89" w:rsidRPr="000F06ED" w:rsidTr="004660E6">
        <w:trPr>
          <w:trHeight w:val="705"/>
          <w:jc w:val="center"/>
        </w:trPr>
        <w:tc>
          <w:tcPr>
            <w:tcW w:w="968"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437"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账户类型</w:t>
            </w:r>
          </w:p>
        </w:tc>
        <w:tc>
          <w:tcPr>
            <w:tcW w:w="2529"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账号</w:t>
            </w:r>
          </w:p>
        </w:tc>
        <w:tc>
          <w:tcPr>
            <w:tcW w:w="1984"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账户名称</w:t>
            </w:r>
          </w:p>
        </w:tc>
        <w:tc>
          <w:tcPr>
            <w:tcW w:w="1984"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0120040000001019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南银理财鑫逸稳一年95期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0F06ED" w:rsidRDefault="00977E89" w:rsidP="008D450C">
      <w:pPr>
        <w:spacing w:before="240" w:afterLines="30" w:line="360" w:lineRule="auto"/>
        <w:rPr>
          <w:rFonts w:ascii="方正仿宋简体" w:eastAsia="方正仿宋简体"/>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§7 关联交易情况</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570,000,000.00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lastRenderedPageBreak/>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200,000,000.00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220B2B">
        <w:rPr>
          <w:rFonts w:ascii="方正仿宋简体" w:eastAsia="方正仿宋简体" w:hAnsi="宋体" w:cs="宋体" w:hint="eastAsia"/>
          <w:color w:val="000000"/>
          <w:kern w:val="0"/>
          <w:sz w:val="24"/>
          <w:szCs w:val="24"/>
        </w:rPr>
        <w:t>支</w:t>
      </w:r>
      <w:r w:rsidRPr="009E22FB">
        <w:rPr>
          <w:rFonts w:ascii="方正仿宋简体" w:eastAsia="方正仿宋简体" w:hAnsi="宋体" w:cs="宋体" w:hint="eastAsia"/>
          <w:color w:val="000000"/>
          <w:kern w:val="0"/>
          <w:sz w:val="24"/>
          <w:szCs w:val="24"/>
        </w:rPr>
        <w:t>付关联方托管费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00220B2B">
        <w:rPr>
          <w:rFonts w:ascii="方正仿宋简体" w:eastAsia="方正仿宋简体" w:hAnsi="宋体" w:cs="宋体" w:hint="eastAsia"/>
          <w:color w:val="000000"/>
          <w:kern w:val="0"/>
          <w:sz w:val="24"/>
          <w:szCs w:val="24"/>
        </w:rPr>
        <w:t>元，支</w:t>
      </w:r>
      <w:r w:rsidRPr="009E22FB">
        <w:rPr>
          <w:rFonts w:ascii="方正仿宋简体" w:eastAsia="方正仿宋简体" w:hAnsi="宋体" w:cs="宋体" w:hint="eastAsia"/>
          <w:color w:val="000000"/>
          <w:kern w:val="0"/>
          <w:sz w:val="24"/>
          <w:szCs w:val="24"/>
        </w:rPr>
        <w:t>付关联方代销费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801,907.02</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Pr="000F06ED" w:rsidRDefault="00733378" w:rsidP="008D450C">
      <w:pPr>
        <w:spacing w:before="240" w:afterLines="30" w:line="360" w:lineRule="auto"/>
        <w:ind w:firstLineChars="200" w:firstLine="480"/>
        <w:rPr>
          <w:rFonts w:ascii="方正仿宋简体" w:eastAsia="方正仿宋简体" w:hAnsi="宋体" w:cs="宋体"/>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2448E3" w:rsidRPr="000F06ED" w:rsidRDefault="002448E3" w:rsidP="008D450C">
      <w:pPr>
        <w:spacing w:before="240" w:afterLines="30" w:line="360" w:lineRule="auto"/>
        <w:jc w:val="right"/>
        <w:rPr>
          <w:rFonts w:ascii="方正仿宋简体" w:eastAsia="方正仿宋简体" w:hAnsi="Calibri"/>
          <w:b/>
          <w:sz w:val="24"/>
          <w:szCs w:val="24"/>
        </w:rPr>
      </w:pPr>
      <w:r w:rsidRPr="000F06ED">
        <w:rPr>
          <w:rFonts w:ascii="方正仿宋简体" w:eastAsia="方正仿宋简体" w:hAnsi="Calibri" w:hint="eastAsia"/>
          <w:b/>
          <w:sz w:val="24"/>
          <w:szCs w:val="24"/>
        </w:rPr>
        <w:t>南银理财有限责任公司</w:t>
      </w:r>
    </w:p>
    <w:p w:rsidR="00FF26C8" w:rsidRPr="000F06ED" w:rsidRDefault="002448E3" w:rsidP="00CB06E8">
      <w:pPr>
        <w:spacing w:before="240" w:afterLines="30" w:line="360" w:lineRule="auto"/>
        <w:jc w:val="right"/>
        <w:rPr>
          <w:rFonts w:ascii="方正仿宋简体" w:eastAsia="方正仿宋简体"/>
          <w:b/>
          <w:sz w:val="24"/>
          <w:szCs w:val="24"/>
        </w:rPr>
      </w:pPr>
      <w:r w:rsidRPr="000F06ED">
        <w:rPr>
          <w:rFonts w:ascii="方正仿宋简体" w:eastAsia="方正仿宋简体" w:hint="eastAsia"/>
          <w:b/>
          <w:sz w:val="24"/>
          <w:szCs w:val="24"/>
        </w:rPr>
        <w:t>2023年06月30日</w:t>
      </w:r>
    </w:p>
    <w:sectPr w:rsidR="00FF26C8" w:rsidRPr="000F06ED" w:rsidSect="001E5DF7">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6DEF" w:rsidRDefault="000E6DEF">
      <w:r>
        <w:separator/>
      </w:r>
    </w:p>
  </w:endnote>
  <w:endnote w:type="continuationSeparator" w:id="1">
    <w:p w:rsidR="000E6DEF" w:rsidRDefault="000E6D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CB06E8">
    <w:pPr>
      <w:pStyle w:val="a6"/>
      <w:framePr w:wrap="around" w:vAnchor="text" w:hAnchor="margin" w:xAlign="center" w:y="1"/>
      <w:rPr>
        <w:rStyle w:val="aa"/>
      </w:rPr>
    </w:pPr>
    <w:r>
      <w:fldChar w:fldCharType="begin"/>
    </w:r>
    <w:r w:rsidR="004D1578">
      <w:rPr>
        <w:rStyle w:val="aa"/>
      </w:rPr>
      <w:instrText xml:space="preserve">PAGE  </w:instrText>
    </w:r>
    <w:r>
      <w:fldChar w:fldCharType="end"/>
    </w:r>
  </w:p>
  <w:p w:rsidR="004D1578" w:rsidRDefault="004D157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6DEF" w:rsidRDefault="000E6DEF">
      <w:r>
        <w:separator/>
      </w:r>
    </w:p>
  </w:footnote>
  <w:footnote w:type="continuationSeparator" w:id="1">
    <w:p w:rsidR="000E6DEF" w:rsidRDefault="000E6D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3"/>
  <w:bordersDoNotSurroundHeader/>
  <w:bordersDoNotSurroundFooter/>
  <w:defaultTabStop w:val="720"/>
  <w:noPunctuationKerning/>
  <w:characterSpacingControl w:val="compressPunctuation"/>
  <w:hdrShapeDefaults>
    <o:shapedefaults v:ext="edit" spidmax="33794"/>
  </w:hdrShapeDefaults>
  <w:footnotePr>
    <w:footnote w:id="0"/>
    <w:footnote w:id="1"/>
  </w:footnotePr>
  <w:endnotePr>
    <w:endnote w:id="0"/>
    <w:endnote w:id="1"/>
  </w:endnotePr>
  <w:compat>
    <w:doNotExpandShiftReturn/>
    <w:useFELayout/>
  </w:compat>
  <w:rsids>
    <w:rsidRoot w:val="00172A27"/>
    <w:rsid w:val="00000A95"/>
    <w:rsid w:val="000060E5"/>
    <w:rsid w:val="00015019"/>
    <w:rsid w:val="000218B3"/>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E6DEF"/>
    <w:rsid w:val="000F06ED"/>
    <w:rsid w:val="000F27F1"/>
    <w:rsid w:val="000F6191"/>
    <w:rsid w:val="00113F5F"/>
    <w:rsid w:val="001279EA"/>
    <w:rsid w:val="00130CE8"/>
    <w:rsid w:val="0013364F"/>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033B"/>
    <w:rsid w:val="0085663C"/>
    <w:rsid w:val="00870717"/>
    <w:rsid w:val="008768AB"/>
    <w:rsid w:val="008870FD"/>
    <w:rsid w:val="008904CC"/>
    <w:rsid w:val="008926F7"/>
    <w:rsid w:val="008945C6"/>
    <w:rsid w:val="00895C9A"/>
    <w:rsid w:val="008A7510"/>
    <w:rsid w:val="008B2B66"/>
    <w:rsid w:val="008C18AE"/>
    <w:rsid w:val="008C3CBF"/>
    <w:rsid w:val="008C670A"/>
    <w:rsid w:val="008C78BD"/>
    <w:rsid w:val="008D450C"/>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B06E8"/>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DF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1E5DF7"/>
    <w:rPr>
      <w:b/>
      <w:bCs/>
    </w:rPr>
  </w:style>
  <w:style w:type="paragraph" w:styleId="a4">
    <w:name w:val="annotation text"/>
    <w:basedOn w:val="a"/>
    <w:link w:val="Char0"/>
    <w:uiPriority w:val="99"/>
    <w:unhideWhenUsed/>
    <w:qFormat/>
    <w:rsid w:val="001E5DF7"/>
    <w:pPr>
      <w:jc w:val="left"/>
    </w:pPr>
  </w:style>
  <w:style w:type="paragraph" w:styleId="a5">
    <w:name w:val="Balloon Text"/>
    <w:basedOn w:val="a"/>
    <w:link w:val="Char1"/>
    <w:uiPriority w:val="99"/>
    <w:unhideWhenUsed/>
    <w:qFormat/>
    <w:rsid w:val="001E5DF7"/>
    <w:rPr>
      <w:sz w:val="18"/>
      <w:szCs w:val="18"/>
    </w:rPr>
  </w:style>
  <w:style w:type="paragraph" w:styleId="a6">
    <w:name w:val="footer"/>
    <w:basedOn w:val="a"/>
    <w:link w:val="Char2"/>
    <w:uiPriority w:val="99"/>
    <w:unhideWhenUsed/>
    <w:qFormat/>
    <w:rsid w:val="001E5DF7"/>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1E5DF7"/>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1E5DF7"/>
    <w:pPr>
      <w:snapToGrid w:val="0"/>
      <w:jc w:val="left"/>
    </w:pPr>
    <w:rPr>
      <w:sz w:val="18"/>
    </w:rPr>
  </w:style>
  <w:style w:type="paragraph" w:styleId="a9">
    <w:name w:val="Normal (Web)"/>
    <w:basedOn w:val="a"/>
    <w:qFormat/>
    <w:rsid w:val="001E5DF7"/>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1E5DF7"/>
  </w:style>
  <w:style w:type="character" w:styleId="ab">
    <w:name w:val="annotation reference"/>
    <w:uiPriority w:val="99"/>
    <w:unhideWhenUsed/>
    <w:qFormat/>
    <w:rsid w:val="001E5DF7"/>
    <w:rPr>
      <w:sz w:val="21"/>
      <w:szCs w:val="21"/>
    </w:rPr>
  </w:style>
  <w:style w:type="character" w:styleId="ac">
    <w:name w:val="footnote reference"/>
    <w:uiPriority w:val="99"/>
    <w:unhideWhenUsed/>
    <w:qFormat/>
    <w:rsid w:val="001E5DF7"/>
    <w:rPr>
      <w:vertAlign w:val="superscript"/>
    </w:rPr>
  </w:style>
  <w:style w:type="character" w:customStyle="1" w:styleId="Char1">
    <w:name w:val="批注框文本 Char"/>
    <w:link w:val="a5"/>
    <w:uiPriority w:val="99"/>
    <w:semiHidden/>
    <w:qFormat/>
    <w:rsid w:val="001E5DF7"/>
    <w:rPr>
      <w:kern w:val="2"/>
      <w:sz w:val="18"/>
      <w:szCs w:val="18"/>
    </w:rPr>
  </w:style>
  <w:style w:type="character" w:customStyle="1" w:styleId="Char3">
    <w:name w:val="页眉 Char"/>
    <w:link w:val="a7"/>
    <w:uiPriority w:val="99"/>
    <w:semiHidden/>
    <w:qFormat/>
    <w:locked/>
    <w:rsid w:val="001E5DF7"/>
    <w:rPr>
      <w:rFonts w:ascii="Times New Roman" w:hAnsi="Times New Roman" w:cs="Times New Roman" w:hint="default"/>
      <w:sz w:val="18"/>
      <w:szCs w:val="18"/>
    </w:rPr>
  </w:style>
  <w:style w:type="character" w:customStyle="1" w:styleId="Char">
    <w:name w:val="批注主题 Char"/>
    <w:link w:val="a3"/>
    <w:uiPriority w:val="99"/>
    <w:semiHidden/>
    <w:qFormat/>
    <w:rsid w:val="001E5DF7"/>
    <w:rPr>
      <w:b/>
      <w:bCs/>
      <w:kern w:val="2"/>
      <w:sz w:val="21"/>
      <w:szCs w:val="22"/>
    </w:rPr>
  </w:style>
  <w:style w:type="character" w:customStyle="1" w:styleId="Char2">
    <w:name w:val="页脚 Char"/>
    <w:link w:val="a6"/>
    <w:uiPriority w:val="99"/>
    <w:semiHidden/>
    <w:qFormat/>
    <w:locked/>
    <w:rsid w:val="001E5DF7"/>
    <w:rPr>
      <w:rFonts w:ascii="Times New Roman" w:hAnsi="Times New Roman" w:cs="Times New Roman" w:hint="default"/>
      <w:sz w:val="18"/>
      <w:szCs w:val="18"/>
    </w:rPr>
  </w:style>
  <w:style w:type="character" w:customStyle="1" w:styleId="Char0">
    <w:name w:val="批注文字 Char"/>
    <w:link w:val="a4"/>
    <w:uiPriority w:val="99"/>
    <w:qFormat/>
    <w:rsid w:val="001E5DF7"/>
    <w:rPr>
      <w:kern w:val="2"/>
      <w:sz w:val="21"/>
      <w:szCs w:val="22"/>
    </w:rPr>
  </w:style>
  <w:style w:type="paragraph" w:customStyle="1" w:styleId="zhongyaotishi">
    <w:name w:val="zhongyaotishi"/>
    <w:basedOn w:val="a"/>
    <w:qFormat/>
    <w:rsid w:val="001E5DF7"/>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1E5DF7"/>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1E5DF7"/>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1E5DF7"/>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1E5DF7"/>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1E5DF7"/>
    <w:pPr>
      <w:widowControl w:val="0"/>
      <w:jc w:val="center"/>
    </w:pPr>
    <w:rPr>
      <w:kern w:val="2"/>
      <w:sz w:val="33"/>
      <w:szCs w:val="22"/>
    </w:rPr>
  </w:style>
  <w:style w:type="paragraph" w:customStyle="1" w:styleId="biaogeleft">
    <w:name w:val="biaoge_left"/>
    <w:basedOn w:val="a"/>
    <w:qFormat/>
    <w:rsid w:val="001E5DF7"/>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1E5DF7"/>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1E5DF7"/>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1E5DF7"/>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1E5DF7"/>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1E5DF7"/>
    <w:pPr>
      <w:widowControl w:val="0"/>
    </w:pPr>
    <w:rPr>
      <w:kern w:val="2"/>
      <w:sz w:val="21"/>
      <w:szCs w:val="22"/>
    </w:rPr>
  </w:style>
  <w:style w:type="paragraph" w:customStyle="1" w:styleId="neirong">
    <w:name w:val="neirong"/>
    <w:basedOn w:val="a"/>
    <w:qFormat/>
    <w:rsid w:val="001E5DF7"/>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1E5DF7"/>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 w:type="paragraph" w:styleId="ad">
    <w:name w:val="Document Map"/>
    <w:basedOn w:val="a"/>
    <w:link w:val="Char4"/>
    <w:uiPriority w:val="99"/>
    <w:semiHidden/>
    <w:unhideWhenUsed/>
    <w:rsid w:val="000218B3"/>
    <w:rPr>
      <w:rFonts w:ascii="宋体"/>
      <w:sz w:val="18"/>
      <w:szCs w:val="18"/>
    </w:rPr>
  </w:style>
  <w:style w:type="character" w:customStyle="1" w:styleId="Char4">
    <w:name w:val="文档结构图 Char"/>
    <w:basedOn w:val="a0"/>
    <w:link w:val="ad"/>
    <w:uiPriority w:val="99"/>
    <w:semiHidden/>
    <w:rsid w:val="000218B3"/>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6</Pages>
  <Words>342</Words>
  <Characters>1953</Characters>
  <Application>Microsoft Office Word</Application>
  <DocSecurity>0</DocSecurity>
  <Lines>16</Lines>
  <Paragraphs>4</Paragraphs>
  <ScaleCrop>false</ScaleCrop>
  <Company>微软中国</Company>
  <LinksUpToDate>false</LinksUpToDate>
  <CharactersWithSpaces>2291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2023-08-31T08:36:00Z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