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6"/>
        <w:snapToGrid w:val="0"/>
        <w:spacing w:line="400" w:lineRule="exact"/>
        <w:ind w:firstLine="0"/>
        <w:jc w:val="center"/>
        <w:rPr>
          <w:rFonts w:hint="eastAsia" w:eastAsia="黑体"/>
          <w:bCs/>
          <w:kern w:val="2"/>
          <w:sz w:val="36"/>
          <w:szCs w:val="36"/>
        </w:rPr>
      </w:pPr>
      <w:r>
        <w:rPr>
          <w:rFonts w:hint="eastAsia" w:eastAsia="黑体"/>
          <w:bCs/>
          <w:kern w:val="2"/>
          <w:sz w:val="36"/>
          <w:szCs w:val="36"/>
        </w:rPr>
        <w:t>华夏理财固定收益增强型半年定开理财产品2号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3"/>
        <w:tblpPr w:leftFromText="180" w:rightFromText="180" w:vertAnchor="page" w:horzAnchor="page" w:tblpX="1867" w:tblpY="2343"/>
        <w:tblW w:w="859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w:t>
            </w:r>
            <w:r>
              <w:rPr>
                <w:rFonts w:ascii="黑体" w:hAnsi="黑体" w:eastAsia="黑体"/>
                <w:b/>
                <w:sz w:val="28"/>
                <w:szCs w:val="28"/>
                <w:u w:val="single"/>
              </w:rPr>
              <w:t>网站</w:t>
            </w:r>
            <w:r>
              <w:rPr>
                <w:rFonts w:hint="eastAsia" w:ascii="黑体" w:hAnsi="黑体" w:eastAsia="黑体"/>
                <w:b/>
                <w:sz w:val="28"/>
                <w:szCs w:val="28"/>
                <w:u w:val="single"/>
              </w:rPr>
              <w:t>（www.hxwm.com.cn）、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华夏理财固定收益增强型半年定开理财产品2号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简称：“华夏理财固收增强半年定开2号”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211918700102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Z7003921000041</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2.95</w:t>
            </w:r>
            <w:r>
              <w:rPr>
                <w:rFonts w:ascii="仿宋" w:hAnsi="仿宋" w:eastAsia="仿宋" w:cs="Cambria"/>
                <w:bCs/>
                <w:szCs w:val="21"/>
              </w:rPr>
              <w:t>%</w:t>
            </w:r>
            <w:r>
              <w:rPr>
                <w:rFonts w:hint="eastAsia" w:ascii="仿宋" w:hAnsi="仿宋" w:eastAsia="仿宋" w:cs="Cambria"/>
                <w:bCs/>
                <w:szCs w:val="21"/>
              </w:rPr>
              <w:t>（年化）。以产品投资债券类资产仓位60%-120%，非标债权类资产仓位0-40%，权益类资产仓位0-20%，组合杠杆率120%-140%为例，参考中债-信用债总财富指数、非标债权类资产目标收益率、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w:t>
            </w:r>
            <w:r>
              <w:rPr>
                <w:rFonts w:hint="eastAsia" w:ascii="仿宋" w:hAnsi="仿宋" w:eastAsia="仿宋"/>
                <w:bCs/>
                <w:szCs w:val="21"/>
              </w:rPr>
              <w:t>比较</w:t>
            </w:r>
            <w:r>
              <w:rPr>
                <w:rFonts w:hint="eastAsia" w:ascii="仿宋" w:hAnsi="仿宋" w:eastAsia="仿宋"/>
                <w:bCs/>
                <w:color w:val="000000"/>
                <w:szCs w:val="21"/>
              </w:rPr>
              <w:t>基准是管理人基于产品性质、投资策略、过往经验等因素对产品设定的投资目标，</w:t>
            </w:r>
            <w:r>
              <w:rPr>
                <w:rFonts w:hint="eastAsia" w:ascii="仿宋" w:hAnsi="仿宋" w:eastAsia="仿宋" w:cs="Cambria"/>
                <w:bCs/>
                <w:szCs w:val="21"/>
              </w:rPr>
              <w:t>不是预期收益率，</w:t>
            </w:r>
            <w:r>
              <w:rPr>
                <w:rFonts w:hint="eastAsia" w:ascii="仿宋" w:hAnsi="仿宋" w:eastAsia="仿宋"/>
                <w:bCs/>
                <w:color w:val="000000"/>
                <w:szCs w:val="21"/>
              </w:rPr>
              <w:t>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2021</w:t>
            </w:r>
            <w:r>
              <w:rPr>
                <w:rFonts w:ascii="仿宋" w:hAnsi="仿宋" w:eastAsia="仿宋"/>
                <w:bCs/>
                <w:szCs w:val="21"/>
              </w:rPr>
              <w:t>年</w:t>
            </w:r>
            <w:r>
              <w:rPr>
                <w:rFonts w:hint="eastAsia" w:ascii="仿宋" w:hAnsi="仿宋" w:eastAsia="仿宋"/>
                <w:bCs/>
                <w:szCs w:val="21"/>
              </w:rPr>
              <w:t>01月07</w:t>
            </w:r>
            <w:r>
              <w:rPr>
                <w:rFonts w:ascii="仿宋" w:hAnsi="仿宋" w:eastAsia="仿宋"/>
                <w:bCs/>
                <w:szCs w:val="21"/>
              </w:rPr>
              <w:t>日－</w:t>
            </w:r>
            <w:r>
              <w:rPr>
                <w:rFonts w:hint="eastAsia" w:ascii="仿宋" w:hAnsi="仿宋" w:eastAsia="仿宋"/>
                <w:bCs/>
                <w:szCs w:val="21"/>
              </w:rPr>
              <w:t>2021</w:t>
            </w:r>
            <w:r>
              <w:rPr>
                <w:rFonts w:ascii="仿宋" w:hAnsi="仿宋" w:eastAsia="仿宋"/>
                <w:bCs/>
                <w:szCs w:val="21"/>
              </w:rPr>
              <w:t>年</w:t>
            </w:r>
            <w:r>
              <w:rPr>
                <w:rFonts w:hint="eastAsia" w:ascii="仿宋" w:hAnsi="仿宋" w:eastAsia="仿宋"/>
                <w:bCs/>
                <w:szCs w:val="21"/>
              </w:rPr>
              <w:t>01</w:t>
            </w:r>
            <w:r>
              <w:rPr>
                <w:rFonts w:ascii="仿宋" w:hAnsi="仿宋" w:eastAsia="仿宋"/>
                <w:bCs/>
                <w:szCs w:val="21"/>
              </w:rPr>
              <w:t>月</w:t>
            </w:r>
            <w:r>
              <w:rPr>
                <w:rFonts w:hint="eastAsia" w:ascii="仿宋" w:hAnsi="仿宋" w:eastAsia="仿宋"/>
                <w:bCs/>
                <w:szCs w:val="21"/>
              </w:rPr>
              <w:t>13日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2021</w:t>
            </w:r>
            <w:r>
              <w:rPr>
                <w:rFonts w:ascii="仿宋" w:hAnsi="仿宋" w:eastAsia="仿宋"/>
                <w:bCs/>
                <w:szCs w:val="21"/>
              </w:rPr>
              <w:t>年</w:t>
            </w:r>
            <w:r>
              <w:rPr>
                <w:rFonts w:hint="eastAsia" w:ascii="仿宋" w:hAnsi="仿宋" w:eastAsia="仿宋"/>
                <w:bCs/>
                <w:szCs w:val="21"/>
              </w:rPr>
              <w:t>01</w:t>
            </w:r>
            <w:r>
              <w:rPr>
                <w:rFonts w:ascii="仿宋" w:hAnsi="仿宋" w:eastAsia="仿宋"/>
                <w:bCs/>
                <w:szCs w:val="21"/>
              </w:rPr>
              <w:t>月</w:t>
            </w:r>
            <w:r>
              <w:rPr>
                <w:rFonts w:hint="eastAsia" w:ascii="仿宋" w:hAnsi="仿宋" w:eastAsia="仿宋"/>
                <w:bCs/>
                <w:szCs w:val="21"/>
              </w:rPr>
              <w:t>14</w:t>
            </w:r>
            <w:r>
              <w:rPr>
                <w:rFonts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r>
              <w:rPr>
                <w:rFonts w:ascii="仿宋" w:hAnsi="仿宋" w:eastAsia="仿宋"/>
                <w:bCs/>
                <w:szCs w:val="21"/>
              </w:rPr>
              <w:t>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1,</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开放期/开放日为产品成立后每年01月、07月的14日（含）起连续五个工作日开放，开放期/开放日如遇非工作日则顺延至下一个工作日。</w:t>
            </w:r>
          </w:p>
          <w:tbl>
            <w:tblPr>
              <w:tblStyle w:val="13"/>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p>
                  <w:pPr>
                    <w:adjustRightInd w:val="0"/>
                    <w:snapToGrid w:val="0"/>
                    <w:spacing w:line="240" w:lineRule="atLeast"/>
                    <w:ind w:firstLine="420" w:firstLineChars="20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val="0"/>
                <w:szCs w:val="21"/>
              </w:rPr>
              <w:t>销售手续费率</w:t>
            </w:r>
            <w:r>
              <w:rPr>
                <w:rFonts w:hint="eastAsia" w:ascii="仿宋" w:hAnsi="仿宋" w:eastAsia="仿宋"/>
                <w:b/>
                <w:bCs w:val="0"/>
                <w:szCs w:val="21"/>
              </w:rPr>
              <w:t>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F=E×【0.30%】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固定管理费率0.20%/年，以前一日资产净值为基数，每日计提。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本产品的超额管理费计提基准为</w:t>
            </w:r>
            <w:r>
              <w:rPr>
                <w:rFonts w:hint="eastAsia" w:ascii="仿宋" w:hAnsi="仿宋" w:eastAsia="仿宋"/>
                <w:b/>
                <w:bCs w:val="0"/>
                <w:szCs w:val="21"/>
                <w:lang w:eastAsia="zh-CN"/>
              </w:rPr>
              <w:t>2</w:t>
            </w:r>
            <w:r>
              <w:rPr>
                <w:rFonts w:hint="eastAsia" w:ascii="仿宋" w:hAnsi="仿宋" w:eastAsia="仿宋"/>
                <w:b/>
                <w:bCs w:val="0"/>
                <w:szCs w:val="21"/>
                <w:lang w:val="en-US" w:eastAsia="zh-CN"/>
              </w:rPr>
              <w:t>.95</w:t>
            </w:r>
            <w:r>
              <w:rPr>
                <w:rFonts w:ascii="仿宋" w:hAnsi="仿宋" w:eastAsia="仿宋"/>
                <w:b/>
                <w:bCs w:val="0"/>
                <w:szCs w:val="21"/>
              </w:rPr>
              <w:t>%</w:t>
            </w:r>
            <w:r>
              <w:rPr>
                <w:rFonts w:hint="eastAsia" w:ascii="仿宋" w:hAnsi="仿宋" w:eastAsia="仿宋"/>
                <w:b/>
                <w:bCs w:val="0"/>
                <w:szCs w:val="21"/>
              </w:rPr>
              <w:t>（年化）。</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本产品超额管理费的计算公式：</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超额管理费=（年化收益率-超额管理费计提基准）×当期持有天数÷365×50%×产品份额×上期单位净值</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其中：</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“产品份额”为该封闭期内份额，若封闭期内有红利再投时，将剔除红利再投产生份额的影响。</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“上期单位净值”为上个开放期最后一个开放日的单位净值。</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hint="eastAsia" w:ascii="仿宋" w:hAnsi="仿宋" w:eastAsia="仿宋"/>
                <w:b/>
                <w:bCs w:val="0"/>
                <w:szCs w:val="21"/>
                <w:u w:val="single"/>
              </w:rPr>
            </w:pPr>
            <w:r>
              <w:rPr>
                <w:rFonts w:hint="eastAsia" w:ascii="仿宋" w:hAnsi="仿宋" w:eastAsia="仿宋"/>
                <w:b/>
                <w:bCs w:val="0"/>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cs="宋体"/>
                <w:kern w:val="0"/>
                <w:szCs w:val="21"/>
              </w:rPr>
              <w:t>如</w:t>
            </w:r>
            <w:r>
              <w:rPr>
                <w:rFonts w:hint="eastAsia" w:ascii="仿宋" w:hAnsi="仿宋" w:eastAsia="仿宋"/>
                <w:bCs/>
                <w:szCs w:val="21"/>
              </w:rPr>
              <w:t>产品成立运作满半年，</w:t>
            </w:r>
            <w:r>
              <w:rPr>
                <w:rFonts w:hint="eastAsia" w:ascii="仿宋" w:hAnsi="仿宋" w:eastAsia="仿宋" w:cs="宋体"/>
                <w:kern w:val="0"/>
                <w:szCs w:val="21"/>
              </w:rPr>
              <w:t>本理财产品可</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hint="eastAsia" w:ascii="仿宋" w:hAnsi="仿宋" w:eastAsia="仿宋"/>
                <w:bCs/>
                <w:szCs w:val="21"/>
                <w:lang w:val="en-US" w:eastAsia="zh-CN"/>
              </w:rPr>
              <w:t>5</w:t>
            </w:r>
            <w:r>
              <w:rPr>
                <w:rFonts w:ascii="仿宋" w:hAnsi="仿宋" w:eastAsia="仿宋"/>
                <w:bCs/>
                <w:szCs w:val="21"/>
              </w:rPr>
              <w:t>,</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本产品主要投资于固定收益类资产、权益类资产及资产管理产品，其中投资的资管产品需符合产品约定的投资范围，固定收益类资产包括货币市场工具、标准化债权类资产、非标准化债权类资产等。</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货币市场基金以及中国人民银行、中国银保监会认可的其他具有良好流动性的金融工具；</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固定收益类公开募集证券投资基金，以及《标准化债权类资产认定规则》认定的标准化债权类资产等；</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3"/>
        <w:tblW w:w="8063" w:type="dxa"/>
        <w:jc w:val="center"/>
        <w:tblCellSpacing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3984"/>
        <w:gridCol w:w="4079"/>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jc w:val="center"/>
        </w:trPr>
        <w:tc>
          <w:tcPr>
            <w:tcW w:w="39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jc w:val="center"/>
        </w:trPr>
        <w:tc>
          <w:tcPr>
            <w:tcW w:w="3984"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固定收益类</w:t>
            </w:r>
          </w:p>
        </w:tc>
        <w:tc>
          <w:tcPr>
            <w:tcW w:w="4079"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80%-100%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11" w:hRule="atLeast"/>
          <w:tblCellSpacing w:w="0" w:type="dxa"/>
          <w:jc w:val="center"/>
        </w:trPr>
        <w:tc>
          <w:tcPr>
            <w:tcW w:w="3984"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权益类</w:t>
            </w:r>
          </w:p>
        </w:tc>
        <w:tc>
          <w:tcPr>
            <w:tcW w:w="4079"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0%-20%</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本理财产品所投资的银行存款、货币市场工具、债券等标准化债权类资产、非标准化债权类资产、权益类资产以及资产管理产品等资产。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6.银行存款（活期、定期）及证券资金账户存款以本金列示，按照约定利率在持有期内逐日计提应收利息，在利息到账日以实收利息入账。</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7.债券回购和具有固定回报的买入返售金融资产：以买入/外放成本列示，按约定收益率逐日计提收益。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rPr>
        <w:t>（十五）其他风险：由于自然灾害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bookmarkStart w:id="4" w:name="_GoBack"/>
      <w:bookmarkEnd w:id="4"/>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Arial Unicode MS">
    <w:altName w:val="宋体"/>
    <w:panose1 w:val="020B0604020202020204"/>
    <w:charset w:val="86"/>
    <w:family w:val="auto"/>
    <w:pitch w:val="default"/>
    <w:sig w:usb0="F7FFAFFF" w:usb1="E9DFFFFF" w:usb2="0000003F" w:usb3="00000000" w:csb0="003F01FF" w:csb1="00000000"/>
  </w:font>
  <w:font w:name="仿宋_GB2312">
    <w:altName w:val="仿宋"/>
    <w:panose1 w:val="02010609030101010101"/>
    <w:charset w:val="86"/>
    <w:family w:val="auto"/>
    <w:pitch w:val="default"/>
    <w:sig w:usb0="00000001" w:usb1="080E0000" w:usb2="00000010" w:usb3="00000000" w:csb0="00040000" w:csb1="00000000"/>
  </w:font>
  <w:font w:name="微软简仿宋">
    <w:altName w:val="仿宋"/>
    <w:panose1 w:val="00000000000000000000"/>
    <w:charset w:val="86"/>
    <w:family w:val="auto"/>
    <w:pitch w:val="default"/>
    <w:sig w:usb0="00000001" w:usb1="080E0000" w:usb2="00000010" w:usb3="00000000" w:csb0="00040000" w:csb1="00000000"/>
  </w:font>
  <w:font w:name="楷体_GB2312">
    <w:altName w:val="楷体"/>
    <w:panose1 w:val="02010609030101010101"/>
    <w:charset w:val="86"/>
    <w:family w:val="auto"/>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Bdr>
        <w:bottom w:val="none" w:color="auto" w:sz="0" w:space="1"/>
      </w:pBdr>
      <w:spacing w:line="360" w:lineRule="auto"/>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001408C"/>
    <w:rsid w:val="00020F81"/>
    <w:rsid w:val="00031A25"/>
    <w:rsid w:val="000415EF"/>
    <w:rsid w:val="0004485A"/>
    <w:rsid w:val="00044B7F"/>
    <w:rsid w:val="0004783E"/>
    <w:rsid w:val="0006081B"/>
    <w:rsid w:val="00063561"/>
    <w:rsid w:val="000713E1"/>
    <w:rsid w:val="0007571C"/>
    <w:rsid w:val="000763B3"/>
    <w:rsid w:val="000805E4"/>
    <w:rsid w:val="00083ED3"/>
    <w:rsid w:val="00085777"/>
    <w:rsid w:val="00086B30"/>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6AF3"/>
    <w:rsid w:val="000F7A80"/>
    <w:rsid w:val="00102B50"/>
    <w:rsid w:val="00111BDB"/>
    <w:rsid w:val="0011683A"/>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77CAB"/>
    <w:rsid w:val="00282724"/>
    <w:rsid w:val="00287CAE"/>
    <w:rsid w:val="00293AA7"/>
    <w:rsid w:val="00294355"/>
    <w:rsid w:val="002966AC"/>
    <w:rsid w:val="002A26F8"/>
    <w:rsid w:val="002A2967"/>
    <w:rsid w:val="002A2FEF"/>
    <w:rsid w:val="002C3FF3"/>
    <w:rsid w:val="002C7F16"/>
    <w:rsid w:val="002D449A"/>
    <w:rsid w:val="002E56BD"/>
    <w:rsid w:val="002E5919"/>
    <w:rsid w:val="002E7F9D"/>
    <w:rsid w:val="0030422A"/>
    <w:rsid w:val="00311727"/>
    <w:rsid w:val="00311DBF"/>
    <w:rsid w:val="00311EF5"/>
    <w:rsid w:val="00317858"/>
    <w:rsid w:val="003248AF"/>
    <w:rsid w:val="003359B4"/>
    <w:rsid w:val="00351C38"/>
    <w:rsid w:val="003522B1"/>
    <w:rsid w:val="00357F0B"/>
    <w:rsid w:val="00362E0F"/>
    <w:rsid w:val="0036318A"/>
    <w:rsid w:val="00365E5C"/>
    <w:rsid w:val="00367563"/>
    <w:rsid w:val="003723AE"/>
    <w:rsid w:val="00375CE6"/>
    <w:rsid w:val="003767EF"/>
    <w:rsid w:val="0038373F"/>
    <w:rsid w:val="003923B3"/>
    <w:rsid w:val="003A4560"/>
    <w:rsid w:val="003B43C0"/>
    <w:rsid w:val="003C0388"/>
    <w:rsid w:val="003C4235"/>
    <w:rsid w:val="003C51E8"/>
    <w:rsid w:val="003C5A8A"/>
    <w:rsid w:val="003C7D21"/>
    <w:rsid w:val="003D2B76"/>
    <w:rsid w:val="003D55AF"/>
    <w:rsid w:val="003D65A8"/>
    <w:rsid w:val="003D7B76"/>
    <w:rsid w:val="003E4BEB"/>
    <w:rsid w:val="003F1B6F"/>
    <w:rsid w:val="003F5AF4"/>
    <w:rsid w:val="003F6114"/>
    <w:rsid w:val="003F7EA5"/>
    <w:rsid w:val="004021F4"/>
    <w:rsid w:val="00422249"/>
    <w:rsid w:val="0042748A"/>
    <w:rsid w:val="0043490E"/>
    <w:rsid w:val="0043495C"/>
    <w:rsid w:val="00440BC3"/>
    <w:rsid w:val="00440F4D"/>
    <w:rsid w:val="0045546E"/>
    <w:rsid w:val="00456C1F"/>
    <w:rsid w:val="00462536"/>
    <w:rsid w:val="004734C8"/>
    <w:rsid w:val="00474458"/>
    <w:rsid w:val="00484075"/>
    <w:rsid w:val="004929E8"/>
    <w:rsid w:val="0049300B"/>
    <w:rsid w:val="00494748"/>
    <w:rsid w:val="004950C5"/>
    <w:rsid w:val="00495582"/>
    <w:rsid w:val="00497138"/>
    <w:rsid w:val="004A1573"/>
    <w:rsid w:val="004A7A7E"/>
    <w:rsid w:val="004B06AD"/>
    <w:rsid w:val="004B07F8"/>
    <w:rsid w:val="004B2908"/>
    <w:rsid w:val="004B4F8B"/>
    <w:rsid w:val="004C1CD0"/>
    <w:rsid w:val="004C4084"/>
    <w:rsid w:val="004C6D16"/>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6EC5"/>
    <w:rsid w:val="0058230D"/>
    <w:rsid w:val="005835EB"/>
    <w:rsid w:val="005A3BD8"/>
    <w:rsid w:val="005A6E67"/>
    <w:rsid w:val="005B536D"/>
    <w:rsid w:val="005C08EC"/>
    <w:rsid w:val="005C120E"/>
    <w:rsid w:val="005D3AAF"/>
    <w:rsid w:val="005D5649"/>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5248A"/>
    <w:rsid w:val="00653752"/>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21E35"/>
    <w:rsid w:val="00734D46"/>
    <w:rsid w:val="00736655"/>
    <w:rsid w:val="00745116"/>
    <w:rsid w:val="007529D1"/>
    <w:rsid w:val="0076606B"/>
    <w:rsid w:val="0077324B"/>
    <w:rsid w:val="00777429"/>
    <w:rsid w:val="007815CF"/>
    <w:rsid w:val="00785CAB"/>
    <w:rsid w:val="00791180"/>
    <w:rsid w:val="00792744"/>
    <w:rsid w:val="007A66AB"/>
    <w:rsid w:val="007B1FB0"/>
    <w:rsid w:val="007B234E"/>
    <w:rsid w:val="007B5822"/>
    <w:rsid w:val="007C0AE0"/>
    <w:rsid w:val="007D5636"/>
    <w:rsid w:val="007E7879"/>
    <w:rsid w:val="007F00D6"/>
    <w:rsid w:val="007F32C1"/>
    <w:rsid w:val="007F32F8"/>
    <w:rsid w:val="00804404"/>
    <w:rsid w:val="00806D06"/>
    <w:rsid w:val="00807C05"/>
    <w:rsid w:val="008114AC"/>
    <w:rsid w:val="00811683"/>
    <w:rsid w:val="008132DF"/>
    <w:rsid w:val="008137C7"/>
    <w:rsid w:val="008202B4"/>
    <w:rsid w:val="0082398B"/>
    <w:rsid w:val="00826F03"/>
    <w:rsid w:val="008277B6"/>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7E73"/>
    <w:rsid w:val="0089364D"/>
    <w:rsid w:val="008B03DB"/>
    <w:rsid w:val="008B3093"/>
    <w:rsid w:val="008B7E86"/>
    <w:rsid w:val="008C1A3B"/>
    <w:rsid w:val="008D19AA"/>
    <w:rsid w:val="008D19F3"/>
    <w:rsid w:val="008D277E"/>
    <w:rsid w:val="008D39B8"/>
    <w:rsid w:val="008D5335"/>
    <w:rsid w:val="008D5F85"/>
    <w:rsid w:val="008E0C40"/>
    <w:rsid w:val="008E3DA1"/>
    <w:rsid w:val="008E67EB"/>
    <w:rsid w:val="008F66DE"/>
    <w:rsid w:val="008F6891"/>
    <w:rsid w:val="00901432"/>
    <w:rsid w:val="00902123"/>
    <w:rsid w:val="00916782"/>
    <w:rsid w:val="0092528D"/>
    <w:rsid w:val="009267C7"/>
    <w:rsid w:val="009502B1"/>
    <w:rsid w:val="00953E36"/>
    <w:rsid w:val="00962622"/>
    <w:rsid w:val="00965372"/>
    <w:rsid w:val="00971A91"/>
    <w:rsid w:val="00972105"/>
    <w:rsid w:val="00975626"/>
    <w:rsid w:val="00991FA8"/>
    <w:rsid w:val="00994117"/>
    <w:rsid w:val="009941FD"/>
    <w:rsid w:val="009A21D5"/>
    <w:rsid w:val="009A3572"/>
    <w:rsid w:val="009A3901"/>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70174"/>
    <w:rsid w:val="00A705A2"/>
    <w:rsid w:val="00A71EF3"/>
    <w:rsid w:val="00A76CE4"/>
    <w:rsid w:val="00A87692"/>
    <w:rsid w:val="00A87B04"/>
    <w:rsid w:val="00A87D42"/>
    <w:rsid w:val="00A93593"/>
    <w:rsid w:val="00A94487"/>
    <w:rsid w:val="00A978E7"/>
    <w:rsid w:val="00AA05C6"/>
    <w:rsid w:val="00AA7C52"/>
    <w:rsid w:val="00AA7D8A"/>
    <w:rsid w:val="00AB4C74"/>
    <w:rsid w:val="00AC45F9"/>
    <w:rsid w:val="00AD7FE0"/>
    <w:rsid w:val="00AE13B1"/>
    <w:rsid w:val="00AE1B0B"/>
    <w:rsid w:val="00AF3F07"/>
    <w:rsid w:val="00AF4C92"/>
    <w:rsid w:val="00B0003E"/>
    <w:rsid w:val="00B1284F"/>
    <w:rsid w:val="00B1362C"/>
    <w:rsid w:val="00B169E1"/>
    <w:rsid w:val="00B2620A"/>
    <w:rsid w:val="00B27136"/>
    <w:rsid w:val="00B27633"/>
    <w:rsid w:val="00B3053C"/>
    <w:rsid w:val="00B31855"/>
    <w:rsid w:val="00B36BFB"/>
    <w:rsid w:val="00B36EED"/>
    <w:rsid w:val="00B46F41"/>
    <w:rsid w:val="00B47C68"/>
    <w:rsid w:val="00B5342D"/>
    <w:rsid w:val="00B5695A"/>
    <w:rsid w:val="00B61638"/>
    <w:rsid w:val="00B619F3"/>
    <w:rsid w:val="00B66F4B"/>
    <w:rsid w:val="00B67C1B"/>
    <w:rsid w:val="00B72B76"/>
    <w:rsid w:val="00B91ACC"/>
    <w:rsid w:val="00BA2547"/>
    <w:rsid w:val="00BA3B92"/>
    <w:rsid w:val="00BA7546"/>
    <w:rsid w:val="00BA77A8"/>
    <w:rsid w:val="00BB4269"/>
    <w:rsid w:val="00BB5103"/>
    <w:rsid w:val="00BB75C5"/>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7F25"/>
    <w:rsid w:val="00C61C44"/>
    <w:rsid w:val="00C747FC"/>
    <w:rsid w:val="00C83009"/>
    <w:rsid w:val="00C841D0"/>
    <w:rsid w:val="00C8421C"/>
    <w:rsid w:val="00C86BB2"/>
    <w:rsid w:val="00CA222E"/>
    <w:rsid w:val="00CA25C5"/>
    <w:rsid w:val="00CB5DFA"/>
    <w:rsid w:val="00CB6DD5"/>
    <w:rsid w:val="00CC008B"/>
    <w:rsid w:val="00CC156B"/>
    <w:rsid w:val="00CC1EEF"/>
    <w:rsid w:val="00CC7239"/>
    <w:rsid w:val="00CD2B51"/>
    <w:rsid w:val="00CE4568"/>
    <w:rsid w:val="00CF69E2"/>
    <w:rsid w:val="00CF6CE2"/>
    <w:rsid w:val="00CF7DDD"/>
    <w:rsid w:val="00D04582"/>
    <w:rsid w:val="00D04841"/>
    <w:rsid w:val="00D06C20"/>
    <w:rsid w:val="00D06F7A"/>
    <w:rsid w:val="00D31F9E"/>
    <w:rsid w:val="00D3392B"/>
    <w:rsid w:val="00D34745"/>
    <w:rsid w:val="00D534F9"/>
    <w:rsid w:val="00D55ED7"/>
    <w:rsid w:val="00D65353"/>
    <w:rsid w:val="00D65F44"/>
    <w:rsid w:val="00D67764"/>
    <w:rsid w:val="00D67869"/>
    <w:rsid w:val="00D76E1C"/>
    <w:rsid w:val="00D77548"/>
    <w:rsid w:val="00D8427B"/>
    <w:rsid w:val="00D87E03"/>
    <w:rsid w:val="00D919BF"/>
    <w:rsid w:val="00D91DBA"/>
    <w:rsid w:val="00D932B9"/>
    <w:rsid w:val="00D96BB6"/>
    <w:rsid w:val="00DA36BD"/>
    <w:rsid w:val="00DA511D"/>
    <w:rsid w:val="00DB0246"/>
    <w:rsid w:val="00DC3F67"/>
    <w:rsid w:val="00DC602D"/>
    <w:rsid w:val="00DD459C"/>
    <w:rsid w:val="00DE1921"/>
    <w:rsid w:val="00DE2987"/>
    <w:rsid w:val="00DE2BB4"/>
    <w:rsid w:val="00DE6CBF"/>
    <w:rsid w:val="00DE7E45"/>
    <w:rsid w:val="00DF0967"/>
    <w:rsid w:val="00E25479"/>
    <w:rsid w:val="00E31438"/>
    <w:rsid w:val="00E31C79"/>
    <w:rsid w:val="00E32D42"/>
    <w:rsid w:val="00E4052A"/>
    <w:rsid w:val="00E43DBE"/>
    <w:rsid w:val="00E44569"/>
    <w:rsid w:val="00E46D53"/>
    <w:rsid w:val="00E64B82"/>
    <w:rsid w:val="00E661C4"/>
    <w:rsid w:val="00E72AA6"/>
    <w:rsid w:val="00E75399"/>
    <w:rsid w:val="00E816F5"/>
    <w:rsid w:val="00E879FF"/>
    <w:rsid w:val="00E93A5D"/>
    <w:rsid w:val="00E95A0F"/>
    <w:rsid w:val="00EB07F6"/>
    <w:rsid w:val="00EE1D7F"/>
    <w:rsid w:val="00EE7A2F"/>
    <w:rsid w:val="00EF3381"/>
    <w:rsid w:val="00EF42A4"/>
    <w:rsid w:val="00EF50CA"/>
    <w:rsid w:val="00EF6ADC"/>
    <w:rsid w:val="00EF6B2A"/>
    <w:rsid w:val="00F02EAF"/>
    <w:rsid w:val="00F1550F"/>
    <w:rsid w:val="00F15940"/>
    <w:rsid w:val="00F34BEA"/>
    <w:rsid w:val="00F36652"/>
    <w:rsid w:val="00F37C88"/>
    <w:rsid w:val="00F444A8"/>
    <w:rsid w:val="00F54393"/>
    <w:rsid w:val="00F56D69"/>
    <w:rsid w:val="00F844CD"/>
    <w:rsid w:val="00F93D60"/>
    <w:rsid w:val="00F9415B"/>
    <w:rsid w:val="00F96177"/>
    <w:rsid w:val="00FA5C01"/>
    <w:rsid w:val="00FB342E"/>
    <w:rsid w:val="00FB52C5"/>
    <w:rsid w:val="00FB7BBA"/>
    <w:rsid w:val="00FC1677"/>
    <w:rsid w:val="00FD2903"/>
    <w:rsid w:val="00FD42E6"/>
    <w:rsid w:val="00FE1291"/>
    <w:rsid w:val="00FE2A8B"/>
    <w:rsid w:val="00FE482B"/>
    <w:rsid w:val="00FF56AD"/>
    <w:rsid w:val="018D5F51"/>
    <w:rsid w:val="01EB6FEC"/>
    <w:rsid w:val="01FE5EB7"/>
    <w:rsid w:val="02377743"/>
    <w:rsid w:val="03204429"/>
    <w:rsid w:val="03DB06FE"/>
    <w:rsid w:val="04B16B62"/>
    <w:rsid w:val="05215177"/>
    <w:rsid w:val="054A5192"/>
    <w:rsid w:val="05BB571F"/>
    <w:rsid w:val="062067C9"/>
    <w:rsid w:val="08497BE8"/>
    <w:rsid w:val="087A37FC"/>
    <w:rsid w:val="08961A5A"/>
    <w:rsid w:val="08A96CC2"/>
    <w:rsid w:val="08F619C1"/>
    <w:rsid w:val="095345F4"/>
    <w:rsid w:val="0A0F44CD"/>
    <w:rsid w:val="0A2F0E4D"/>
    <w:rsid w:val="0AA97A8C"/>
    <w:rsid w:val="0B047D48"/>
    <w:rsid w:val="0B0A3E6C"/>
    <w:rsid w:val="0B9C5D9B"/>
    <w:rsid w:val="0BA27F6B"/>
    <w:rsid w:val="0C490CC3"/>
    <w:rsid w:val="0C510FA4"/>
    <w:rsid w:val="0C9E5955"/>
    <w:rsid w:val="0D511F69"/>
    <w:rsid w:val="0DC52C23"/>
    <w:rsid w:val="0DC653B7"/>
    <w:rsid w:val="0DF70178"/>
    <w:rsid w:val="0E247DD8"/>
    <w:rsid w:val="0E3C3C0F"/>
    <w:rsid w:val="0E8143FC"/>
    <w:rsid w:val="0EBE477B"/>
    <w:rsid w:val="0F2862EC"/>
    <w:rsid w:val="0FE53808"/>
    <w:rsid w:val="117C0D4E"/>
    <w:rsid w:val="11B162FD"/>
    <w:rsid w:val="11BB3DB9"/>
    <w:rsid w:val="11CB222C"/>
    <w:rsid w:val="11D21B30"/>
    <w:rsid w:val="121940A5"/>
    <w:rsid w:val="123B658C"/>
    <w:rsid w:val="12756877"/>
    <w:rsid w:val="12CD4972"/>
    <w:rsid w:val="12FA2A1E"/>
    <w:rsid w:val="12FB08EA"/>
    <w:rsid w:val="142741A0"/>
    <w:rsid w:val="144B618F"/>
    <w:rsid w:val="1469754C"/>
    <w:rsid w:val="149C2737"/>
    <w:rsid w:val="14F71E23"/>
    <w:rsid w:val="14FD2EFF"/>
    <w:rsid w:val="15290B88"/>
    <w:rsid w:val="152A1DB0"/>
    <w:rsid w:val="155D4436"/>
    <w:rsid w:val="16002490"/>
    <w:rsid w:val="16457F02"/>
    <w:rsid w:val="16800450"/>
    <w:rsid w:val="169510B8"/>
    <w:rsid w:val="16DD4AF1"/>
    <w:rsid w:val="170A0D35"/>
    <w:rsid w:val="17322FFC"/>
    <w:rsid w:val="174C5C47"/>
    <w:rsid w:val="178D27B4"/>
    <w:rsid w:val="182014A2"/>
    <w:rsid w:val="18294E04"/>
    <w:rsid w:val="1892050E"/>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A72DF"/>
    <w:rsid w:val="1B70123A"/>
    <w:rsid w:val="1BA64FD1"/>
    <w:rsid w:val="1BBC5A18"/>
    <w:rsid w:val="1BC93F0E"/>
    <w:rsid w:val="1BE97487"/>
    <w:rsid w:val="1BF32374"/>
    <w:rsid w:val="1C0776AF"/>
    <w:rsid w:val="1C3E4461"/>
    <w:rsid w:val="1C6357AF"/>
    <w:rsid w:val="1CAC5E2B"/>
    <w:rsid w:val="1CC71CB2"/>
    <w:rsid w:val="1CDF5587"/>
    <w:rsid w:val="1D023468"/>
    <w:rsid w:val="1D795BF8"/>
    <w:rsid w:val="1D941E49"/>
    <w:rsid w:val="1D964AA9"/>
    <w:rsid w:val="1DD036B2"/>
    <w:rsid w:val="1DD4275F"/>
    <w:rsid w:val="1E356AFA"/>
    <w:rsid w:val="1E724912"/>
    <w:rsid w:val="1FC2672F"/>
    <w:rsid w:val="201D0297"/>
    <w:rsid w:val="204A0870"/>
    <w:rsid w:val="20C822D8"/>
    <w:rsid w:val="22086EAE"/>
    <w:rsid w:val="220D5EC8"/>
    <w:rsid w:val="223431B1"/>
    <w:rsid w:val="22C149FC"/>
    <w:rsid w:val="22F1518B"/>
    <w:rsid w:val="238C25BD"/>
    <w:rsid w:val="24A91031"/>
    <w:rsid w:val="24B96681"/>
    <w:rsid w:val="24BD22AA"/>
    <w:rsid w:val="25152CD3"/>
    <w:rsid w:val="25E72FA7"/>
    <w:rsid w:val="260555E3"/>
    <w:rsid w:val="26C402B0"/>
    <w:rsid w:val="26D15FFB"/>
    <w:rsid w:val="273147E4"/>
    <w:rsid w:val="27487015"/>
    <w:rsid w:val="27A84C42"/>
    <w:rsid w:val="28347384"/>
    <w:rsid w:val="287A4275"/>
    <w:rsid w:val="28B70DC9"/>
    <w:rsid w:val="29711978"/>
    <w:rsid w:val="298634AE"/>
    <w:rsid w:val="29A17B31"/>
    <w:rsid w:val="2A4B1A28"/>
    <w:rsid w:val="2A567387"/>
    <w:rsid w:val="2A66542F"/>
    <w:rsid w:val="2B3649F4"/>
    <w:rsid w:val="2B4675FA"/>
    <w:rsid w:val="2BB602C5"/>
    <w:rsid w:val="2BD85FC4"/>
    <w:rsid w:val="2BE937E9"/>
    <w:rsid w:val="2BF50AB4"/>
    <w:rsid w:val="2BFA0E70"/>
    <w:rsid w:val="2CDB7E63"/>
    <w:rsid w:val="2D434FF8"/>
    <w:rsid w:val="2DA05DCE"/>
    <w:rsid w:val="2EC208DF"/>
    <w:rsid w:val="2F223C18"/>
    <w:rsid w:val="2F401A95"/>
    <w:rsid w:val="2F517C68"/>
    <w:rsid w:val="2F854CC7"/>
    <w:rsid w:val="2F9C3AD1"/>
    <w:rsid w:val="2FDD2BC4"/>
    <w:rsid w:val="2FF679D7"/>
    <w:rsid w:val="30653C55"/>
    <w:rsid w:val="307C6D47"/>
    <w:rsid w:val="30B93C1E"/>
    <w:rsid w:val="30C952F8"/>
    <w:rsid w:val="3166520A"/>
    <w:rsid w:val="31A367EC"/>
    <w:rsid w:val="31CF5586"/>
    <w:rsid w:val="320C78A0"/>
    <w:rsid w:val="3232204B"/>
    <w:rsid w:val="323649A0"/>
    <w:rsid w:val="329A0B6A"/>
    <w:rsid w:val="32C642E9"/>
    <w:rsid w:val="332573C9"/>
    <w:rsid w:val="338406B7"/>
    <w:rsid w:val="34477241"/>
    <w:rsid w:val="34854AB1"/>
    <w:rsid w:val="34A63F82"/>
    <w:rsid w:val="350A7012"/>
    <w:rsid w:val="36003080"/>
    <w:rsid w:val="360161F0"/>
    <w:rsid w:val="36050641"/>
    <w:rsid w:val="36365F0F"/>
    <w:rsid w:val="372651A6"/>
    <w:rsid w:val="375515EF"/>
    <w:rsid w:val="37607611"/>
    <w:rsid w:val="37854D30"/>
    <w:rsid w:val="37A91B2F"/>
    <w:rsid w:val="381E7A1B"/>
    <w:rsid w:val="382265A3"/>
    <w:rsid w:val="386B45BC"/>
    <w:rsid w:val="38B20142"/>
    <w:rsid w:val="39006650"/>
    <w:rsid w:val="39223F50"/>
    <w:rsid w:val="39915230"/>
    <w:rsid w:val="39B533F4"/>
    <w:rsid w:val="3A166DB1"/>
    <w:rsid w:val="3A242CB1"/>
    <w:rsid w:val="3A3D41CD"/>
    <w:rsid w:val="3A637C30"/>
    <w:rsid w:val="3A6464DA"/>
    <w:rsid w:val="3A8D0AE7"/>
    <w:rsid w:val="3AB67D23"/>
    <w:rsid w:val="3B025489"/>
    <w:rsid w:val="3B35691C"/>
    <w:rsid w:val="3B507595"/>
    <w:rsid w:val="3B586E2D"/>
    <w:rsid w:val="3C691FB2"/>
    <w:rsid w:val="3D2A5959"/>
    <w:rsid w:val="3D3B3330"/>
    <w:rsid w:val="3F3E79D2"/>
    <w:rsid w:val="3F857305"/>
    <w:rsid w:val="3F9148EF"/>
    <w:rsid w:val="3F996600"/>
    <w:rsid w:val="4071483C"/>
    <w:rsid w:val="40897331"/>
    <w:rsid w:val="40A300AE"/>
    <w:rsid w:val="40DD3147"/>
    <w:rsid w:val="41450ED1"/>
    <w:rsid w:val="419803FF"/>
    <w:rsid w:val="41A75327"/>
    <w:rsid w:val="41DE07D6"/>
    <w:rsid w:val="425932C8"/>
    <w:rsid w:val="42726493"/>
    <w:rsid w:val="434F08E3"/>
    <w:rsid w:val="436469F4"/>
    <w:rsid w:val="44181054"/>
    <w:rsid w:val="44C2436C"/>
    <w:rsid w:val="44D90650"/>
    <w:rsid w:val="45225B34"/>
    <w:rsid w:val="454247FC"/>
    <w:rsid w:val="45C2437E"/>
    <w:rsid w:val="464740FB"/>
    <w:rsid w:val="46945BA3"/>
    <w:rsid w:val="469C1860"/>
    <w:rsid w:val="46EB55F0"/>
    <w:rsid w:val="47194283"/>
    <w:rsid w:val="475F6725"/>
    <w:rsid w:val="48100387"/>
    <w:rsid w:val="486C54E8"/>
    <w:rsid w:val="489F1960"/>
    <w:rsid w:val="48A26DA2"/>
    <w:rsid w:val="48A8042C"/>
    <w:rsid w:val="492F3120"/>
    <w:rsid w:val="4A646C71"/>
    <w:rsid w:val="4A974BFD"/>
    <w:rsid w:val="4AB7027F"/>
    <w:rsid w:val="4AC53274"/>
    <w:rsid w:val="4B23478E"/>
    <w:rsid w:val="4B353D3D"/>
    <w:rsid w:val="4B3D2C38"/>
    <w:rsid w:val="4B9A6CD9"/>
    <w:rsid w:val="4BCC0D7F"/>
    <w:rsid w:val="4C550775"/>
    <w:rsid w:val="4CC42E4B"/>
    <w:rsid w:val="4DA84AC9"/>
    <w:rsid w:val="4E006899"/>
    <w:rsid w:val="4E411F26"/>
    <w:rsid w:val="4E4604CC"/>
    <w:rsid w:val="4E6B607B"/>
    <w:rsid w:val="4E700033"/>
    <w:rsid w:val="4E712B50"/>
    <w:rsid w:val="4E7E67D5"/>
    <w:rsid w:val="4EE704C2"/>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B84021"/>
    <w:rsid w:val="53BF0718"/>
    <w:rsid w:val="541B571E"/>
    <w:rsid w:val="542D096E"/>
    <w:rsid w:val="56306E56"/>
    <w:rsid w:val="56444969"/>
    <w:rsid w:val="56EF513F"/>
    <w:rsid w:val="57C82F28"/>
    <w:rsid w:val="57F70DED"/>
    <w:rsid w:val="58083A83"/>
    <w:rsid w:val="581B10FA"/>
    <w:rsid w:val="582156EE"/>
    <w:rsid w:val="58427747"/>
    <w:rsid w:val="584369EC"/>
    <w:rsid w:val="58BB4CDB"/>
    <w:rsid w:val="58F96B51"/>
    <w:rsid w:val="59185B61"/>
    <w:rsid w:val="596A4423"/>
    <w:rsid w:val="59AD702D"/>
    <w:rsid w:val="59D14CC4"/>
    <w:rsid w:val="59E7688C"/>
    <w:rsid w:val="59FF73A2"/>
    <w:rsid w:val="5A945937"/>
    <w:rsid w:val="5AA340C2"/>
    <w:rsid w:val="5AB6501F"/>
    <w:rsid w:val="5AF0472E"/>
    <w:rsid w:val="5B9E1D5B"/>
    <w:rsid w:val="5BA64252"/>
    <w:rsid w:val="5BCB323C"/>
    <w:rsid w:val="5C7344DB"/>
    <w:rsid w:val="5D7F7D07"/>
    <w:rsid w:val="5DC63A4E"/>
    <w:rsid w:val="5DED53D1"/>
    <w:rsid w:val="5E063E78"/>
    <w:rsid w:val="5E1B7959"/>
    <w:rsid w:val="5EAD142E"/>
    <w:rsid w:val="5F3F3BFD"/>
    <w:rsid w:val="5F7071A8"/>
    <w:rsid w:val="5FF330F1"/>
    <w:rsid w:val="60F20BC5"/>
    <w:rsid w:val="610C5CC5"/>
    <w:rsid w:val="613053AA"/>
    <w:rsid w:val="6162645C"/>
    <w:rsid w:val="61A7112B"/>
    <w:rsid w:val="61F1030C"/>
    <w:rsid w:val="6210426E"/>
    <w:rsid w:val="625C0D00"/>
    <w:rsid w:val="62832265"/>
    <w:rsid w:val="62B00797"/>
    <w:rsid w:val="62CA41E4"/>
    <w:rsid w:val="63216D47"/>
    <w:rsid w:val="63510BEE"/>
    <w:rsid w:val="638119A8"/>
    <w:rsid w:val="642D51FD"/>
    <w:rsid w:val="642E3652"/>
    <w:rsid w:val="644E4B1D"/>
    <w:rsid w:val="64651B49"/>
    <w:rsid w:val="65107CC1"/>
    <w:rsid w:val="651D3A26"/>
    <w:rsid w:val="652C5EC9"/>
    <w:rsid w:val="65353764"/>
    <w:rsid w:val="65630C3D"/>
    <w:rsid w:val="656477F9"/>
    <w:rsid w:val="657C7424"/>
    <w:rsid w:val="65EC5F0A"/>
    <w:rsid w:val="665B546D"/>
    <w:rsid w:val="6666090E"/>
    <w:rsid w:val="66EC4D96"/>
    <w:rsid w:val="6736101B"/>
    <w:rsid w:val="675B739B"/>
    <w:rsid w:val="678C7FB4"/>
    <w:rsid w:val="67987A7C"/>
    <w:rsid w:val="68281E82"/>
    <w:rsid w:val="68370CCC"/>
    <w:rsid w:val="684D7DEF"/>
    <w:rsid w:val="69205264"/>
    <w:rsid w:val="695217DC"/>
    <w:rsid w:val="69C37032"/>
    <w:rsid w:val="6A6F13E3"/>
    <w:rsid w:val="6AF542A4"/>
    <w:rsid w:val="6B832B04"/>
    <w:rsid w:val="6BD916EE"/>
    <w:rsid w:val="6C194573"/>
    <w:rsid w:val="6CCA1A7F"/>
    <w:rsid w:val="6DD805CD"/>
    <w:rsid w:val="6E035291"/>
    <w:rsid w:val="6E1206A4"/>
    <w:rsid w:val="6E306FE2"/>
    <w:rsid w:val="6E5A3D7E"/>
    <w:rsid w:val="6EBA7775"/>
    <w:rsid w:val="6F795870"/>
    <w:rsid w:val="6F992C36"/>
    <w:rsid w:val="703933A1"/>
    <w:rsid w:val="704E185C"/>
    <w:rsid w:val="70AA0758"/>
    <w:rsid w:val="70B61502"/>
    <w:rsid w:val="70CE17C7"/>
    <w:rsid w:val="70E575E5"/>
    <w:rsid w:val="70F5166C"/>
    <w:rsid w:val="712B74F8"/>
    <w:rsid w:val="715C11EA"/>
    <w:rsid w:val="716176FB"/>
    <w:rsid w:val="719D02BE"/>
    <w:rsid w:val="71BE45D9"/>
    <w:rsid w:val="71EF5ACB"/>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F80517"/>
    <w:rsid w:val="75F95482"/>
    <w:rsid w:val="7633094E"/>
    <w:rsid w:val="763D3893"/>
    <w:rsid w:val="766248A9"/>
    <w:rsid w:val="76C57715"/>
    <w:rsid w:val="76D0751B"/>
    <w:rsid w:val="76E27EE7"/>
    <w:rsid w:val="76E6192C"/>
    <w:rsid w:val="771479EA"/>
    <w:rsid w:val="771C35A1"/>
    <w:rsid w:val="77A03719"/>
    <w:rsid w:val="78280CD8"/>
    <w:rsid w:val="78547476"/>
    <w:rsid w:val="78672DB7"/>
    <w:rsid w:val="78A4259B"/>
    <w:rsid w:val="78BD34B1"/>
    <w:rsid w:val="78C31CAF"/>
    <w:rsid w:val="78CE6E70"/>
    <w:rsid w:val="795B3486"/>
    <w:rsid w:val="79E45FD6"/>
    <w:rsid w:val="7A7B389C"/>
    <w:rsid w:val="7A7C1996"/>
    <w:rsid w:val="7AD0105B"/>
    <w:rsid w:val="7AF64073"/>
    <w:rsid w:val="7AF92581"/>
    <w:rsid w:val="7B044A15"/>
    <w:rsid w:val="7B170E00"/>
    <w:rsid w:val="7B3057E8"/>
    <w:rsid w:val="7C157916"/>
    <w:rsid w:val="7C4B2499"/>
    <w:rsid w:val="7C691A6C"/>
    <w:rsid w:val="7C721F5F"/>
    <w:rsid w:val="7C7D36C4"/>
    <w:rsid w:val="7D391D02"/>
    <w:rsid w:val="7DAD733C"/>
    <w:rsid w:val="7E431677"/>
    <w:rsid w:val="7E5572E2"/>
    <w:rsid w:val="7E871182"/>
    <w:rsid w:val="7E9D3347"/>
    <w:rsid w:val="7ED67996"/>
    <w:rsid w:val="7EFE58EB"/>
    <w:rsid w:val="7F116F65"/>
    <w:rsid w:val="7F516160"/>
    <w:rsid w:val="7FD45F92"/>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0" w:semiHidden="0" w:name="header"/>
    <w:lsdException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1">
    <w:name w:val="Default Paragraph Font"/>
    <w:unhideWhenUsed/>
    <w:uiPriority w:val="1"/>
  </w:style>
  <w:style w:type="table" w:default="1" w:styleId="13">
    <w:name w:val="Normal Table"/>
    <w:unhideWhenUsed/>
    <w:uiPriority w:val="99"/>
    <w:tblPr>
      <w:tblStyle w:val="13"/>
      <w:tblLayout w:type="fixed"/>
      <w:tblCellMar>
        <w:top w:w="0" w:type="dxa"/>
        <w:left w:w="108" w:type="dxa"/>
        <w:bottom w:w="0" w:type="dxa"/>
        <w:right w:w="108" w:type="dxa"/>
      </w:tblCellMar>
    </w:tblPr>
    <w:tcPr>
      <w:textDirection w:val="lrTb"/>
    </w:tcPr>
  </w:style>
  <w:style w:type="paragraph" w:styleId="5">
    <w:name w:val="annotation text"/>
    <w:basedOn w:val="1"/>
    <w:uiPriority w:val="0"/>
    <w:pPr>
      <w:jc w:val="left"/>
    </w:pPr>
  </w:style>
  <w:style w:type="paragraph" w:styleId="6">
    <w:name w:val="Body Text Indent"/>
    <w:basedOn w:val="1"/>
    <w:unhideWhenUsed/>
    <w:uiPriority w:val="0"/>
    <w:pPr>
      <w:ind w:firstLine="630"/>
    </w:pPr>
    <w:rPr>
      <w:kern w:val="0"/>
      <w:sz w:val="24"/>
    </w:rPr>
  </w:style>
  <w:style w:type="paragraph" w:styleId="7">
    <w:name w:val="Body Text Indent 2"/>
    <w:basedOn w:val="1"/>
    <w:unhideWhenUsed/>
    <w:uiPriority w:val="0"/>
    <w:pPr>
      <w:ind w:firstLine="600"/>
    </w:pPr>
    <w:rPr>
      <w:kern w:val="0"/>
      <w:sz w:val="24"/>
    </w:rPr>
  </w:style>
  <w:style w:type="paragraph" w:styleId="8">
    <w:name w:val="Balloon Text"/>
    <w:basedOn w:val="1"/>
    <w:semiHidden/>
    <w:uiPriority w:val="0"/>
    <w:rPr>
      <w:sz w:val="18"/>
      <w:szCs w:val="18"/>
    </w:rPr>
  </w:style>
  <w:style w:type="paragraph" w:styleId="9">
    <w:name w:val="footer"/>
    <w:basedOn w:val="1"/>
    <w:unhideWhenUsed/>
    <w:uiPriority w:val="0"/>
    <w:pPr>
      <w:tabs>
        <w:tab w:val="center" w:pos="4153"/>
        <w:tab w:val="right" w:pos="8306"/>
      </w:tabs>
      <w:snapToGrid w:val="0"/>
      <w:jc w:val="left"/>
    </w:pPr>
    <w:rPr>
      <w:sz w:val="18"/>
      <w:szCs w:val="20"/>
    </w:rPr>
  </w:style>
  <w:style w:type="paragraph" w:styleId="10">
    <w:name w:val="header"/>
    <w:basedOn w:val="1"/>
    <w:unhideWhenUsed/>
    <w:uiPriority w:val="0"/>
    <w:pPr>
      <w:pBdr>
        <w:bottom w:val="single" w:color="auto" w:sz="6" w:space="1"/>
      </w:pBdr>
      <w:tabs>
        <w:tab w:val="center" w:pos="4153"/>
        <w:tab w:val="right" w:pos="8306"/>
      </w:tabs>
      <w:snapToGrid w:val="0"/>
      <w:jc w:val="center"/>
    </w:pPr>
    <w:rPr>
      <w:sz w:val="18"/>
      <w:szCs w:val="20"/>
    </w:rPr>
  </w:style>
  <w:style w:type="character" w:styleId="12">
    <w:name w:val="annotation reference"/>
    <w:uiPriority w:val="0"/>
    <w:rPr>
      <w:sz w:val="21"/>
      <w:szCs w:val="21"/>
    </w:rPr>
  </w:style>
  <w:style w:type="table" w:styleId="14">
    <w:name w:val="Table Grid"/>
    <w:basedOn w:val="13"/>
    <w:unhideWhenUsed/>
    <w:uiPriority w:val="0"/>
    <w:pPr>
      <w:widowControl w:val="0"/>
      <w:jc w:val="both"/>
    </w:pPr>
    <w:rPr>
      <w:rFonts w:eastAsia="Times New Roman"/>
    </w:rPr>
    <w:tblPr>
      <w:tblStyle w:val="1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5">
    <w:name w:val="Revision"/>
    <w:unhideWhenUsed/>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uiPriority w:val="0"/>
    <w:pPr>
      <w:widowControl/>
    </w:pPr>
    <w:rPr>
      <w:kern w:val="0"/>
      <w:szCs w:val="21"/>
    </w:rPr>
  </w:style>
  <w:style w:type="paragraph" w:customStyle="1" w:styleId="18">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uiPriority w:val="0"/>
    <w:rPr>
      <w:rFonts w:hint="default" w:ascii="微软简仿宋" w:hAnsi="微软简仿宋" w:eastAsia="微软简仿宋" w:cs="微软简仿宋"/>
      <w:color w:val="000000"/>
      <w:sz w:val="24"/>
      <w:szCs w:val="24"/>
      <w:u w:val="none"/>
    </w:rPr>
  </w:style>
  <w:style w:type="character" w:customStyle="1" w:styleId="21">
    <w:name w:val="font01"/>
    <w:uiPriority w:val="0"/>
    <w:rPr>
      <w:rFonts w:hint="default" w:ascii="Times New Roman" w:hAnsi="Times New Roman" w:cs="Times New Roman"/>
      <w:color w:val="000000"/>
      <w:sz w:val="24"/>
      <w:szCs w:val="24"/>
      <w:u w:val="none"/>
    </w:rPr>
  </w:style>
  <w:style w:type="character" w:customStyle="1" w:styleId="22">
    <w:name w:val="font51"/>
    <w:uiPriority w:val="0"/>
    <w:rPr>
      <w:rFonts w:hint="default" w:ascii="Times New Roman" w:hAnsi="Times New Roman" w:cs="Times New Roman"/>
      <w:color w:val="000000"/>
      <w:sz w:val="24"/>
      <w:szCs w:val="24"/>
      <w:u w:val="none"/>
    </w:rPr>
  </w:style>
  <w:style w:type="character" w:customStyle="1" w:styleId="23">
    <w:name w:val="font81"/>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2854</Words>
  <Characters>16273</Characters>
  <Lines>135</Lines>
  <Paragraphs>38</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2023-01-10T09:00:00Z</dcterms:created>
  <dc:creator>ylh</dc:creator>
  <cp:keywords>新版</cp:keywords>
  <cp:lastModifiedBy>RORO</cp:lastModifiedBy>
  <dcterms:modified xsi:type="dcterms:W3CDTF">2023-07-06T10:50:37Z</dcterms:modified>
  <dc:title>华夏理财固定收益增强型半年定开理财产品2号说明书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F665AB604087427AB68C2D237E20ECB1</vt:lpwstr>
  </property>
</Properties>
</file>