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83A" w:rsidRDefault="001835D8">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【丰利兴动多策略封闭式增强型固收类】</w:t>
      </w:r>
      <w:permEnd w:id="0"/>
      <w:r>
        <w:rPr>
          <w:rFonts w:ascii="黑体" w:eastAsia="黑体" w:hAnsi="黑体"/>
          <w:b/>
          <w:bCs/>
          <w:sz w:val="28"/>
          <w:szCs w:val="28"/>
        </w:rPr>
        <w:t>理财产品</w:t>
      </w:r>
    </w:p>
    <w:p w:rsidR="0038283A" w:rsidRDefault="001835D8">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38283A" w:rsidRDefault="001835D8" w:rsidP="00973F6A">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38283A" w:rsidRDefault="001835D8">
      <w:pPr>
        <w:rPr>
          <w:rFonts w:ascii="宋体" w:hAnsi="宋体" w:cs="仿宋_GB2312"/>
          <w:b/>
          <w:kern w:val="0"/>
          <w:sz w:val="18"/>
          <w:szCs w:val="18"/>
        </w:rPr>
      </w:pPr>
      <w:r>
        <w:rPr>
          <w:rFonts w:ascii="宋体" w:hAnsi="宋体" w:cs="仿宋_GB2312" w:hint="eastAsia"/>
          <w:b/>
          <w:kern w:val="0"/>
          <w:sz w:val="18"/>
          <w:szCs w:val="18"/>
        </w:rPr>
        <w:t>尊敬的投资者：</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38283A" w:rsidRDefault="001835D8">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sidR="005B64C1" w:rsidRPr="005B64C1">
        <w:rPr>
          <w:rFonts w:ascii="宋体" w:hAnsi="宋体" w:cs="仿宋_GB2312" w:hint="eastAsia"/>
          <w:kern w:val="0"/>
          <w:sz w:val="18"/>
          <w:szCs w:val="18"/>
        </w:rPr>
        <w:t>兴银理财丰利兴动多策略封闭式34号增强型固收类理财产品</w:t>
      </w:r>
      <w:r>
        <w:rPr>
          <w:rFonts w:ascii="宋体" w:hAnsi="宋体" w:cs="仿宋_GB2312" w:hint="eastAsia"/>
          <w:kern w:val="0"/>
          <w:sz w:val="18"/>
          <w:szCs w:val="18"/>
        </w:rPr>
        <w:t>】</w:t>
      </w:r>
      <w:permEnd w:id="1"/>
      <w:r>
        <w:rPr>
          <w:rFonts w:ascii="宋体" w:hAnsi="宋体" w:cs="仿宋_GB2312" w:hint="eastAsia"/>
          <w:kern w:val="0"/>
          <w:sz w:val="18"/>
          <w:szCs w:val="18"/>
        </w:rPr>
        <w:t>。</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p>
    <w:p w:rsidR="005B64C1" w:rsidRPr="005B64C1" w:rsidRDefault="00A678E8" w:rsidP="005B64C1">
      <w:pPr>
        <w:ind w:firstLineChars="249" w:firstLine="448"/>
        <w:rPr>
          <w:rFonts w:ascii="宋体" w:hAnsi="宋体" w:cs="仿宋_GB2312"/>
          <w:kern w:val="0"/>
          <w:sz w:val="18"/>
          <w:szCs w:val="18"/>
        </w:rPr>
      </w:pPr>
      <w:r w:rsidRPr="00A678E8">
        <w:rPr>
          <w:rFonts w:ascii="宋体" w:hAnsi="宋体" w:cs="仿宋_GB2312" w:hint="eastAsia"/>
          <w:kern w:val="0"/>
          <w:sz w:val="18"/>
          <w:szCs w:val="18"/>
        </w:rPr>
        <w:t>【</w:t>
      </w:r>
      <w:r w:rsidR="005B64C1" w:rsidRPr="005B64C1">
        <w:rPr>
          <w:rFonts w:ascii="宋体" w:hAnsi="宋体" w:cs="仿宋_GB2312" w:hint="eastAsia"/>
          <w:kern w:val="0"/>
          <w:sz w:val="18"/>
          <w:szCs w:val="18"/>
        </w:rPr>
        <w:t>丰利兴动多策略封闭式34A】（适用【A】类份额）</w:t>
      </w:r>
    </w:p>
    <w:p w:rsidR="0038283A" w:rsidRDefault="005B64C1">
      <w:pPr>
        <w:ind w:firstLineChars="249" w:firstLine="448"/>
        <w:rPr>
          <w:rFonts w:ascii="宋体" w:hAnsi="宋体" w:cs="仿宋_GB2312"/>
          <w:kern w:val="0"/>
          <w:sz w:val="18"/>
          <w:szCs w:val="18"/>
        </w:rPr>
      </w:pPr>
      <w:r w:rsidRPr="005B64C1">
        <w:rPr>
          <w:rFonts w:ascii="宋体" w:hAnsi="宋体" w:cs="仿宋_GB2312" w:hint="eastAsia"/>
          <w:kern w:val="0"/>
          <w:sz w:val="18"/>
          <w:szCs w:val="18"/>
        </w:rPr>
        <w:t>【丰利兴动多策略封闭式34号（招行私行尊享）】（适用【B</w:t>
      </w:r>
      <w:r>
        <w:rPr>
          <w:rFonts w:ascii="宋体" w:hAnsi="宋体" w:cs="仿宋_GB2312" w:hint="eastAsia"/>
          <w:kern w:val="0"/>
          <w:sz w:val="18"/>
          <w:szCs w:val="18"/>
        </w:rPr>
        <w:t>】类份额</w:t>
      </w:r>
      <w:r w:rsidR="00A678E8">
        <w:rPr>
          <w:rFonts w:ascii="宋体" w:hAnsi="宋体" w:cs="仿宋_GB2312" w:hint="eastAsia"/>
          <w:kern w:val="0"/>
          <w:sz w:val="18"/>
          <w:szCs w:val="18"/>
        </w:rPr>
        <w:t>）</w:t>
      </w:r>
      <w:permEnd w:id="2"/>
    </w:p>
    <w:p w:rsidR="0038283A" w:rsidRDefault="001835D8">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3" w:edGrp="everyone"/>
      <w:r>
        <w:rPr>
          <w:rFonts w:ascii="宋体" w:hAnsi="宋体" w:cs="仿宋_GB2312" w:hint="eastAsia"/>
          <w:kern w:val="0"/>
          <w:sz w:val="18"/>
          <w:szCs w:val="18"/>
        </w:rPr>
        <w:t>【</w:t>
      </w:r>
      <w:r w:rsidR="005B64C1" w:rsidRPr="005B64C1">
        <w:rPr>
          <w:rFonts w:ascii="宋体" w:hAnsi="宋体" w:cs="仿宋_GB2312"/>
          <w:kern w:val="0"/>
          <w:sz w:val="18"/>
          <w:szCs w:val="18"/>
        </w:rPr>
        <w:t>Z7002023000281</w:t>
      </w:r>
      <w:bookmarkStart w:id="0" w:name="_GoBack"/>
      <w:bookmarkEnd w:id="0"/>
      <w:r>
        <w:rPr>
          <w:rFonts w:ascii="宋体" w:hAnsi="宋体" w:cs="仿宋_GB2312" w:hint="eastAsia"/>
          <w:kern w:val="0"/>
          <w:sz w:val="18"/>
          <w:szCs w:val="18"/>
        </w:rPr>
        <w:t>】</w:t>
      </w:r>
      <w:permEnd w:id="3"/>
      <w:r>
        <w:rPr>
          <w:rFonts w:ascii="宋体" w:hAnsi="宋体" w:cs="仿宋_GB2312" w:hint="eastAsia"/>
          <w:kern w:val="0"/>
          <w:sz w:val="18"/>
          <w:szCs w:val="18"/>
        </w:rPr>
        <w:t>。</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38283A" w:rsidRDefault="001835D8">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38283A" w:rsidRDefault="001835D8">
      <w:pPr>
        <w:ind w:firstLineChars="249" w:firstLine="448"/>
        <w:rPr>
          <w:rFonts w:ascii="宋体" w:hAnsi="宋体" w:cs="仿宋_GB2312"/>
          <w:kern w:val="0"/>
          <w:sz w:val="18"/>
          <w:szCs w:val="18"/>
        </w:rPr>
      </w:pPr>
      <w:permStart w:id="5" w:edGrp="everyone"/>
      <w:r>
        <w:rPr>
          <w:rFonts w:ascii="宋体" w:hAnsi="宋体" w:cs="仿宋_GB2312" w:hint="eastAsia"/>
          <w:kern w:val="0"/>
          <w:sz w:val="18"/>
          <w:szCs w:val="18"/>
        </w:rPr>
        <w:t>【1</w:t>
      </w:r>
      <w:r>
        <w:rPr>
          <w:rFonts w:ascii="宋体" w:hAnsi="宋体" w:cs="仿宋_GB2312"/>
          <w:kern w:val="0"/>
          <w:sz w:val="18"/>
          <w:szCs w:val="18"/>
        </w:rPr>
        <w:t>8个月</w:t>
      </w:r>
      <w:r>
        <w:rPr>
          <w:rFonts w:ascii="宋体" w:hAnsi="宋体" w:cs="仿宋_GB2312" w:hint="eastAsia"/>
          <w:kern w:val="0"/>
          <w:sz w:val="18"/>
          <w:szCs w:val="18"/>
        </w:rPr>
        <w:t>】</w:t>
      </w:r>
    </w:p>
    <w:p w:rsidR="0038283A" w:rsidRDefault="001835D8">
      <w:pPr>
        <w:ind w:firstLineChars="249" w:firstLine="450"/>
        <w:rPr>
          <w:rFonts w:ascii="宋体" w:hAnsi="宋体" w:cs="仿宋_GB2312"/>
          <w:kern w:val="0"/>
          <w:sz w:val="18"/>
          <w:szCs w:val="18"/>
        </w:rPr>
      </w:pPr>
      <w:r>
        <w:rPr>
          <w:rFonts w:asciiTheme="majorEastAsia" w:eastAsiaTheme="majorEastAsia" w:hAnsiTheme="majorEastAsia"/>
          <w:b/>
          <w:bCs/>
          <w:sz w:val="18"/>
          <w:szCs w:val="18"/>
        </w:rPr>
        <w:t>注</w:t>
      </w:r>
      <w:r>
        <w:rPr>
          <w:rFonts w:asciiTheme="majorEastAsia" w:eastAsiaTheme="majorEastAsia" w:hAnsiTheme="majorEastAsia" w:hint="eastAsia"/>
          <w:b/>
          <w:bCs/>
          <w:sz w:val="18"/>
          <w:szCs w:val="18"/>
        </w:rPr>
        <w:t>：本产品设置敲出机制，一旦触发敲出事件，则产品可能提前终止</w:t>
      </w:r>
      <w:permEnd w:id="5"/>
      <w:r>
        <w:rPr>
          <w:rFonts w:ascii="宋体" w:hAnsi="宋体" w:cs="仿宋_GB2312"/>
          <w:kern w:val="0"/>
          <w:sz w:val="18"/>
          <w:szCs w:val="18"/>
        </w:rPr>
        <w:t>。</w:t>
      </w:r>
    </w:p>
    <w:p w:rsidR="0038283A" w:rsidRDefault="001835D8">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38283A" w:rsidRDefault="001835D8">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38283A" w:rsidRDefault="001835D8">
      <w:pPr>
        <w:ind w:firstLineChars="249" w:firstLine="448"/>
        <w:rPr>
          <w:rFonts w:asciiTheme="majorEastAsia" w:eastAsiaTheme="majorEastAsia" w:hAnsiTheme="majorEastAsia"/>
          <w:bCs/>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w:t>
      </w:r>
      <w:r>
        <w:rPr>
          <w:rFonts w:ascii="宋体" w:hAnsi="宋体" w:cs="仿宋_GB2312"/>
          <w:kern w:val="0"/>
          <w:sz w:val="18"/>
          <w:szCs w:val="18"/>
        </w:rPr>
        <w:t>2】</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w:t>
      </w:r>
      <w:r w:rsidR="00973F6A">
        <w:rPr>
          <w:rFonts w:ascii="宋体" w:hAnsi="宋体" w:cs="仿宋_GB2312" w:hint="eastAsia"/>
          <w:kern w:val="0"/>
          <w:sz w:val="18"/>
          <w:szCs w:val="18"/>
        </w:rPr>
        <w:t>3</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38283A" w:rsidRDefault="001835D8">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38283A" w:rsidRDefault="001835D8">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sidR="00973F6A">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38283A" w:rsidRDefault="001835D8">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38283A" w:rsidRDefault="001835D8">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8283A" w:rsidRDefault="001835D8">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38283A" w:rsidRDefault="001835D8">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38283A" w:rsidRDefault="001835D8">
      <w:pPr>
        <w:spacing w:line="360" w:lineRule="auto"/>
        <w:ind w:firstLineChars="248" w:firstLine="446"/>
        <w:rPr>
          <w:rFonts w:ascii="宋体" w:hAnsi="宋体"/>
          <w:bCs/>
          <w:kern w:val="0"/>
          <w:sz w:val="18"/>
          <w:szCs w:val="18"/>
        </w:rPr>
      </w:pPr>
      <w:permStart w:id="10" w:edGrp="everyone"/>
      <w:r>
        <w:rPr>
          <w:rFonts w:ascii="宋体" w:hAnsi="宋体"/>
          <w:bCs/>
          <w:kern w:val="0"/>
          <w:sz w:val="18"/>
          <w:szCs w:val="18"/>
        </w:rPr>
        <w:lastRenderedPageBreak/>
        <w:t>1.拟投资市场和资产的风险：</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1）投资</w:t>
      </w:r>
      <w:r>
        <w:rPr>
          <w:rFonts w:ascii="宋体" w:hAnsi="宋体" w:hint="eastAsia"/>
          <w:kern w:val="0"/>
          <w:sz w:val="18"/>
          <w:szCs w:val="18"/>
        </w:rPr>
        <w:t>债权</w:t>
      </w:r>
      <w:r>
        <w:rPr>
          <w:rFonts w:ascii="宋体" w:hAnsi="宋体"/>
          <w:kern w:val="0"/>
          <w:sz w:val="18"/>
          <w:szCs w:val="18"/>
        </w:rPr>
        <w:t>类资产的风险</w:t>
      </w:r>
    </w:p>
    <w:p w:rsidR="0038283A" w:rsidRDefault="001835D8">
      <w:pPr>
        <w:spacing w:line="360" w:lineRule="auto"/>
        <w:ind w:firstLineChars="248" w:firstLine="446"/>
        <w:rPr>
          <w:rFonts w:ascii="宋体" w:hAnsi="宋体"/>
          <w:kern w:val="0"/>
          <w:sz w:val="18"/>
          <w:szCs w:val="18"/>
        </w:rPr>
      </w:pPr>
      <w:r>
        <w:rPr>
          <w:rFonts w:ascii="宋体" w:hAnsi="宋体"/>
          <w:kern w:val="0"/>
          <w:sz w:val="18"/>
          <w:szCs w:val="18"/>
        </w:rPr>
        <w:t>1）投资标准化债权类资产的风险</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2）投资商品</w:t>
      </w:r>
      <w:r>
        <w:rPr>
          <w:rFonts w:ascii="宋体" w:hAnsi="宋体" w:hint="eastAsia"/>
          <w:kern w:val="0"/>
          <w:sz w:val="18"/>
          <w:szCs w:val="18"/>
        </w:rPr>
        <w:t>及</w:t>
      </w:r>
      <w:r>
        <w:rPr>
          <w:rFonts w:ascii="宋体" w:hAnsi="宋体"/>
          <w:kern w:val="0"/>
          <w:sz w:val="18"/>
          <w:szCs w:val="18"/>
        </w:rPr>
        <w:t xml:space="preserve">金融衍生品类资产的风险 </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38283A" w:rsidRDefault="001835D8">
      <w:pPr>
        <w:ind w:firstLineChars="249" w:firstLine="448"/>
        <w:rPr>
          <w:rFonts w:ascii="宋体" w:hAnsi="宋体"/>
          <w:bCs/>
          <w:sz w:val="18"/>
          <w:szCs w:val="18"/>
        </w:rPr>
      </w:pPr>
      <w:r>
        <w:rPr>
          <w:rFonts w:ascii="宋体" w:hAnsi="宋体" w:hint="eastAsia"/>
          <w:bCs/>
          <w:sz w:val="18"/>
          <w:szCs w:val="18"/>
        </w:rPr>
        <w:t>2</w:t>
      </w:r>
      <w:r>
        <w:rPr>
          <w:rFonts w:ascii="宋体" w:hAnsi="宋体"/>
          <w:bCs/>
          <w:sz w:val="18"/>
          <w:szCs w:val="18"/>
        </w:rPr>
        <w:t>.政策风险</w:t>
      </w:r>
    </w:p>
    <w:p w:rsidR="0038283A" w:rsidRDefault="001835D8">
      <w:pPr>
        <w:ind w:firstLineChars="249" w:firstLine="448"/>
        <w:rPr>
          <w:rFonts w:ascii="宋体" w:hAnsi="宋体"/>
          <w:bCs/>
          <w:sz w:val="18"/>
          <w:szCs w:val="18"/>
        </w:rPr>
      </w:pPr>
      <w:r>
        <w:rPr>
          <w:rFonts w:ascii="宋体" w:hAnsi="宋体" w:hint="eastAsia"/>
          <w:bCs/>
          <w:sz w:val="18"/>
          <w:szCs w:val="18"/>
        </w:rPr>
        <w:t>场外衍生品交易相对属于创新业务，金融监管部门可视业务的开展情况对相关政策和规定进行调整，引起场外衍生品交易业务相关规定、运作方式变化或者证券市场波动，从而给投资者带来风险。</w:t>
      </w:r>
    </w:p>
    <w:p w:rsidR="0038283A" w:rsidRDefault="001835D8">
      <w:pPr>
        <w:ind w:firstLineChars="249" w:firstLine="448"/>
        <w:rPr>
          <w:rFonts w:ascii="宋体" w:hAnsi="宋体"/>
          <w:bCs/>
          <w:sz w:val="18"/>
          <w:szCs w:val="18"/>
        </w:rPr>
      </w:pPr>
      <w:r>
        <w:rPr>
          <w:rFonts w:ascii="宋体" w:hAnsi="宋体" w:hint="eastAsia"/>
          <w:bCs/>
          <w:sz w:val="18"/>
          <w:szCs w:val="18"/>
        </w:rPr>
        <w:t>3</w:t>
      </w:r>
      <w:r>
        <w:rPr>
          <w:rFonts w:ascii="宋体" w:hAnsi="宋体"/>
          <w:bCs/>
          <w:sz w:val="18"/>
          <w:szCs w:val="18"/>
        </w:rPr>
        <w:t>.流动性风险</w:t>
      </w:r>
    </w:p>
    <w:p w:rsidR="0038283A" w:rsidRDefault="001835D8">
      <w:pPr>
        <w:ind w:firstLineChars="249" w:firstLine="448"/>
        <w:rPr>
          <w:rFonts w:ascii="宋体" w:hAnsi="宋体"/>
          <w:bCs/>
          <w:sz w:val="18"/>
          <w:szCs w:val="18"/>
        </w:rPr>
      </w:pPr>
      <w:r>
        <w:rPr>
          <w:rFonts w:ascii="宋体" w:hAnsi="宋体" w:hint="eastAsia"/>
          <w:bCs/>
          <w:sz w:val="18"/>
          <w:szCs w:val="18"/>
        </w:rPr>
        <w:t>理财产品资金头寸管理不善而出现资金不足导致交易资金交收失败的风险，或由于场外衍生品交易结构的约定而在到期日前无法提前终止交易的风险，或者场外衍生品交易不能以合理的价格及时对冲合约或将合约平仓而可能导致理财产品损失的风险。</w:t>
      </w:r>
    </w:p>
    <w:p w:rsidR="0038283A" w:rsidRDefault="001835D8">
      <w:pPr>
        <w:ind w:firstLineChars="249" w:firstLine="448"/>
        <w:rPr>
          <w:rFonts w:ascii="宋体" w:hAnsi="宋体"/>
          <w:bCs/>
          <w:sz w:val="18"/>
          <w:szCs w:val="18"/>
        </w:rPr>
      </w:pPr>
      <w:r>
        <w:rPr>
          <w:rFonts w:ascii="宋体" w:hAnsi="宋体" w:hint="eastAsia"/>
          <w:bCs/>
          <w:sz w:val="18"/>
          <w:szCs w:val="18"/>
        </w:rPr>
        <w:t>4</w:t>
      </w:r>
      <w:r>
        <w:rPr>
          <w:rFonts w:ascii="宋体" w:hAnsi="宋体"/>
          <w:bCs/>
          <w:sz w:val="18"/>
          <w:szCs w:val="18"/>
        </w:rPr>
        <w:t>.场外衍生品交易被提前终止的风险</w:t>
      </w:r>
    </w:p>
    <w:p w:rsidR="0038283A" w:rsidRDefault="001835D8">
      <w:pPr>
        <w:ind w:firstLineChars="249" w:firstLine="448"/>
        <w:rPr>
          <w:rFonts w:ascii="宋体" w:hAnsi="宋体"/>
          <w:bCs/>
          <w:sz w:val="18"/>
          <w:szCs w:val="18"/>
        </w:rPr>
      </w:pPr>
      <w:r>
        <w:rPr>
          <w:rFonts w:ascii="宋体" w:hAnsi="宋体" w:hint="eastAsia"/>
          <w:bCs/>
          <w:sz w:val="18"/>
          <w:szCs w:val="18"/>
        </w:rPr>
        <w:t>产品管理人（代表理财产品）在从事场外衍生品交易期间，如果出现场外衍生品交易协议所约定的提前终止情形，包括但不限于：因产品管理人原因导致其信用状况严重恶化、出现丧失民事行为能力、破产、解散；因产品原因导致产品运作出现重大不利变化；触发“对冲中断"事件；出现“对冲成本增加”事件;出现“异常事件”等，产品管理人（代表理财产品）将面临被交易对手提前终止场外衍生品交易的风险，并因此遭受经济损失。若产品管理人（代表理财产品）与交易对手签订的场外衍生品交易协议的相关约定赋予了交易对手在其他情况下单方提前终止交易的权利的，产品管理人（代表理财产品）将面临据此随时被交易对手提前终止场外衍生品交易的风险，并因此遭受经济损失。</w:t>
      </w:r>
    </w:p>
    <w:p w:rsidR="0038283A" w:rsidRDefault="001835D8">
      <w:pPr>
        <w:ind w:firstLineChars="249" w:firstLine="448"/>
        <w:rPr>
          <w:rFonts w:ascii="宋体" w:hAnsi="宋体"/>
          <w:bCs/>
          <w:sz w:val="18"/>
          <w:szCs w:val="18"/>
        </w:rPr>
      </w:pPr>
      <w:r>
        <w:rPr>
          <w:rFonts w:ascii="宋体" w:hAnsi="宋体" w:hint="eastAsia"/>
          <w:bCs/>
          <w:sz w:val="18"/>
          <w:szCs w:val="18"/>
        </w:rPr>
        <w:t>5</w:t>
      </w:r>
      <w:r>
        <w:rPr>
          <w:rFonts w:ascii="宋体" w:hAnsi="宋体"/>
          <w:bCs/>
          <w:sz w:val="18"/>
          <w:szCs w:val="18"/>
        </w:rPr>
        <w:t>.指数波动风险</w:t>
      </w:r>
    </w:p>
    <w:p w:rsidR="0038283A" w:rsidRDefault="001835D8">
      <w:pPr>
        <w:ind w:firstLineChars="249" w:firstLine="448"/>
        <w:rPr>
          <w:rFonts w:ascii="宋体" w:hAnsi="宋体"/>
          <w:bCs/>
          <w:sz w:val="18"/>
          <w:szCs w:val="18"/>
        </w:rPr>
      </w:pPr>
      <w:r>
        <w:rPr>
          <w:rFonts w:ascii="宋体" w:hAnsi="宋体" w:hint="eastAsia"/>
          <w:bCs/>
          <w:sz w:val="18"/>
          <w:szCs w:val="18"/>
        </w:rPr>
        <w:t xml:space="preserve">本理财产品投资于挂钩指数的场外期权工具，挂钩指数的波动会直接影响本理财产品的收益，当指数往下波动时，会降低本理财产品的投资收益，从而给投资者带来风险。投资者需对标的指数有自身判断并能承担其价格波动带来的风险。 </w:t>
      </w:r>
    </w:p>
    <w:p w:rsidR="0038283A" w:rsidRDefault="001835D8">
      <w:pPr>
        <w:ind w:firstLineChars="249" w:firstLine="448"/>
        <w:rPr>
          <w:rFonts w:ascii="宋体" w:hAnsi="宋体"/>
          <w:bCs/>
          <w:sz w:val="18"/>
          <w:szCs w:val="18"/>
        </w:rPr>
      </w:pPr>
      <w:r>
        <w:rPr>
          <w:rFonts w:ascii="宋体" w:hAnsi="宋体" w:hint="eastAsia"/>
          <w:bCs/>
          <w:sz w:val="18"/>
          <w:szCs w:val="18"/>
        </w:rPr>
        <w:t>6</w:t>
      </w:r>
      <w:r>
        <w:rPr>
          <w:rFonts w:ascii="宋体" w:hAnsi="宋体"/>
          <w:bCs/>
          <w:sz w:val="18"/>
          <w:szCs w:val="18"/>
        </w:rPr>
        <w:t>.对冲风险</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1）若交易所或标的资产发布机构在到期日（含）或之前对标的资产的计算原则、公式与方法进行</w:t>
      </w:r>
      <w:r>
        <w:rPr>
          <w:rFonts w:ascii="宋体" w:hAnsi="宋体" w:cs="仿宋_GB2312" w:hint="eastAsia"/>
          <w:kern w:val="0"/>
          <w:sz w:val="18"/>
          <w:szCs w:val="18"/>
        </w:rPr>
        <w:t>了重大修改或变动，或以任何其他方式对该标的资产进行了非常规的重大修改或变动，场外衍生品交易的相关变量（包括但不限于到期日、期初价格、行权结算价格、行权价格、名义数量及名义本金额等）会进行调整，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2）若交易所或标的资产发布机构不再公布标的资产的价格，场外衍生品交易本产品可能会提前终</w:t>
      </w:r>
      <w:r>
        <w:rPr>
          <w:rFonts w:ascii="宋体" w:hAnsi="宋体" w:cs="仿宋_GB2312"/>
          <w:kern w:val="0"/>
          <w:sz w:val="18"/>
          <w:szCs w:val="18"/>
        </w:rPr>
        <w:lastRenderedPageBreak/>
        <w:t>止，提前终止时的收益由计算机构依据诚实信用及商业合理原则计算</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3）若交易所或标的资产发布机构未在到期日公布标的资产价格，但同时未明确交易所或标的资产发布机构将不再公布标的资产价格，则场外衍生品交易的到期日顺延至交易所或标的资产发布机构公布标的资产价格的第一个交易日。若自场外衍生品交易到期日起5个交易日内，交易所或标的资产发布机构一直未公布标的资产的价格，则由计算机构</w:t>
      </w:r>
      <w:r>
        <w:rPr>
          <w:rFonts w:ascii="宋体" w:hAnsi="宋体" w:cs="仿宋_GB2312" w:hint="eastAsia"/>
          <w:kern w:val="0"/>
          <w:sz w:val="18"/>
          <w:szCs w:val="18"/>
        </w:rPr>
        <w:t>依据诚实信用及商业合理原则提前终止本交易并依据诚实信用及商业合理原则计算收益，从而可能导致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4）出现“对冲中断”事件，即标的资产在任一日发生闭市、提早闭市、标的停牌、交易中断、交易所中断等影响观察标的资产收盘价格、对冲、交易等的事件，其中：“交易中断”指标的资产被标的资产所属交易所采取暂停或限制交易的措施，包括但不限于停牌、盘中临时停牌、暂缓进入交收或技术性停牌等措施，“交易所中断”指标的资产所属交易所发生实质性中断或影响全体市场参与者正常开展交易活动或获取市值的事件，包括涉及标的资产暂缓进入交收、技术性停牌及临时停市等事件，但提早闭市除外，“提早闭市”指标的资产所属交易所在交易所交易日于预定收市时间之前闭市。触发“对冲中断"事件，可能导致场外衍生品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00" w:firstLine="360"/>
        <w:rPr>
          <w:rFonts w:ascii="宋体" w:hAnsi="宋体"/>
          <w:sz w:val="18"/>
          <w:szCs w:val="18"/>
        </w:rPr>
      </w:pPr>
      <w:r>
        <w:rPr>
          <w:rFonts w:ascii="宋体" w:hAnsi="宋体" w:cs="仿宋_GB2312" w:hint="eastAsia"/>
          <w:kern w:val="0"/>
          <w:sz w:val="18"/>
          <w:szCs w:val="18"/>
        </w:rPr>
        <w:t>（</w:t>
      </w:r>
      <w:r>
        <w:rPr>
          <w:rFonts w:ascii="宋体" w:hAnsi="宋体" w:cs="仿宋_GB2312"/>
          <w:kern w:val="0"/>
          <w:sz w:val="18"/>
          <w:szCs w:val="18"/>
        </w:rPr>
        <w:t xml:space="preserve">5）出现“对冲成本增加”事件， </w:t>
      </w:r>
      <w:r>
        <w:rPr>
          <w:rFonts w:ascii="宋体" w:hAnsi="宋体" w:cs="仿宋_GB2312" w:hint="eastAsia"/>
          <w:kern w:val="0"/>
          <w:sz w:val="18"/>
          <w:szCs w:val="18"/>
        </w:rPr>
        <w:t>即对冲方会遭受税收（与交易达成日的情况相比）、成本或费用（经纪费用除外）的增加，以</w:t>
      </w:r>
      <w:r>
        <w:rPr>
          <w:rFonts w:ascii="宋体" w:hAnsi="宋体" w:cs="仿宋_GB2312"/>
          <w:kern w:val="0"/>
          <w:sz w:val="18"/>
          <w:szCs w:val="18"/>
        </w:rPr>
        <w:t xml:space="preserve">(A)获取、建立、重建、替代、维持、平仓或出售其认为对于对冲因订立本交易并履行相关义务而产生的标的资产价格等风险而言必要的交易或资产（包括就单个标的资产对冲或组合对冲方式的对冲交易或资产），或(B) </w:t>
      </w:r>
      <w:r>
        <w:rPr>
          <w:rFonts w:ascii="宋体" w:hAnsi="宋体" w:cs="仿宋_GB2312" w:hint="eastAsia"/>
          <w:kern w:val="0"/>
          <w:sz w:val="18"/>
          <w:szCs w:val="18"/>
        </w:rPr>
        <w:t>变现、收回或汇出任何该等交易或资产（包括就单个标的资产对冲或组合对冲方式的对冲交易或资产）的收益，只要任何此等增加的金额并非仅因为对冲方资信状况的恶化所致，可能会导致场外衍生品交易要素调整（包括但不限于期初价格、到期日等），或场外衍生品</w:t>
      </w:r>
      <w:r>
        <w:rPr>
          <w:rFonts w:ascii="宋体" w:hAnsi="宋体" w:cs="仿宋_GB2312"/>
          <w:kern w:val="0"/>
          <w:sz w:val="18"/>
          <w:szCs w:val="18"/>
        </w:rPr>
        <w:t>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ermEnd w:id="10"/>
    </w:p>
    <w:p w:rsidR="0038283A" w:rsidRDefault="001835D8">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8283A" w:rsidRDefault="001835D8">
      <w:pPr>
        <w:spacing w:line="360" w:lineRule="auto"/>
        <w:ind w:firstLineChars="200" w:firstLine="361"/>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rsidR="0038283A" w:rsidRDefault="001835D8">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8283A" w:rsidRDefault="001835D8">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8283A" w:rsidRDefault="001835D8">
      <w:pPr>
        <w:pStyle w:val="aa"/>
        <w:ind w:firstLine="361"/>
        <w:rPr>
          <w:rFonts w:ascii="宋体" w:hAnsi="宋体" w:cs="仿宋_GB2312"/>
          <w:kern w:val="0"/>
          <w:sz w:val="18"/>
          <w:szCs w:val="18"/>
        </w:rPr>
      </w:pPr>
      <w:r>
        <w:rPr>
          <w:rFonts w:ascii="宋体" w:hAnsi="宋体" w:hint="eastAsia"/>
          <w:b/>
          <w:bCs/>
          <w:sz w:val="18"/>
          <w:szCs w:val="18"/>
        </w:rPr>
        <w:t>3.市场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8283A" w:rsidRDefault="001835D8">
      <w:pPr>
        <w:pStyle w:val="aa"/>
        <w:ind w:firstLineChars="0" w:firstLine="426"/>
        <w:rPr>
          <w:rFonts w:ascii="宋体" w:hAnsi="宋体" w:cs="仿宋_GB2312"/>
          <w:bCs/>
          <w:kern w:val="0"/>
          <w:sz w:val="18"/>
          <w:szCs w:val="18"/>
        </w:rPr>
      </w:pPr>
      <w:r>
        <w:rPr>
          <w:rFonts w:ascii="宋体" w:hAnsi="宋体" w:cs="仿宋_GB2312" w:hint="eastAsia"/>
          <w:b/>
          <w:kern w:val="0"/>
          <w:sz w:val="18"/>
          <w:szCs w:val="18"/>
        </w:rPr>
        <w:t>4.流动性风险：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8283A" w:rsidRDefault="001835D8">
      <w:pPr>
        <w:pStyle w:val="aa"/>
        <w:ind w:firstLineChars="0" w:firstLine="426"/>
        <w:rPr>
          <w:rFonts w:ascii="宋体" w:hAnsi="宋体" w:cs="仿宋_GB2312"/>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38283A" w:rsidRDefault="001835D8">
      <w:pPr>
        <w:pStyle w:val="aa"/>
        <w:ind w:firstLineChars="0" w:firstLine="426"/>
        <w:rPr>
          <w:rFonts w:ascii="宋体" w:hAnsi="宋体" w:cs="仿宋_GB2312"/>
          <w:kern w:val="0"/>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38283A" w:rsidRDefault="001835D8">
      <w:pPr>
        <w:pStyle w:val="aa"/>
        <w:ind w:firstLineChars="0" w:firstLine="426"/>
        <w:rPr>
          <w:rFonts w:ascii="宋体" w:hAnsi="宋体" w:cs="仿宋_GB2312"/>
          <w:kern w:val="0"/>
          <w:sz w:val="18"/>
          <w:szCs w:val="18"/>
        </w:rPr>
      </w:pPr>
      <w:r>
        <w:rPr>
          <w:rFonts w:ascii="宋体" w:hAnsi="宋体" w:cs="仿宋_GB2312" w:hint="eastAsia"/>
          <w:b/>
          <w:kern w:val="0"/>
          <w:sz w:val="18"/>
          <w:szCs w:val="18"/>
        </w:rPr>
        <w:lastRenderedPageBreak/>
        <w:t>7.</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38283A" w:rsidRDefault="001835D8">
      <w:pPr>
        <w:pStyle w:val="aa"/>
        <w:ind w:firstLineChars="0" w:firstLine="426"/>
        <w:rPr>
          <w:rFonts w:ascii="宋体" w:hAnsi="宋体" w:cs="仿宋_GB2312"/>
          <w:kern w:val="0"/>
          <w:sz w:val="18"/>
          <w:szCs w:val="18"/>
        </w:rPr>
      </w:pPr>
      <w:r>
        <w:rPr>
          <w:rFonts w:ascii="宋体" w:hAnsi="宋体" w:hint="eastAsia"/>
          <w:b/>
          <w:bCs/>
          <w:sz w:val="18"/>
          <w:szCs w:val="18"/>
        </w:rPr>
        <w:t>8.</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38283A" w:rsidRDefault="001835D8">
      <w:pPr>
        <w:ind w:firstLineChars="249" w:firstLine="450"/>
        <w:rPr>
          <w:rFonts w:ascii="宋体" w:hAnsi="宋体"/>
          <w:bCs/>
          <w:sz w:val="18"/>
          <w:szCs w:val="18"/>
        </w:rPr>
      </w:pPr>
      <w:r>
        <w:rPr>
          <w:rFonts w:ascii="宋体" w:hAnsi="宋体" w:hint="eastAsia"/>
          <w:b/>
          <w:bCs/>
          <w:sz w:val="18"/>
          <w:szCs w:val="18"/>
        </w:rPr>
        <w:t>9.</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38283A" w:rsidRDefault="001835D8">
      <w:pPr>
        <w:pStyle w:val="aa"/>
        <w:ind w:firstLineChars="0" w:firstLine="426"/>
        <w:rPr>
          <w:rFonts w:ascii="宋体" w:hAnsi="宋体"/>
          <w:bCs/>
          <w:sz w:val="18"/>
          <w:szCs w:val="18"/>
        </w:rPr>
      </w:pPr>
      <w:r>
        <w:rPr>
          <w:rFonts w:ascii="宋体" w:hAnsi="宋体"/>
          <w:b/>
          <w:bCs/>
          <w:sz w:val="18"/>
          <w:szCs w:val="18"/>
        </w:rPr>
        <w:t>1</w:t>
      </w:r>
      <w:r>
        <w:rPr>
          <w:rFonts w:ascii="宋体" w:hAnsi="宋体" w:hint="eastAsia"/>
          <w:b/>
          <w:bCs/>
          <w:sz w:val="18"/>
          <w:szCs w:val="18"/>
        </w:rPr>
        <w:t>0.</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1.理财产品不成立风险：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38283A" w:rsidRDefault="001835D8">
      <w:pPr>
        <w:pStyle w:val="aa"/>
        <w:ind w:firstLineChars="0"/>
        <w:rPr>
          <w:rFonts w:ascii="黑体" w:eastAsia="黑体" w:hAnsi="黑体"/>
          <w:bCs/>
          <w:sz w:val="18"/>
          <w:szCs w:val="18"/>
          <w:u w:val="single"/>
        </w:rPr>
      </w:pPr>
      <w:r>
        <w:rPr>
          <w:rFonts w:ascii="宋体" w:hAnsi="宋体"/>
          <w:b/>
          <w:bCs/>
          <w:sz w:val="18"/>
          <w:szCs w:val="18"/>
        </w:rPr>
        <w:t>1</w:t>
      </w:r>
      <w:r>
        <w:rPr>
          <w:rFonts w:ascii="宋体" w:hAnsi="宋体" w:hint="eastAsia"/>
          <w:b/>
          <w:bCs/>
          <w:sz w:val="18"/>
          <w:szCs w:val="18"/>
        </w:rPr>
        <w:t>5.</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8283A" w:rsidRDefault="001835D8">
      <w:pPr>
        <w:spacing w:line="276" w:lineRule="auto"/>
        <w:ind w:firstLineChars="200" w:firstLine="361"/>
        <w:rPr>
          <w:rFonts w:ascii="黑体" w:eastAsia="黑体" w:hAnsi="黑体"/>
          <w:sz w:val="18"/>
          <w:szCs w:val="18"/>
        </w:rPr>
      </w:pPr>
      <w:r>
        <w:rPr>
          <w:rFonts w:ascii="黑体" w:eastAsia="黑体" w:hAnsi="黑体"/>
          <w:b/>
          <w:bCs/>
          <w:sz w:val="18"/>
          <w:szCs w:val="18"/>
          <w:u w:val="single"/>
        </w:rPr>
        <w:t>1</w:t>
      </w:r>
      <w:r>
        <w:rPr>
          <w:rFonts w:ascii="黑体" w:eastAsia="黑体" w:hAnsi="黑体" w:hint="eastAsia"/>
          <w:b/>
          <w:bCs/>
          <w:sz w:val="18"/>
          <w:szCs w:val="18"/>
          <w:u w:val="single"/>
        </w:rPr>
        <w:t>6</w:t>
      </w:r>
      <w:r>
        <w:rPr>
          <w:rFonts w:ascii="黑体" w:eastAsia="黑体" w:hAnsi="黑体"/>
          <w:b/>
          <w:bCs/>
          <w:sz w:val="18"/>
          <w:szCs w:val="18"/>
          <w:u w:val="single"/>
        </w:rPr>
        <w:t>.</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38283A" w:rsidRDefault="001835D8">
      <w:pPr>
        <w:pStyle w:val="aa"/>
        <w:ind w:firstLineChars="0"/>
        <w:rPr>
          <w:rFonts w:ascii="黑体" w:eastAsia="黑体" w:hAnsi="黑体"/>
          <w:sz w:val="18"/>
          <w:szCs w:val="18"/>
          <w:u w:val="single"/>
        </w:rPr>
      </w:pPr>
      <w:r>
        <w:rPr>
          <w:rFonts w:ascii="黑体" w:eastAsia="黑体" w:hAnsi="黑体"/>
          <w:b/>
          <w:bCs/>
          <w:sz w:val="18"/>
          <w:szCs w:val="18"/>
          <w:u w:val="single"/>
        </w:rPr>
        <w:t>1</w:t>
      </w:r>
      <w:r>
        <w:rPr>
          <w:rFonts w:ascii="黑体" w:eastAsia="黑体" w:hAnsi="黑体" w:hint="eastAsia"/>
          <w:b/>
          <w:bCs/>
          <w:sz w:val="18"/>
          <w:szCs w:val="18"/>
          <w:u w:val="single"/>
        </w:rPr>
        <w:t>7</w:t>
      </w:r>
      <w:r>
        <w:rPr>
          <w:rFonts w:ascii="黑体" w:eastAsia="黑体" w:hAnsi="黑体"/>
          <w:b/>
          <w:bCs/>
          <w:sz w:val="18"/>
          <w:szCs w:val="18"/>
          <w:u w:val="single"/>
        </w:rPr>
        <w:t>.</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38283A" w:rsidRDefault="001835D8">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8283A" w:rsidRDefault="001835D8">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w:t>
      </w:r>
      <w:r>
        <w:rPr>
          <w:rFonts w:ascii="宋体" w:hAnsi="宋体" w:cs="仿宋_GB2312" w:hint="eastAsia"/>
          <w:kern w:val="0"/>
          <w:sz w:val="18"/>
          <w:szCs w:val="18"/>
        </w:rPr>
        <w:lastRenderedPageBreak/>
        <w:t>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r>
        <w:rPr>
          <w:rFonts w:ascii="黑体" w:eastAsia="黑体" w:hAnsi="黑体" w:cs="仿宋_GB2312" w:hint="eastAsia"/>
          <w:b/>
          <w:bCs/>
          <w:kern w:val="0"/>
          <w:sz w:val="18"/>
          <w:szCs w:val="18"/>
        </w:rPr>
        <w:t>其他类型投资者的风险承受能力评估按照《（代理）销售协议书》约定或销售机构的销售政策执行。</w:t>
      </w:r>
    </w:p>
    <w:p w:rsidR="0038283A" w:rsidRDefault="001835D8">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38283A" w:rsidRDefault="0038283A">
      <w:pPr>
        <w:ind w:left="540"/>
        <w:jc w:val="right"/>
        <w:rPr>
          <w:rFonts w:ascii="宋体" w:hAnsi="宋体"/>
          <w:sz w:val="18"/>
          <w:szCs w:val="18"/>
        </w:rPr>
      </w:pPr>
    </w:p>
    <w:p w:rsidR="0038283A" w:rsidRDefault="001835D8">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38283A" w:rsidRDefault="001835D8">
      <w:pPr>
        <w:wordWrap w:val="0"/>
        <w:ind w:left="540"/>
        <w:jc w:val="right"/>
        <w:rPr>
          <w:rFonts w:ascii="宋体" w:hAnsi="宋体"/>
          <w:sz w:val="18"/>
          <w:szCs w:val="18"/>
        </w:rPr>
      </w:pPr>
      <w:permStart w:id="11" w:edGrp="everyone"/>
      <w:r>
        <w:rPr>
          <w:rFonts w:ascii="宋体" w:hAnsi="宋体" w:hint="eastAsia"/>
          <w:sz w:val="18"/>
          <w:szCs w:val="18"/>
        </w:rPr>
        <w:t>销售机构（【</w:t>
      </w:r>
      <w:r w:rsidR="00973F6A">
        <w:rPr>
          <w:rFonts w:ascii="宋体" w:hAnsi="宋体" w:hint="eastAsia"/>
          <w:sz w:val="18"/>
          <w:szCs w:val="18"/>
        </w:rPr>
        <w:t>江苏紫金农村商业银行股份有限公司</w:t>
      </w:r>
      <w:r>
        <w:rPr>
          <w:rFonts w:ascii="宋体" w:hAnsi="宋体" w:hint="eastAsia"/>
          <w:sz w:val="18"/>
          <w:szCs w:val="18"/>
        </w:rPr>
        <w:t>）</w:t>
      </w:r>
    </w:p>
    <w:permEnd w:id="11"/>
    <w:p w:rsidR="0038283A" w:rsidRDefault="001835D8">
      <w:pPr>
        <w:widowControl/>
        <w:jc w:val="left"/>
        <w:rPr>
          <w:rFonts w:ascii="宋体" w:hAnsi="宋体"/>
          <w:sz w:val="18"/>
          <w:szCs w:val="18"/>
        </w:rPr>
      </w:pPr>
      <w:r>
        <w:rPr>
          <w:rFonts w:ascii="宋体" w:hAnsi="宋体"/>
          <w:sz w:val="18"/>
          <w:szCs w:val="18"/>
        </w:rPr>
        <w:br w:type="page"/>
      </w:r>
    </w:p>
    <w:p w:rsidR="0038283A" w:rsidRDefault="0038283A">
      <w:pPr>
        <w:ind w:left="540"/>
        <w:jc w:val="right"/>
        <w:rPr>
          <w:rFonts w:ascii="宋体" w:hAnsi="宋体"/>
          <w:sz w:val="18"/>
          <w:szCs w:val="18"/>
        </w:rPr>
      </w:pPr>
    </w:p>
    <w:p w:rsidR="0038283A" w:rsidRDefault="0038283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38283A">
        <w:trPr>
          <w:trHeight w:val="627"/>
        </w:trPr>
        <w:tc>
          <w:tcPr>
            <w:tcW w:w="8371"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38283A">
        <w:trPr>
          <w:trHeight w:val="6283"/>
        </w:trPr>
        <w:tc>
          <w:tcPr>
            <w:tcW w:w="8371"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38283A" w:rsidRDefault="0038283A">
            <w:pPr>
              <w:spacing w:line="280" w:lineRule="atLeast"/>
              <w:jc w:val="left"/>
              <w:rPr>
                <w:rFonts w:ascii="宋体" w:hAnsi="宋体" w:cs="Arial"/>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kern w:val="0"/>
                <w:sz w:val="18"/>
                <w:szCs w:val="18"/>
                <w:u w:val="single"/>
              </w:rPr>
            </w:pPr>
            <w:r>
              <w:rPr>
                <w:rFonts w:ascii="宋体" w:hAnsi="宋体" w:cs="Arial" w:hint="eastAsia"/>
                <w:kern w:val="0"/>
                <w:sz w:val="18"/>
                <w:szCs w:val="18"/>
              </w:rPr>
              <w:t>请投资者在此抄录：</w:t>
            </w:r>
          </w:p>
          <w:p w:rsidR="0038283A" w:rsidRDefault="0038283A">
            <w:pPr>
              <w:spacing w:line="280" w:lineRule="atLeast"/>
              <w:jc w:val="left"/>
              <w:rPr>
                <w:kern w:val="0"/>
                <w:sz w:val="18"/>
                <w:szCs w:val="18"/>
                <w:u w:val="single"/>
              </w:rPr>
            </w:pPr>
          </w:p>
          <w:p w:rsidR="0038283A" w:rsidRDefault="001835D8">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38283A" w:rsidRDefault="0038283A">
            <w:pPr>
              <w:spacing w:line="280" w:lineRule="atLeast"/>
              <w:jc w:val="right"/>
              <w:rPr>
                <w:rFonts w:ascii="宋体" w:hAnsi="宋体"/>
                <w:kern w:val="0"/>
                <w:sz w:val="18"/>
                <w:szCs w:val="18"/>
              </w:rPr>
            </w:pPr>
          </w:p>
        </w:tc>
      </w:tr>
    </w:tbl>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1835D8">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38283A">
        <w:trPr>
          <w:trHeight w:val="823"/>
        </w:trPr>
        <w:tc>
          <w:tcPr>
            <w:tcW w:w="8413"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8283A" w:rsidRDefault="001835D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38283A">
        <w:trPr>
          <w:trHeight w:val="7355"/>
        </w:trPr>
        <w:tc>
          <w:tcPr>
            <w:tcW w:w="8413"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rPr>
                <w:kern w:val="0"/>
                <w:sz w:val="20"/>
                <w:szCs w:val="20"/>
              </w:rPr>
            </w:pPr>
          </w:p>
          <w:p w:rsidR="0038283A" w:rsidRDefault="001835D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8283A" w:rsidRDefault="001835D8">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38283A">
        <w:trPr>
          <w:trHeight w:val="673"/>
        </w:trPr>
        <w:tc>
          <w:tcPr>
            <w:tcW w:w="8388"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8283A" w:rsidRDefault="001835D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38283A">
        <w:trPr>
          <w:trHeight w:val="6016"/>
        </w:trPr>
        <w:tc>
          <w:tcPr>
            <w:tcW w:w="8388"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rPr>
                <w:kern w:val="0"/>
                <w:sz w:val="20"/>
                <w:szCs w:val="20"/>
              </w:rPr>
            </w:pPr>
          </w:p>
          <w:p w:rsidR="0038283A" w:rsidRDefault="001835D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8283A" w:rsidRDefault="0038283A"/>
    <w:sectPr w:rsidR="0038283A" w:rsidSect="004330A7">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0950" w:rsidRDefault="00A10950">
      <w:r>
        <w:separator/>
      </w:r>
    </w:p>
  </w:endnote>
  <w:endnote w:type="continuationSeparator" w:id="1">
    <w:p w:rsidR="00A10950" w:rsidRDefault="00A109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1552879"/>
    </w:sdtPr>
    <w:sdtContent>
      <w:p w:rsidR="0038283A" w:rsidRDefault="004330A7">
        <w:pPr>
          <w:pStyle w:val="a5"/>
          <w:jc w:val="center"/>
        </w:pPr>
        <w:r>
          <w:fldChar w:fldCharType="begin"/>
        </w:r>
        <w:r w:rsidR="001835D8">
          <w:instrText>PAGE   \* MERGEFORMAT</w:instrText>
        </w:r>
        <w:r>
          <w:fldChar w:fldCharType="separate"/>
        </w:r>
        <w:r w:rsidR="00973F6A" w:rsidRPr="00973F6A">
          <w:rPr>
            <w:noProof/>
            <w:lang w:val="zh-CN"/>
          </w:rPr>
          <w:t>1</w:t>
        </w:r>
        <w:r>
          <w:fldChar w:fldCharType="end"/>
        </w:r>
      </w:p>
    </w:sdtContent>
  </w:sdt>
  <w:p w:rsidR="0038283A" w:rsidRDefault="0038283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0950" w:rsidRDefault="00A10950">
      <w:r>
        <w:separator/>
      </w:r>
    </w:p>
  </w:footnote>
  <w:footnote w:type="continuationSeparator" w:id="1">
    <w:p w:rsidR="00A10950" w:rsidRDefault="00A109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83A" w:rsidRDefault="001835D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38283A" w:rsidRDefault="001835D8">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cumentProtection w:edit="readOnly"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49B1"/>
    <w:rsid w:val="00025695"/>
    <w:rsid w:val="00053B4F"/>
    <w:rsid w:val="00057C5D"/>
    <w:rsid w:val="00091E5D"/>
    <w:rsid w:val="00096AC8"/>
    <w:rsid w:val="00096C79"/>
    <w:rsid w:val="000A244A"/>
    <w:rsid w:val="000A6D81"/>
    <w:rsid w:val="000B16F1"/>
    <w:rsid w:val="000B357F"/>
    <w:rsid w:val="000B3C26"/>
    <w:rsid w:val="000B6952"/>
    <w:rsid w:val="001104E8"/>
    <w:rsid w:val="00131789"/>
    <w:rsid w:val="00152999"/>
    <w:rsid w:val="001835D8"/>
    <w:rsid w:val="002066E2"/>
    <w:rsid w:val="00235CAF"/>
    <w:rsid w:val="00262560"/>
    <w:rsid w:val="00275A0A"/>
    <w:rsid w:val="00284E75"/>
    <w:rsid w:val="002B1BE6"/>
    <w:rsid w:val="002B433D"/>
    <w:rsid w:val="002B63FC"/>
    <w:rsid w:val="002C5F07"/>
    <w:rsid w:val="002C604E"/>
    <w:rsid w:val="002F0B15"/>
    <w:rsid w:val="002F4D88"/>
    <w:rsid w:val="003215CC"/>
    <w:rsid w:val="0034386A"/>
    <w:rsid w:val="00346ED2"/>
    <w:rsid w:val="003577BE"/>
    <w:rsid w:val="00374070"/>
    <w:rsid w:val="0038283A"/>
    <w:rsid w:val="00387182"/>
    <w:rsid w:val="003E1A68"/>
    <w:rsid w:val="003F1C32"/>
    <w:rsid w:val="003F2C47"/>
    <w:rsid w:val="004109AF"/>
    <w:rsid w:val="00420D74"/>
    <w:rsid w:val="004330A7"/>
    <w:rsid w:val="004455F9"/>
    <w:rsid w:val="004546E4"/>
    <w:rsid w:val="00465B31"/>
    <w:rsid w:val="00466605"/>
    <w:rsid w:val="00472617"/>
    <w:rsid w:val="004A4D7A"/>
    <w:rsid w:val="004C4F36"/>
    <w:rsid w:val="004C7F5E"/>
    <w:rsid w:val="004F3F0F"/>
    <w:rsid w:val="00522D04"/>
    <w:rsid w:val="00527A03"/>
    <w:rsid w:val="00563E8F"/>
    <w:rsid w:val="005A09A8"/>
    <w:rsid w:val="005B64C1"/>
    <w:rsid w:val="005C6FCB"/>
    <w:rsid w:val="005F48BE"/>
    <w:rsid w:val="006538E1"/>
    <w:rsid w:val="007234CC"/>
    <w:rsid w:val="00724332"/>
    <w:rsid w:val="007303F6"/>
    <w:rsid w:val="007B017F"/>
    <w:rsid w:val="007C69CB"/>
    <w:rsid w:val="007C7189"/>
    <w:rsid w:val="007D13AC"/>
    <w:rsid w:val="0080662E"/>
    <w:rsid w:val="00836C1F"/>
    <w:rsid w:val="00853811"/>
    <w:rsid w:val="008703F0"/>
    <w:rsid w:val="00887A4A"/>
    <w:rsid w:val="00894EE6"/>
    <w:rsid w:val="008A707D"/>
    <w:rsid w:val="008C7DAA"/>
    <w:rsid w:val="008D3E86"/>
    <w:rsid w:val="008F2B54"/>
    <w:rsid w:val="00904F53"/>
    <w:rsid w:val="00926B53"/>
    <w:rsid w:val="00955293"/>
    <w:rsid w:val="00963757"/>
    <w:rsid w:val="00973F6A"/>
    <w:rsid w:val="009763A7"/>
    <w:rsid w:val="00981E5B"/>
    <w:rsid w:val="00985AB8"/>
    <w:rsid w:val="009A6F81"/>
    <w:rsid w:val="009C62EC"/>
    <w:rsid w:val="009D6732"/>
    <w:rsid w:val="009E3635"/>
    <w:rsid w:val="00A10950"/>
    <w:rsid w:val="00A30417"/>
    <w:rsid w:val="00A32EC2"/>
    <w:rsid w:val="00A33430"/>
    <w:rsid w:val="00A342EC"/>
    <w:rsid w:val="00A678E8"/>
    <w:rsid w:val="00A91013"/>
    <w:rsid w:val="00A95D0C"/>
    <w:rsid w:val="00AE5AA3"/>
    <w:rsid w:val="00AE793A"/>
    <w:rsid w:val="00B06267"/>
    <w:rsid w:val="00B07DEF"/>
    <w:rsid w:val="00B26FC3"/>
    <w:rsid w:val="00B3287E"/>
    <w:rsid w:val="00B35D81"/>
    <w:rsid w:val="00B3723D"/>
    <w:rsid w:val="00B372BC"/>
    <w:rsid w:val="00B46E6C"/>
    <w:rsid w:val="00B625BC"/>
    <w:rsid w:val="00B70043"/>
    <w:rsid w:val="00BB3439"/>
    <w:rsid w:val="00BB513F"/>
    <w:rsid w:val="00BC1259"/>
    <w:rsid w:val="00BC398E"/>
    <w:rsid w:val="00BE1A3A"/>
    <w:rsid w:val="00C01696"/>
    <w:rsid w:val="00C4233D"/>
    <w:rsid w:val="00C45A5F"/>
    <w:rsid w:val="00C90245"/>
    <w:rsid w:val="00CA2020"/>
    <w:rsid w:val="00CE66CC"/>
    <w:rsid w:val="00CF3DA9"/>
    <w:rsid w:val="00D01F60"/>
    <w:rsid w:val="00D03CCD"/>
    <w:rsid w:val="00D46533"/>
    <w:rsid w:val="00D67E84"/>
    <w:rsid w:val="00D91389"/>
    <w:rsid w:val="00DA2C69"/>
    <w:rsid w:val="00DD246D"/>
    <w:rsid w:val="00DD5ABC"/>
    <w:rsid w:val="00E4038B"/>
    <w:rsid w:val="00E504DE"/>
    <w:rsid w:val="00E73DE1"/>
    <w:rsid w:val="00E80603"/>
    <w:rsid w:val="00E92C8B"/>
    <w:rsid w:val="00E93276"/>
    <w:rsid w:val="00EB34F9"/>
    <w:rsid w:val="00ED014E"/>
    <w:rsid w:val="00ED713F"/>
    <w:rsid w:val="00EE0296"/>
    <w:rsid w:val="00F34E57"/>
    <w:rsid w:val="00F57B20"/>
    <w:rsid w:val="00F73630"/>
    <w:rsid w:val="00F8077D"/>
    <w:rsid w:val="00F966CD"/>
    <w:rsid w:val="00FA4526"/>
    <w:rsid w:val="00FB0DD6"/>
    <w:rsid w:val="00FF5841"/>
    <w:rsid w:val="015E7EB5"/>
    <w:rsid w:val="23024B39"/>
    <w:rsid w:val="24646666"/>
    <w:rsid w:val="3A0F6DCB"/>
    <w:rsid w:val="41FC6270"/>
    <w:rsid w:val="4F74606C"/>
    <w:rsid w:val="55367B13"/>
    <w:rsid w:val="601969DF"/>
    <w:rsid w:val="6FB566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A7"/>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330A7"/>
    <w:pPr>
      <w:jc w:val="left"/>
    </w:pPr>
  </w:style>
  <w:style w:type="paragraph" w:styleId="a4">
    <w:name w:val="Balloon Text"/>
    <w:basedOn w:val="a"/>
    <w:link w:val="Char0"/>
    <w:uiPriority w:val="99"/>
    <w:semiHidden/>
    <w:unhideWhenUsed/>
    <w:qFormat/>
    <w:rsid w:val="004330A7"/>
    <w:rPr>
      <w:sz w:val="18"/>
      <w:szCs w:val="18"/>
    </w:rPr>
  </w:style>
  <w:style w:type="paragraph" w:styleId="a5">
    <w:name w:val="footer"/>
    <w:basedOn w:val="a"/>
    <w:link w:val="Char1"/>
    <w:uiPriority w:val="99"/>
    <w:unhideWhenUsed/>
    <w:qFormat/>
    <w:rsid w:val="004330A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4330A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4330A7"/>
    <w:rPr>
      <w:b/>
      <w:bCs/>
    </w:rPr>
  </w:style>
  <w:style w:type="table" w:styleId="a8">
    <w:name w:val="Table Grid"/>
    <w:basedOn w:val="a1"/>
    <w:qFormat/>
    <w:rsid w:val="004330A7"/>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nhideWhenUsed/>
    <w:qFormat/>
    <w:rsid w:val="004330A7"/>
    <w:rPr>
      <w:sz w:val="21"/>
      <w:szCs w:val="21"/>
    </w:rPr>
  </w:style>
  <w:style w:type="character" w:customStyle="1" w:styleId="Char2">
    <w:name w:val="页眉 Char"/>
    <w:basedOn w:val="a0"/>
    <w:link w:val="a6"/>
    <w:uiPriority w:val="99"/>
    <w:qFormat/>
    <w:rsid w:val="004330A7"/>
    <w:rPr>
      <w:sz w:val="18"/>
      <w:szCs w:val="18"/>
    </w:rPr>
  </w:style>
  <w:style w:type="character" w:customStyle="1" w:styleId="Char1">
    <w:name w:val="页脚 Char"/>
    <w:basedOn w:val="a0"/>
    <w:link w:val="a5"/>
    <w:uiPriority w:val="99"/>
    <w:qFormat/>
    <w:rsid w:val="004330A7"/>
    <w:rPr>
      <w:sz w:val="18"/>
      <w:szCs w:val="18"/>
    </w:rPr>
  </w:style>
  <w:style w:type="paragraph" w:styleId="aa">
    <w:name w:val="List Paragraph"/>
    <w:basedOn w:val="a"/>
    <w:qFormat/>
    <w:rsid w:val="004330A7"/>
    <w:pPr>
      <w:ind w:firstLineChars="200" w:firstLine="420"/>
    </w:pPr>
  </w:style>
  <w:style w:type="character" w:customStyle="1" w:styleId="Char">
    <w:name w:val="批注文字 Char"/>
    <w:basedOn w:val="a0"/>
    <w:link w:val="a3"/>
    <w:uiPriority w:val="99"/>
    <w:qFormat/>
    <w:rsid w:val="004330A7"/>
    <w:rPr>
      <w:rFonts w:ascii="Calibri" w:eastAsia="宋体" w:hAnsi="Calibri" w:cs="宋体"/>
    </w:rPr>
  </w:style>
  <w:style w:type="character" w:customStyle="1" w:styleId="Char3">
    <w:name w:val="批注主题 Char"/>
    <w:basedOn w:val="Char"/>
    <w:link w:val="a7"/>
    <w:uiPriority w:val="99"/>
    <w:semiHidden/>
    <w:rsid w:val="004330A7"/>
    <w:rPr>
      <w:rFonts w:ascii="Calibri" w:eastAsia="宋体" w:hAnsi="Calibri" w:cs="宋体"/>
      <w:b/>
      <w:bCs/>
    </w:rPr>
  </w:style>
  <w:style w:type="character" w:customStyle="1" w:styleId="Char0">
    <w:name w:val="批注框文本 Char"/>
    <w:basedOn w:val="a0"/>
    <w:link w:val="a4"/>
    <w:uiPriority w:val="99"/>
    <w:semiHidden/>
    <w:qFormat/>
    <w:rsid w:val="004330A7"/>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497BBBA-EA97-4329-BF96-F7608E0EFE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1098</Words>
  <Characters>6263</Characters>
  <Application>Microsoft Office Word</Application>
  <DocSecurity>8</DocSecurity>
  <Lines>52</Lines>
  <Paragraphs>14</Paragraphs>
  <ScaleCrop>false</ScaleCrop>
  <Company>神州网信技术有限公司</Company>
  <LinksUpToDate>false</LinksUpToDate>
  <CharactersWithSpaces>7347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未定义</cp:lastModifiedBy>
  <cp:revision>53</cp:revision>
  <dcterms:created xsi:type="dcterms:W3CDTF">2022-10-18T07:42:00Z</dcterms:created>
  <dcterms:modified xsi:type="dcterms:W3CDTF">2023-07-10T08:51:00Z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B2CA58515F4F4E7F8AB3CC7B49ABD47F</vt:lpwstr>
  </property>
</Properties>
</file>