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w:t>
      </w:r>
      <w:r w:rsidR="00575FD0">
        <w:rPr>
          <w:rFonts w:ascii="宋体" w:eastAsia="宋体" w:hAnsi="宋体" w:cs="宋体" w:hint="eastAsia"/>
          <w:b/>
          <w:bCs/>
          <w:sz w:val="36"/>
        </w:rPr>
        <w:t>兴银理财丰利兴动多策略</w:t>
      </w:r>
      <w:r w:rsidR="00155E41">
        <w:rPr>
          <w:rFonts w:ascii="宋体" w:eastAsia="宋体" w:hAnsi="宋体" w:cs="宋体" w:hint="eastAsia"/>
          <w:b/>
          <w:bCs/>
          <w:sz w:val="36"/>
        </w:rPr>
        <w:t>封闭式33号</w:t>
      </w:r>
      <w:proofErr w:type="gramStart"/>
      <w:r w:rsidR="001C7D22" w:rsidRPr="001C7D22">
        <w:rPr>
          <w:rFonts w:ascii="宋体" w:eastAsia="宋体" w:hAnsi="宋体" w:cs="宋体" w:hint="eastAsia"/>
          <w:b/>
          <w:bCs/>
          <w:sz w:val="36"/>
        </w:rPr>
        <w:t>增强型固收类理财</w:t>
      </w:r>
      <w:proofErr w:type="gramEnd"/>
      <w:r w:rsidR="001C7D22" w:rsidRPr="001C7D22">
        <w:rPr>
          <w:rFonts w:ascii="宋体" w:eastAsia="宋体" w:hAnsi="宋体" w:cs="宋体" w:hint="eastAsia"/>
          <w:b/>
          <w:bCs/>
          <w:sz w:val="36"/>
        </w:rPr>
        <w:t>产品</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5F3FF9" w:rsidRDefault="0068015B" w:rsidP="005F3FF9">
      <w:pPr>
        <w:spacing w:line="360" w:lineRule="auto"/>
        <w:ind w:firstLineChars="200" w:firstLine="640"/>
        <w:rPr>
          <w:rFonts w:ascii="微软简仿宋" w:eastAsia="微软简仿宋"/>
          <w:szCs w:val="21"/>
        </w:rPr>
      </w:pPr>
      <w:r>
        <w:rPr>
          <w:rFonts w:ascii="仿宋_GB2312" w:eastAsia="仿宋_GB2312" w:hAnsi="微软雅黑" w:cs="宋体" w:hint="eastAsia"/>
          <w:color w:val="000000"/>
          <w:sz w:val="32"/>
          <w:szCs w:val="32"/>
        </w:rPr>
        <w:t>我行代销</w:t>
      </w:r>
      <w:r w:rsidR="008026DB" w:rsidRPr="00EC4186">
        <w:rPr>
          <w:rFonts w:ascii="仿宋_GB2312" w:eastAsia="仿宋_GB2312" w:hAnsi="微软雅黑" w:cs="宋体" w:hint="eastAsia"/>
          <w:sz w:val="32"/>
          <w:szCs w:val="32"/>
        </w:rPr>
        <w:t>兴银</w:t>
      </w:r>
      <w:r w:rsidRPr="00EC4186">
        <w:rPr>
          <w:rFonts w:ascii="仿宋_GB2312" w:eastAsia="仿宋_GB2312" w:hAnsi="微软雅黑" w:cs="宋体" w:hint="eastAsia"/>
          <w:sz w:val="32"/>
          <w:szCs w:val="32"/>
        </w:rPr>
        <w:t>理财有限责任公司</w:t>
      </w:r>
      <w:r>
        <w:rPr>
          <w:rFonts w:ascii="仿宋_GB2312" w:eastAsia="仿宋_GB2312" w:hAnsi="微软雅黑" w:cs="宋体" w:hint="eastAsia"/>
          <w:color w:val="000000"/>
          <w:sz w:val="32"/>
          <w:szCs w:val="32"/>
        </w:rPr>
        <w:t>发行的</w:t>
      </w:r>
      <w:r w:rsidR="001C7D22" w:rsidRPr="001C7D22">
        <w:rPr>
          <w:rFonts w:ascii="仿宋_GB2312" w:eastAsia="仿宋_GB2312" w:hAnsi="微软雅黑" w:cs="宋体" w:hint="eastAsia"/>
          <w:color w:val="FF0000"/>
          <w:sz w:val="32"/>
          <w:szCs w:val="32"/>
        </w:rPr>
        <w:t>丰利兴动多策略</w:t>
      </w:r>
      <w:r w:rsidR="00155E41">
        <w:rPr>
          <w:rFonts w:ascii="仿宋_GB2312" w:eastAsia="仿宋_GB2312" w:hAnsi="微软雅黑" w:cs="宋体" w:hint="eastAsia"/>
          <w:color w:val="FF0000"/>
          <w:sz w:val="32"/>
          <w:szCs w:val="32"/>
        </w:rPr>
        <w:t>封闭式33号</w:t>
      </w:r>
      <w:proofErr w:type="gramStart"/>
      <w:r w:rsidR="001C7D22" w:rsidRPr="001C7D22">
        <w:rPr>
          <w:rFonts w:ascii="仿宋_GB2312" w:eastAsia="仿宋_GB2312" w:hAnsi="微软雅黑" w:cs="宋体" w:hint="eastAsia"/>
          <w:color w:val="FF0000"/>
          <w:sz w:val="32"/>
          <w:szCs w:val="32"/>
        </w:rPr>
        <w:t>增强型固收类理财</w:t>
      </w:r>
      <w:proofErr w:type="gramEnd"/>
      <w:r w:rsidR="001C7D22" w:rsidRPr="001C7D22">
        <w:rPr>
          <w:rFonts w:ascii="仿宋_GB2312" w:eastAsia="仿宋_GB2312" w:hAnsi="微软雅黑" w:cs="宋体" w:hint="eastAsia"/>
          <w:color w:val="FF0000"/>
          <w:sz w:val="32"/>
          <w:szCs w:val="32"/>
        </w:rPr>
        <w:t>产品</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1C7D22">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33347B">
        <w:rPr>
          <w:rFonts w:ascii="仿宋_GB2312" w:eastAsia="仿宋_GB2312" w:hAnsi="微软雅黑" w:cs="宋体" w:hint="eastAsia"/>
          <w:color w:val="FF0000"/>
          <w:sz w:val="32"/>
          <w:szCs w:val="32"/>
        </w:rPr>
        <w:t>7</w:t>
      </w:r>
      <w:r>
        <w:rPr>
          <w:rFonts w:ascii="仿宋_GB2312" w:eastAsia="仿宋_GB2312" w:hAnsi="微软雅黑" w:cs="宋体" w:hint="eastAsia"/>
          <w:color w:val="FF0000"/>
          <w:sz w:val="32"/>
          <w:szCs w:val="32"/>
        </w:rPr>
        <w:t>月</w:t>
      </w:r>
      <w:r w:rsidR="0033347B">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日</w:t>
      </w:r>
      <w:r w:rsidR="006B2010">
        <w:rPr>
          <w:rFonts w:ascii="仿宋_GB2312" w:eastAsia="仿宋_GB2312" w:hAnsi="微软雅黑" w:cs="宋体" w:hint="eastAsia"/>
          <w:color w:val="FF0000"/>
          <w:sz w:val="32"/>
          <w:szCs w:val="32"/>
        </w:rPr>
        <w:t>至2023年</w:t>
      </w:r>
      <w:r w:rsidR="000C3554">
        <w:rPr>
          <w:rFonts w:ascii="仿宋_GB2312" w:eastAsia="仿宋_GB2312" w:hAnsi="微软雅黑" w:cs="宋体" w:hint="eastAsia"/>
          <w:color w:val="FF0000"/>
          <w:sz w:val="32"/>
          <w:szCs w:val="32"/>
        </w:rPr>
        <w:t>7</w:t>
      </w:r>
      <w:r w:rsidR="006B2010">
        <w:rPr>
          <w:rFonts w:ascii="仿宋_GB2312" w:eastAsia="仿宋_GB2312" w:hAnsi="微软雅黑" w:cs="宋体" w:hint="eastAsia"/>
          <w:color w:val="FF0000"/>
          <w:sz w:val="32"/>
          <w:szCs w:val="32"/>
        </w:rPr>
        <w:t>月</w:t>
      </w:r>
      <w:r w:rsidR="0033347B">
        <w:rPr>
          <w:rFonts w:ascii="仿宋_GB2312" w:eastAsia="仿宋_GB2312" w:hAnsi="微软雅黑" w:cs="宋体" w:hint="eastAsia"/>
          <w:color w:val="FF0000"/>
          <w:sz w:val="32"/>
          <w:szCs w:val="32"/>
        </w:rPr>
        <w:t>10</w:t>
      </w:r>
      <w:r w:rsidR="006B2010">
        <w:rPr>
          <w:rFonts w:ascii="仿宋_GB2312" w:eastAsia="仿宋_GB2312" w:hAnsi="微软雅黑" w:cs="宋体" w:hint="eastAsia"/>
          <w:color w:val="FF0000"/>
          <w:sz w:val="32"/>
          <w:szCs w:val="32"/>
        </w:rPr>
        <w:t>日</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CE130E">
        <w:rPr>
          <w:rFonts w:ascii="仿宋_GB2312" w:eastAsia="仿宋_GB2312" w:hAnsi="微软雅黑" w:cs="宋体" w:hint="eastAsia"/>
          <w:b/>
          <w:color w:val="FF0000"/>
          <w:sz w:val="32"/>
          <w:szCs w:val="32"/>
        </w:rPr>
        <w:t>和柜面</w:t>
      </w:r>
      <w:r w:rsidR="00B205DE">
        <w:rPr>
          <w:rFonts w:ascii="仿宋_GB2312" w:eastAsia="仿宋_GB2312" w:hAnsi="微软雅黑" w:cs="宋体" w:hint="eastAsia"/>
          <w:b/>
          <w:color w:val="FF0000"/>
          <w:sz w:val="32"/>
          <w:szCs w:val="32"/>
        </w:rPr>
        <w:t>销售</w:t>
      </w:r>
      <w:r>
        <w:rPr>
          <w:rFonts w:ascii="仿宋_GB2312" w:eastAsia="仿宋_GB2312" w:hAnsi="微软雅黑" w:cs="宋体" w:hint="eastAsia"/>
          <w:color w:val="000000"/>
          <w:sz w:val="32"/>
          <w:szCs w:val="32"/>
        </w:rPr>
        <w:t>。</w:t>
      </w:r>
      <w:r w:rsidR="004B003C">
        <w:rPr>
          <w:rFonts w:ascii="仿宋_GB2312" w:eastAsia="仿宋_GB2312" w:hAnsi="微软雅黑" w:cs="宋体" w:hint="eastAsia"/>
          <w:color w:val="000000"/>
          <w:sz w:val="32"/>
          <w:szCs w:val="32"/>
        </w:rPr>
        <w:t>销售服务费率： 0.15%/年，</w:t>
      </w:r>
      <w:r>
        <w:rPr>
          <w:rFonts w:ascii="仿宋_GB2312" w:eastAsia="仿宋_GB2312" w:hAnsi="微软雅黑" w:cs="宋体" w:hint="eastAsia"/>
          <w:color w:val="000000"/>
          <w:sz w:val="32"/>
          <w:szCs w:val="32"/>
        </w:rPr>
        <w:t>部分要素如下：</w:t>
      </w:r>
    </w:p>
    <w:tbl>
      <w:tblPr>
        <w:tblW w:w="96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1970"/>
        <w:gridCol w:w="7675"/>
      </w:tblGrid>
      <w:tr w:rsidR="0033347B" w:rsidTr="0033347B">
        <w:trPr>
          <w:trHeight w:val="40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33347B" w:rsidRDefault="0033347B">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理财产品名称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33347B" w:rsidRDefault="0033347B">
            <w:pPr>
              <w:widowControl w:val="0"/>
              <w:spacing w:line="360" w:lineRule="auto"/>
              <w:rPr>
                <w:rFonts w:ascii="宋体" w:hAnsi="宋体" w:cs="宋体"/>
                <w:bCs/>
                <w:kern w:val="2"/>
                <w:sz w:val="18"/>
                <w:szCs w:val="18"/>
              </w:rPr>
            </w:pPr>
            <w:r>
              <w:rPr>
                <w:rFonts w:asciiTheme="majorEastAsia" w:eastAsiaTheme="majorEastAsia" w:hAnsiTheme="majorEastAsia" w:hint="eastAsia"/>
                <w:bCs/>
                <w:sz w:val="18"/>
                <w:szCs w:val="18"/>
              </w:rPr>
              <w:t>【兴银理财丰利兴动多策略封闭式33号增强型固收类理财产品】</w:t>
            </w:r>
          </w:p>
        </w:tc>
      </w:tr>
      <w:tr w:rsidR="0033347B" w:rsidTr="0033347B">
        <w:trPr>
          <w:trHeight w:val="38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33347B" w:rsidRDefault="0033347B">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产品销售名称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33347B" w:rsidRPr="0033347B" w:rsidRDefault="0033347B">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【丰利兴动多策略封闭式33A】（适用【A】类份额）</w:t>
            </w:r>
          </w:p>
        </w:tc>
      </w:tr>
      <w:tr w:rsidR="0033347B" w:rsidTr="0033347B">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33347B" w:rsidRDefault="0033347B">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产品登记编码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33347B" w:rsidRDefault="0033347B">
            <w:pPr>
              <w:widowControl w:val="0"/>
              <w:spacing w:line="360" w:lineRule="auto"/>
              <w:rPr>
                <w:rFonts w:ascii="宋体" w:hAnsi="宋体" w:cs="宋体"/>
                <w:b/>
                <w:kern w:val="2"/>
                <w:sz w:val="18"/>
                <w:szCs w:val="18"/>
              </w:rPr>
            </w:pPr>
            <w:r>
              <w:rPr>
                <w:rFonts w:asciiTheme="minorEastAsia" w:hAnsiTheme="minorEastAsia" w:hint="eastAsia"/>
                <w:sz w:val="18"/>
                <w:szCs w:val="18"/>
              </w:rPr>
              <w:t>【</w:t>
            </w:r>
            <w:r>
              <w:rPr>
                <w:rFonts w:asciiTheme="minorEastAsia" w:hAnsiTheme="minorEastAsia" w:hint="eastAsia"/>
                <w:sz w:val="18"/>
                <w:szCs w:val="18"/>
              </w:rPr>
              <w:t>Z7002023000282</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hint="eastAsia"/>
                <w:sz w:val="18"/>
                <w:szCs w:val="18"/>
              </w:rPr>
              <w:t>(</w:t>
            </w:r>
            <w:hyperlink r:id="rId5" w:history="1">
              <w:r>
                <w:rPr>
                  <w:rStyle w:val="a8"/>
                  <w:rFonts w:asciiTheme="majorEastAsia" w:eastAsiaTheme="majorEastAsia" w:hAnsiTheme="majorEastAsia" w:hint="eastAsia"/>
                  <w:sz w:val="18"/>
                  <w:szCs w:val="18"/>
                </w:rPr>
                <w:t>www.chinawealth.com.cn</w:t>
              </w:r>
            </w:hyperlink>
            <w:r>
              <w:rPr>
                <w:rFonts w:asciiTheme="majorEastAsia" w:eastAsiaTheme="majorEastAsia" w:hAnsiTheme="majorEastAsia" w:hint="eastAsia"/>
                <w:sz w:val="18"/>
                <w:szCs w:val="18"/>
              </w:rPr>
              <w:t>）查询产品信息。</w:t>
            </w:r>
          </w:p>
        </w:tc>
      </w:tr>
      <w:tr w:rsidR="0033347B" w:rsidTr="0033347B">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宋体" w:hAnsi="宋体" w:cs="宋体"/>
                <w:bCs/>
                <w:kern w:val="2"/>
                <w:sz w:val="18"/>
                <w:szCs w:val="18"/>
              </w:rPr>
            </w:pPr>
            <w:r>
              <w:rPr>
                <w:rFonts w:ascii="宋体" w:hAnsi="宋体" w:hint="eastAsia"/>
                <w:bCs/>
                <w:sz w:val="18"/>
                <w:szCs w:val="18"/>
              </w:rPr>
              <w:t>【</w:t>
            </w:r>
            <w:r>
              <w:rPr>
                <w:rFonts w:ascii="宋体" w:hAnsi="宋体" w:hint="eastAsia"/>
                <w:bCs/>
                <w:sz w:val="18"/>
                <w:szCs w:val="18"/>
              </w:rPr>
              <w:t>9K766330</w:t>
            </w:r>
            <w:r>
              <w:rPr>
                <w:rFonts w:ascii="宋体" w:hAnsi="宋体" w:hint="eastAsia"/>
                <w:bCs/>
                <w:sz w:val="18"/>
                <w:szCs w:val="18"/>
              </w:rPr>
              <w:t>】</w:t>
            </w:r>
          </w:p>
        </w:tc>
      </w:tr>
      <w:tr w:rsidR="0033347B" w:rsidTr="0033347B">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33347B" w:rsidRDefault="0033347B">
            <w:pPr>
              <w:widowControl w:val="0"/>
              <w:spacing w:line="360" w:lineRule="auto"/>
              <w:rPr>
                <w:rFonts w:ascii="Calibri" w:hAnsi="宋体" w:cs="宋体"/>
                <w:b/>
                <w:kern w:val="2"/>
                <w:sz w:val="18"/>
                <w:szCs w:val="18"/>
              </w:rPr>
            </w:pPr>
            <w:r>
              <w:rPr>
                <w:rFonts w:hAnsi="宋体" w:hint="eastAsia"/>
                <w:b/>
                <w:sz w:val="18"/>
                <w:szCs w:val="18"/>
              </w:rPr>
              <w:t>★销售代码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33347B" w:rsidRPr="0033347B" w:rsidRDefault="0033347B" w:rsidP="0033347B">
            <w:pPr>
              <w:spacing w:line="360" w:lineRule="auto"/>
              <w:rPr>
                <w:rFonts w:ascii="Calibri" w:eastAsia="宋体" w:hAnsi="宋体" w:cs="宋体"/>
                <w:sz w:val="18"/>
                <w:szCs w:val="18"/>
              </w:rPr>
            </w:pPr>
            <w:r>
              <w:rPr>
                <w:rFonts w:hAnsi="宋体" w:hint="eastAsia"/>
                <w:sz w:val="18"/>
                <w:szCs w:val="18"/>
              </w:rPr>
              <w:t>【</w:t>
            </w:r>
            <w:r>
              <w:rPr>
                <w:rFonts w:ascii="宋体" w:hAnsi="宋体" w:hint="eastAsia"/>
                <w:bCs/>
                <w:sz w:val="18"/>
                <w:szCs w:val="18"/>
              </w:rPr>
              <w:t>9K76633A</w:t>
            </w:r>
            <w:r>
              <w:rPr>
                <w:rFonts w:hAnsi="宋体" w:hint="eastAsia"/>
                <w:sz w:val="18"/>
                <w:szCs w:val="18"/>
              </w:rPr>
              <w:t>】（适用【</w:t>
            </w:r>
            <w:r>
              <w:rPr>
                <w:rFonts w:hAnsi="宋体"/>
                <w:sz w:val="18"/>
                <w:szCs w:val="18"/>
              </w:rPr>
              <w:t>A</w:t>
            </w:r>
            <w:r>
              <w:rPr>
                <w:rFonts w:hAnsi="宋体" w:hint="eastAsia"/>
                <w:sz w:val="18"/>
                <w:szCs w:val="18"/>
              </w:rPr>
              <w:t>】类份额）</w:t>
            </w:r>
          </w:p>
        </w:tc>
      </w:tr>
      <w:tr w:rsidR="0033347B" w:rsidTr="0033347B">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宋体" w:cs="宋体"/>
                <w:kern w:val="2"/>
                <w:sz w:val="18"/>
                <w:szCs w:val="18"/>
              </w:rPr>
            </w:pPr>
            <w:r>
              <w:rPr>
                <w:rFonts w:hAnsi="宋体" w:hint="eastAsia"/>
                <w:sz w:val="18"/>
                <w:szCs w:val="18"/>
              </w:rPr>
              <w:t>★</w:t>
            </w:r>
            <w:r>
              <w:rPr>
                <w:rFonts w:hAnsi="宋体" w:hint="eastAsia"/>
                <w:b/>
                <w:sz w:val="18"/>
                <w:szCs w:val="18"/>
              </w:rPr>
              <w:t>产品份额类别</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宋体" w:eastAsia="宋体" w:hAnsi="宋体" w:cs="宋体"/>
                <w:bCs/>
                <w:sz w:val="18"/>
                <w:szCs w:val="18"/>
              </w:rPr>
            </w:pPr>
            <w:r>
              <w:rPr>
                <w:rFonts w:ascii="宋体" w:hAnsi="宋体" w:hint="eastAsia"/>
                <w:bCs/>
                <w:sz w:val="18"/>
                <w:szCs w:val="18"/>
              </w:rPr>
              <w:t>1.</w:t>
            </w:r>
            <w:r>
              <w:rPr>
                <w:rFonts w:ascii="宋体" w:hAnsi="宋体" w:hint="eastAsia"/>
                <w:bCs/>
                <w:sz w:val="18"/>
                <w:szCs w:val="18"/>
              </w:rPr>
              <w:t>本产品根据投资者购买理财产品的金额、投资者类型、销售渠道等因素，对投资者所持有的理财产品份额设置不同的理财产品份额类别。</w:t>
            </w:r>
          </w:p>
          <w:p w:rsidR="0033347B" w:rsidRDefault="0033347B">
            <w:pPr>
              <w:spacing w:line="360" w:lineRule="auto"/>
              <w:rPr>
                <w:rFonts w:ascii="宋体" w:hAnsi="宋体"/>
                <w:bCs/>
                <w:sz w:val="18"/>
                <w:szCs w:val="18"/>
              </w:rPr>
            </w:pPr>
            <w:r>
              <w:rPr>
                <w:rFonts w:ascii="宋体" w:hAnsi="宋体" w:hint="eastAsia"/>
                <w:bCs/>
                <w:sz w:val="18"/>
                <w:szCs w:val="18"/>
              </w:rPr>
              <w:t>2.</w:t>
            </w:r>
            <w:r>
              <w:rPr>
                <w:rFonts w:ascii="宋体" w:hAnsi="宋体" w:hint="eastAsia"/>
                <w:bCs/>
                <w:sz w:val="18"/>
                <w:szCs w:val="18"/>
              </w:rPr>
              <w:t>本产品设置不同的理财产品份额，每类理财产品份额以下内容可能单独设置：</w:t>
            </w:r>
          </w:p>
          <w:p w:rsidR="0033347B" w:rsidRDefault="0033347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）销售名称</w:t>
            </w:r>
          </w:p>
          <w:p w:rsidR="0033347B" w:rsidRDefault="0033347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）收费方式</w:t>
            </w:r>
          </w:p>
          <w:p w:rsidR="0033347B" w:rsidRDefault="0033347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）销售服务费</w:t>
            </w:r>
          </w:p>
          <w:p w:rsidR="0033347B" w:rsidRDefault="0033347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）销售代码</w:t>
            </w:r>
          </w:p>
          <w:p w:rsidR="0033347B" w:rsidRDefault="0033347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5</w:t>
            </w:r>
            <w:r>
              <w:rPr>
                <w:rFonts w:ascii="宋体" w:hAnsi="宋体" w:hint="eastAsia"/>
                <w:bCs/>
                <w:sz w:val="18"/>
                <w:szCs w:val="18"/>
              </w:rPr>
              <w:t>）销售对象</w:t>
            </w:r>
          </w:p>
          <w:p w:rsidR="0033347B" w:rsidRDefault="0033347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6</w:t>
            </w:r>
            <w:r>
              <w:rPr>
                <w:rFonts w:ascii="宋体" w:hAnsi="宋体" w:hint="eastAsia"/>
                <w:bCs/>
                <w:sz w:val="18"/>
                <w:szCs w:val="18"/>
              </w:rPr>
              <w:t>）销售起点金额（认购、申购的起点金额）</w:t>
            </w:r>
          </w:p>
          <w:p w:rsidR="0033347B" w:rsidRDefault="0033347B">
            <w:pPr>
              <w:spacing w:line="360" w:lineRule="auto"/>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7</w:t>
            </w:r>
            <w:r>
              <w:rPr>
                <w:rFonts w:ascii="宋体" w:hAnsi="宋体" w:hint="eastAsia"/>
                <w:bCs/>
                <w:sz w:val="18"/>
                <w:szCs w:val="18"/>
              </w:rPr>
              <w:t>）投资者认购、申购和赎回的数量限制</w:t>
            </w:r>
          </w:p>
          <w:p w:rsidR="0033347B" w:rsidRDefault="0033347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8</w:t>
            </w:r>
            <w:r>
              <w:rPr>
                <w:rFonts w:ascii="宋体" w:hAnsi="宋体" w:hint="eastAsia"/>
                <w:bCs/>
                <w:sz w:val="18"/>
                <w:szCs w:val="18"/>
              </w:rPr>
              <w:t>）投资者</w:t>
            </w:r>
            <w:r>
              <w:rPr>
                <w:rFonts w:asciiTheme="minorEastAsia" w:hAnsiTheme="minorEastAsia" w:hint="eastAsia"/>
                <w:bCs/>
                <w:sz w:val="18"/>
                <w:szCs w:val="18"/>
              </w:rPr>
              <w:t>持有本产品的最高限额、最低限额</w:t>
            </w:r>
          </w:p>
          <w:p w:rsidR="0033347B" w:rsidRDefault="0033347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）分别计算和公告产品份额净值</w:t>
            </w:r>
          </w:p>
          <w:p w:rsidR="0033347B" w:rsidRDefault="0033347B">
            <w:pPr>
              <w:spacing w:line="360" w:lineRule="auto"/>
              <w:rPr>
                <w:rFonts w:ascii="宋体" w:hAnsi="宋体"/>
                <w:bCs/>
                <w:sz w:val="18"/>
                <w:szCs w:val="18"/>
              </w:rPr>
            </w:pPr>
            <w:r>
              <w:rPr>
                <w:rFonts w:ascii="宋体" w:hAnsi="宋体" w:hint="eastAsia"/>
                <w:bCs/>
                <w:sz w:val="18"/>
                <w:szCs w:val="18"/>
              </w:rPr>
              <w:t>3.</w:t>
            </w:r>
            <w:r>
              <w:rPr>
                <w:rFonts w:ascii="宋体" w:hAnsi="宋体" w:hint="eastAsia"/>
                <w:bCs/>
                <w:sz w:val="18"/>
                <w:szCs w:val="18"/>
              </w:rPr>
              <w:t>投资者可根据实际情况自行选择认购的产品份额类别。</w:t>
            </w:r>
          </w:p>
          <w:p w:rsidR="0033347B" w:rsidRDefault="0033347B">
            <w:pPr>
              <w:widowControl w:val="0"/>
              <w:spacing w:line="360" w:lineRule="auto"/>
              <w:jc w:val="both"/>
              <w:rPr>
                <w:rFonts w:ascii="宋体" w:hAnsi="宋体" w:cs="宋体"/>
                <w:b/>
                <w:bCs/>
                <w:kern w:val="2"/>
                <w:sz w:val="18"/>
                <w:szCs w:val="18"/>
              </w:rPr>
            </w:pPr>
            <w:r>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sz w:val="18"/>
                <w:szCs w:val="18"/>
              </w:rPr>
              <w:t>产品基本类型</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、封闭式、固定收益类、非保本浮动收益、净值型</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产品募集方式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产品运作方式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jc w:val="both"/>
              <w:rPr>
                <w:rFonts w:ascii="宋体" w:hAnsi="宋体" w:cs="宋体"/>
                <w:bCs/>
                <w:kern w:val="2"/>
                <w:sz w:val="18"/>
                <w:szCs w:val="18"/>
              </w:rPr>
            </w:pPr>
            <w:r>
              <w:rPr>
                <w:rFonts w:ascii="宋体" w:hAnsi="宋体" w:hint="eastAsia"/>
                <w:bCs/>
                <w:sz w:val="18"/>
                <w:szCs w:val="18"/>
              </w:rPr>
              <w:t>封闭式</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产品投资性质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Theme="majorEastAsia" w:eastAsiaTheme="majorEastAsia" w:hAnsiTheme="majorEastAsia" w:cs="宋体"/>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33347B" w:rsidRDefault="0033347B">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固定收益类产品是指根据监管相关规定，投资于存款、债券等债权类资产的比例不低于80%的产品</w:t>
            </w:r>
            <w:r>
              <w:rPr>
                <w:rFonts w:ascii="宋体" w:hAnsi="宋体" w:hint="eastAsia"/>
                <w:bCs/>
                <w:sz w:val="18"/>
                <w:szCs w:val="18"/>
              </w:rPr>
              <w:t>。</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产品收益特征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Theme="majorEastAsia" w:eastAsiaTheme="majorEastAsia" w:hAnsiTheme="majorEastAsia" w:cs="宋体"/>
                <w:b/>
                <w:sz w:val="18"/>
                <w:szCs w:val="18"/>
              </w:rPr>
            </w:pPr>
            <w:r>
              <w:rPr>
                <w:rFonts w:asciiTheme="majorEastAsia" w:eastAsiaTheme="majorEastAsia" w:hAnsiTheme="majorEastAsia" w:hint="eastAsia"/>
                <w:b/>
                <w:sz w:val="18"/>
                <w:szCs w:val="18"/>
              </w:rPr>
              <w:t>非保本浮动收益</w:t>
            </w:r>
          </w:p>
          <w:p w:rsidR="0033347B" w:rsidRDefault="0033347B">
            <w:pPr>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33347B" w:rsidRDefault="0033347B">
            <w:pPr>
              <w:widowControl w:val="0"/>
              <w:spacing w:line="360" w:lineRule="auto"/>
              <w:jc w:val="both"/>
              <w:rPr>
                <w:rFonts w:asciiTheme="majorEastAsia" w:eastAsiaTheme="majorEastAsia" w:hAnsiTheme="majorEastAsia" w:cs="宋体"/>
                <w:b/>
                <w:color w:val="000000" w:themeColor="text1"/>
                <w:kern w:val="2"/>
                <w:sz w:val="18"/>
                <w:szCs w:val="18"/>
              </w:rPr>
            </w:pPr>
            <w:r>
              <w:rPr>
                <w:rFonts w:ascii="宋体" w:hAnsi="宋体" w:hint="eastAsia"/>
                <w:bCs/>
                <w:sz w:val="18"/>
                <w:szCs w:val="18"/>
              </w:rPr>
              <w:t>产品管理人对本产品的本金并不提供保证，也不承诺任何固定收益。</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理财币种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人民币</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宋体" w:hAnsi="宋体" w:cs="宋体"/>
                <w:b/>
                <w:bCs/>
                <w:kern w:val="2"/>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33347B" w:rsidRDefault="0033347B">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本产品属于【□ R1、■ R2、□ R3、□ R4、□ R5】理财产品。</w:t>
            </w:r>
          </w:p>
          <w:p w:rsidR="0033347B" w:rsidRDefault="0033347B">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33347B" w:rsidRDefault="0033347B">
            <w:pPr>
              <w:widowControl w:val="0"/>
              <w:spacing w:line="360" w:lineRule="auto"/>
              <w:jc w:val="both"/>
              <w:rPr>
                <w:rFonts w:ascii="黑体" w:eastAsia="黑体" w:hAnsi="黑体"/>
                <w:b/>
                <w:sz w:val="18"/>
                <w:szCs w:val="18"/>
              </w:rPr>
            </w:pPr>
            <w:r>
              <w:rPr>
                <w:rFonts w:ascii="黑体" w:eastAsia="黑体" w:hAnsi="黑体" w:hint="eastAsia"/>
                <w:b/>
                <w:sz w:val="18"/>
                <w:szCs w:val="18"/>
              </w:rPr>
              <w:t>注：若本产品通过代理销售机构销售的，理财产品评级以代理销售机构最终披露的评级结果为准。</w:t>
            </w:r>
          </w:p>
          <w:p w:rsidR="0033347B" w:rsidRPr="0033347B" w:rsidRDefault="0033347B" w:rsidP="0033347B">
            <w:pPr>
              <w:rPr>
                <w:rFonts w:ascii="仿宋" w:eastAsia="仿宋" w:hAnsi="仿宋"/>
                <w:b/>
                <w:color w:val="FF0000"/>
              </w:rPr>
            </w:pPr>
            <w:r>
              <w:rPr>
                <w:rFonts w:ascii="仿宋" w:eastAsia="仿宋" w:hAnsi="仿宋" w:hint="eastAsia"/>
                <w:b/>
                <w:color w:val="FF0000"/>
              </w:rPr>
              <w:t>紫金农商银行对本产品的风险评级为中等风险。</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宋体" w:cs="宋体"/>
                <w:kern w:val="2"/>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bottom"/>
            <w:hideMark/>
          </w:tcPr>
          <w:p w:rsidR="0033347B" w:rsidRDefault="0033347B">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bCs/>
                <w:color w:val="000000" w:themeColor="text1"/>
                <w:sz w:val="18"/>
                <w:szCs w:val="18"/>
              </w:rPr>
              <w:t>本产品适合以下类型投资者：</w:t>
            </w:r>
          </w:p>
          <w:p w:rsidR="0033347B" w:rsidRDefault="0033347B">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33347B" w:rsidRDefault="0033347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color w:val="000000" w:themeColor="text1"/>
                <w:sz w:val="18"/>
                <w:szCs w:val="18"/>
              </w:rPr>
              <w:lastRenderedPageBreak/>
              <w:t>□机构投资者：□一般机构客户 □金融同业客户</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销售场景</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33347B" w:rsidRDefault="0033347B">
            <w:pPr>
              <w:widowControl w:val="0"/>
              <w:spacing w:line="360" w:lineRule="auto"/>
              <w:jc w:val="both"/>
              <w:rPr>
                <w:rFonts w:asciiTheme="majorEastAsia" w:eastAsiaTheme="majorEastAsia" w:hAnsiTheme="majorEastAsia" w:cs="宋体"/>
                <w:b/>
                <w:bCs/>
                <w:color w:val="000000" w:themeColor="text1"/>
                <w:kern w:val="2"/>
                <w:sz w:val="18"/>
                <w:szCs w:val="18"/>
              </w:rPr>
            </w:pPr>
            <w:r>
              <w:rPr>
                <w:rFonts w:ascii="黑体" w:eastAsia="黑体" w:hAnsi="黑体" w:hint="eastAsia"/>
                <w:b/>
                <w:bCs/>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宋体" w:cs="宋体"/>
                <w:kern w:val="2"/>
                <w:sz w:val="18"/>
                <w:szCs w:val="18"/>
              </w:rPr>
            </w:pPr>
            <w:r>
              <w:rPr>
                <w:rFonts w:asciiTheme="majorEastAsia" w:eastAsiaTheme="majorEastAsia" w:hAnsiTheme="majorEastAsia" w:hint="eastAsia"/>
                <w:b/>
                <w:sz w:val="18"/>
                <w:szCs w:val="18"/>
              </w:rPr>
              <w:t>销售机构</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宋体" w:eastAsia="宋体" w:hAnsi="宋体" w:cs="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直销适用</w:t>
            </w:r>
          </w:p>
          <w:p w:rsidR="0033347B" w:rsidRDefault="0033347B">
            <w:pPr>
              <w:spacing w:line="360" w:lineRule="auto"/>
              <w:rPr>
                <w:rFonts w:ascii="宋体" w:hAnsi="宋体"/>
                <w:sz w:val="18"/>
                <w:szCs w:val="18"/>
              </w:rPr>
            </w:pPr>
            <w:r>
              <w:rPr>
                <w:rFonts w:ascii="宋体" w:hAnsi="宋体" w:hint="eastAsia"/>
                <w:sz w:val="18"/>
                <w:szCs w:val="18"/>
              </w:rPr>
              <w:t>本产品由产品管理人销售。</w:t>
            </w:r>
          </w:p>
          <w:p w:rsidR="0033347B" w:rsidRDefault="0033347B">
            <w:pPr>
              <w:spacing w:line="360" w:lineRule="auto"/>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w:t>
            </w:r>
            <w:r>
              <w:rPr>
                <w:rFonts w:ascii="宋体" w:hAnsi="宋体" w:hint="eastAsia"/>
                <w:sz w:val="18"/>
                <w:szCs w:val="18"/>
              </w:rPr>
              <w:t>代销适用</w:t>
            </w:r>
          </w:p>
          <w:p w:rsidR="0033347B" w:rsidRDefault="0033347B">
            <w:pPr>
              <w:spacing w:line="360" w:lineRule="auto"/>
              <w:rPr>
                <w:rFonts w:ascii="宋体" w:hAnsi="宋体"/>
                <w:sz w:val="18"/>
                <w:szCs w:val="18"/>
              </w:rPr>
            </w:pPr>
            <w:r>
              <w:rPr>
                <w:rFonts w:ascii="宋体" w:hAnsi="宋体" w:hint="eastAsia"/>
                <w:sz w:val="18"/>
                <w:szCs w:val="18"/>
              </w:rPr>
              <w:t>本产品由代理销售机构销售。</w:t>
            </w:r>
          </w:p>
          <w:p w:rsidR="0033347B" w:rsidRDefault="0033347B">
            <w:pPr>
              <w:widowControl w:val="0"/>
              <w:spacing w:line="360" w:lineRule="auto"/>
              <w:jc w:val="both"/>
              <w:rPr>
                <w:rFonts w:asciiTheme="majorEastAsia" w:eastAsiaTheme="majorEastAsia" w:hAnsiTheme="majorEastAsia" w:cs="宋体"/>
                <w:bCs/>
                <w:kern w:val="2"/>
                <w:sz w:val="18"/>
                <w:szCs w:val="18"/>
              </w:rPr>
            </w:pPr>
            <w:r>
              <w:rPr>
                <w:rFonts w:ascii="宋体" w:hAnsi="宋体" w:hint="eastAsia"/>
                <w:sz w:val="18"/>
                <w:szCs w:val="18"/>
              </w:rPr>
              <w:t>代理销售机构合作业务情况以产品管理人公告为准，具体代理销售机构以《（代理）销售协议书》为准。</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理财产品管理人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兴银理财有限责任公司</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理财产品托管人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兴业银行股份有限公司</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bCs/>
                <w:sz w:val="18"/>
                <w:szCs w:val="18"/>
              </w:rPr>
              <w:t>产品规模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1.本产品计划初始募集规模为【3】亿元，最小成立规模为【0.5】亿元。</w:t>
            </w:r>
          </w:p>
          <w:p w:rsidR="0033347B" w:rsidRDefault="0033347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2.产品管理人有权根据实际需要对产品规模进行调整，产品最终规模以产品管理人实际募集/管理的金额为准。</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sz w:val="18"/>
                <w:szCs w:val="18"/>
              </w:rPr>
              <w:t>产品期限</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■有固定期限：【18个月】</w:t>
            </w:r>
          </w:p>
          <w:p w:rsidR="0033347B" w:rsidRDefault="0033347B">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33347B" w:rsidRDefault="0033347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sz w:val="18"/>
                <w:szCs w:val="18"/>
              </w:rPr>
              <w:t>认购期</w:t>
            </w:r>
            <w:r>
              <w:rPr>
                <w:rFonts w:asciiTheme="minorEastAsia" w:hAnsiTheme="minorEastAsia" w:hint="eastAsia"/>
                <w:b/>
                <w:sz w:val="18"/>
                <w:szCs w:val="18"/>
              </w:rPr>
              <w:t>/</w:t>
            </w:r>
            <w:r>
              <w:rPr>
                <w:rFonts w:asciiTheme="minorEastAsia" w:hAnsiTheme="minorEastAsia" w:hint="eastAsia"/>
                <w:b/>
                <w:sz w:val="18"/>
                <w:szCs w:val="18"/>
              </w:rPr>
              <w:t>募集期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本产品认购期</w:t>
            </w:r>
            <w:r>
              <w:rPr>
                <w:rFonts w:asciiTheme="minorEastAsia" w:hAnsiTheme="minorEastAsia" w:hint="eastAsia"/>
                <w:bCs/>
                <w:sz w:val="18"/>
                <w:szCs w:val="18"/>
              </w:rPr>
              <w:t>/</w:t>
            </w:r>
            <w:r>
              <w:rPr>
                <w:rFonts w:asciiTheme="minorEastAsia" w:hAnsiTheme="minorEastAsia" w:hint="eastAsia"/>
                <w:bCs/>
                <w:sz w:val="18"/>
                <w:szCs w:val="18"/>
              </w:rPr>
              <w:t>募集期为：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07</w:t>
            </w:r>
            <w:r>
              <w:rPr>
                <w:rFonts w:asciiTheme="minorEastAsia" w:hAnsiTheme="minorEastAsia" w:cs="Times New Roman" w:hint="eastAsia"/>
                <w:sz w:val="18"/>
                <w:szCs w:val="18"/>
              </w:rPr>
              <w:t>】月【</w:t>
            </w:r>
            <w:r>
              <w:rPr>
                <w:rFonts w:asciiTheme="minorEastAsia" w:hAnsiTheme="minorEastAsia" w:cs="Times New Roman" w:hint="eastAsia"/>
                <w:sz w:val="18"/>
                <w:szCs w:val="18"/>
              </w:rPr>
              <w:t>04</w:t>
            </w:r>
            <w:r>
              <w:rPr>
                <w:rFonts w:asciiTheme="minorEastAsia" w:hAnsiTheme="minorEastAsia" w:cs="Times New Roman" w:hint="eastAsia"/>
                <w:sz w:val="18"/>
                <w:szCs w:val="18"/>
              </w:rPr>
              <w:t>】日【</w:t>
            </w:r>
            <w:r>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07</w:t>
            </w:r>
            <w:r>
              <w:rPr>
                <w:rFonts w:asciiTheme="minorEastAsia" w:hAnsiTheme="minorEastAsia" w:cs="Times New Roman" w:hint="eastAsia"/>
                <w:sz w:val="18"/>
                <w:szCs w:val="18"/>
              </w:rPr>
              <w:t>】月【</w:t>
            </w:r>
            <w:r>
              <w:rPr>
                <w:rFonts w:asciiTheme="minorEastAsia" w:hAnsiTheme="minorEastAsia" w:cs="Times New Roman" w:hint="eastAsia"/>
                <w:sz w:val="18"/>
                <w:szCs w:val="18"/>
              </w:rPr>
              <w:t>10</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p>
          <w:p w:rsidR="0033347B" w:rsidRDefault="0033347B">
            <w:pPr>
              <w:spacing w:line="360" w:lineRule="auto"/>
              <w:rPr>
                <w:rFonts w:ascii="宋体" w:hAnsi="宋体"/>
                <w:bCs/>
                <w:sz w:val="18"/>
                <w:szCs w:val="18"/>
              </w:rPr>
            </w:pPr>
            <w:r>
              <w:rPr>
                <w:rFonts w:ascii="宋体" w:hAnsi="宋体" w:hint="eastAsia"/>
                <w:bCs/>
                <w:sz w:val="18"/>
                <w:szCs w:val="18"/>
              </w:rPr>
              <w:t>2</w:t>
            </w:r>
            <w:r>
              <w:rPr>
                <w:rFonts w:asciiTheme="minorEastAsia" w:hAnsiTheme="minorEastAsia" w:hint="eastAsia"/>
                <w:bCs/>
                <w:sz w:val="18"/>
                <w:szCs w:val="18"/>
              </w:rPr>
              <w:t>.</w:t>
            </w:r>
            <w:r>
              <w:rPr>
                <w:rFonts w:ascii="宋体" w:hAnsi="宋体" w:hint="eastAsia"/>
                <w:bCs/>
                <w:sz w:val="18"/>
                <w:szCs w:val="18"/>
              </w:rPr>
              <w:t>投资者在认购期</w:t>
            </w:r>
            <w:r>
              <w:rPr>
                <w:rFonts w:ascii="宋体" w:hAnsi="宋体" w:hint="eastAsia"/>
                <w:bCs/>
                <w:sz w:val="18"/>
                <w:szCs w:val="18"/>
              </w:rPr>
              <w:t>/</w:t>
            </w:r>
            <w:r>
              <w:rPr>
                <w:rFonts w:ascii="宋体" w:hAnsi="宋体" w:hint="eastAsia"/>
                <w:bCs/>
                <w:sz w:val="18"/>
                <w:szCs w:val="18"/>
              </w:rPr>
              <w:t>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33347B" w:rsidRDefault="0033347B">
            <w:pPr>
              <w:spacing w:line="360" w:lineRule="auto"/>
              <w:rPr>
                <w:rFonts w:ascii="宋体" w:hAnsi="宋体"/>
                <w:sz w:val="18"/>
              </w:rPr>
            </w:pPr>
            <w:r>
              <w:rPr>
                <w:rFonts w:ascii="宋体" w:hAnsi="宋体" w:hint="eastAsia"/>
                <w:bCs/>
                <w:sz w:val="18"/>
                <w:szCs w:val="18"/>
              </w:rPr>
              <w:t>3</w:t>
            </w:r>
            <w:r>
              <w:rPr>
                <w:rFonts w:asciiTheme="minorEastAsia" w:hAnsiTheme="minorEastAsia" w:hint="eastAsia"/>
                <w:bCs/>
                <w:sz w:val="18"/>
                <w:szCs w:val="18"/>
              </w:rPr>
              <w:t>.</w:t>
            </w:r>
            <w:r>
              <w:rPr>
                <w:rFonts w:asciiTheme="minorEastAsia" w:hAnsiTheme="minorEastAsia" w:hint="eastAsia"/>
                <w:bCs/>
                <w:sz w:val="18"/>
                <w:szCs w:val="18"/>
              </w:rPr>
              <w:t>认购期</w:t>
            </w:r>
            <w:r>
              <w:rPr>
                <w:rFonts w:asciiTheme="minorEastAsia" w:hAnsiTheme="minorEastAsia" w:hint="eastAsia"/>
                <w:bCs/>
                <w:sz w:val="18"/>
                <w:szCs w:val="18"/>
              </w:rPr>
              <w:t>/</w:t>
            </w:r>
            <w:r>
              <w:rPr>
                <w:rFonts w:ascii="宋体" w:hAnsi="宋体" w:hint="eastAsia"/>
                <w:bCs/>
                <w:sz w:val="18"/>
                <w:szCs w:val="18"/>
              </w:rPr>
              <w:t>募集期内资金按照活期存款利息计息，认购期</w:t>
            </w:r>
            <w:r>
              <w:rPr>
                <w:rFonts w:ascii="宋体" w:hAnsi="宋体" w:hint="eastAsia"/>
                <w:bCs/>
                <w:sz w:val="18"/>
                <w:szCs w:val="18"/>
              </w:rPr>
              <w:t>/</w:t>
            </w:r>
            <w:r>
              <w:rPr>
                <w:rFonts w:ascii="宋体" w:hAnsi="宋体" w:hint="eastAsia"/>
                <w:bCs/>
                <w:sz w:val="18"/>
                <w:szCs w:val="18"/>
              </w:rPr>
              <w:t>募集期内的利息不计入认购资金</w:t>
            </w:r>
            <w:r>
              <w:rPr>
                <w:rFonts w:ascii="宋体" w:hAnsi="宋体" w:hint="eastAsia"/>
                <w:sz w:val="18"/>
              </w:rPr>
              <w:t>。</w:t>
            </w:r>
          </w:p>
          <w:p w:rsidR="0033347B" w:rsidRDefault="0033347B">
            <w:pPr>
              <w:spacing w:line="360" w:lineRule="auto"/>
              <w:rPr>
                <w:rFonts w:ascii="黑体" w:eastAsia="黑体" w:hAnsi="黑体"/>
                <w:b/>
                <w:bCs/>
                <w:color w:val="000000" w:themeColor="text1"/>
                <w:sz w:val="18"/>
                <w:szCs w:val="18"/>
              </w:rPr>
            </w:pPr>
            <w:r>
              <w:rPr>
                <w:rFonts w:hAnsi="宋体" w:hint="eastAsia"/>
                <w:b/>
                <w:sz w:val="18"/>
                <w:szCs w:val="18"/>
              </w:rPr>
              <w:lastRenderedPageBreak/>
              <w:t>★</w:t>
            </w:r>
            <w:r>
              <w:rPr>
                <w:rFonts w:ascii="黑体" w:eastAsia="黑体" w:hAnsi="黑体" w:hint="eastAsia"/>
                <w:b/>
                <w:bCs/>
                <w:color w:val="000000" w:themeColor="text1"/>
                <w:sz w:val="18"/>
                <w:szCs w:val="18"/>
              </w:rPr>
              <w:t>注：关于代理销售机构的实际工作服务时段的提示</w:t>
            </w:r>
          </w:p>
          <w:p w:rsidR="0033347B" w:rsidRDefault="0033347B">
            <w:pPr>
              <w:spacing w:line="360" w:lineRule="auto"/>
              <w:rPr>
                <w:rFonts w:ascii="黑体" w:eastAsia="黑体" w:hAnsi="黑体"/>
                <w:b/>
                <w:bCs/>
                <w:color w:val="000000" w:themeColor="text1"/>
                <w:sz w:val="18"/>
                <w:szCs w:val="18"/>
              </w:rPr>
            </w:pPr>
            <w:r>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33347B" w:rsidRDefault="0033347B">
            <w:pPr>
              <w:widowControl w:val="0"/>
              <w:spacing w:line="360" w:lineRule="auto"/>
              <w:jc w:val="both"/>
              <w:rPr>
                <w:rFonts w:asciiTheme="majorEastAsia" w:eastAsiaTheme="majorEastAsia" w:hAnsiTheme="majorEastAsia" w:cs="宋体"/>
                <w:bCs/>
                <w:kern w:val="2"/>
                <w:sz w:val="18"/>
                <w:szCs w:val="18"/>
              </w:rPr>
            </w:pPr>
            <w:r>
              <w:rPr>
                <w:rFonts w:ascii="黑体" w:eastAsia="黑体" w:hAnsi="黑体" w:hint="eastAsia"/>
                <w:b/>
                <w:bCs/>
                <w:color w:val="000000" w:themeColor="text1"/>
                <w:sz w:val="18"/>
                <w:szCs w:val="18"/>
              </w:rPr>
              <w:t>②代理销售机构的实际工作服务时段，最早不得早于销售文件约定的起始时点、最晚不得晚于销售文件约定的终止时点。</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bCs/>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bCs/>
                <w:sz w:val="18"/>
                <w:szCs w:val="18"/>
              </w:rPr>
              <w:t>成立日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本产品的计划成立日为：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7</w:t>
            </w:r>
            <w:r>
              <w:rPr>
                <w:rFonts w:asciiTheme="minorEastAsia" w:hAnsiTheme="minorEastAsia" w:cs="Times New Roman" w:hint="eastAsia"/>
                <w:sz w:val="18"/>
                <w:szCs w:val="18"/>
              </w:rPr>
              <w:t>】月【</w:t>
            </w:r>
            <w:r>
              <w:rPr>
                <w:rFonts w:asciiTheme="minorEastAsia" w:hAnsiTheme="minorEastAsia" w:cs="Times New Roman" w:hint="eastAsia"/>
                <w:sz w:val="18"/>
                <w:szCs w:val="18"/>
              </w:rPr>
              <w:t>11</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3347B" w:rsidRDefault="0033347B">
            <w:pPr>
              <w:widowControl w:val="0"/>
              <w:spacing w:line="360" w:lineRule="auto"/>
              <w:jc w:val="both"/>
              <w:rPr>
                <w:rFonts w:asciiTheme="majorEastAsia" w:eastAsiaTheme="majorEastAsia" w:hAnsiTheme="majorEastAsia" w:cs="宋体"/>
                <w:bCs/>
                <w:kern w:val="2"/>
                <w:sz w:val="18"/>
                <w:szCs w:val="18"/>
              </w:rPr>
            </w:pPr>
            <w:r>
              <w:rPr>
                <w:rFonts w:asciiTheme="minorEastAsia" w:hAnsiTheme="minorEastAsia" w:hint="eastAsia"/>
                <w:bCs/>
                <w:sz w:val="18"/>
                <w:szCs w:val="18"/>
              </w:rPr>
              <w:t>2.</w:t>
            </w:r>
            <w:r>
              <w:rPr>
                <w:rFonts w:asciiTheme="minorEastAsia" w:hAnsiTheme="minorEastAsia" w:hint="eastAsia"/>
                <w:bCs/>
                <w:sz w:val="18"/>
                <w:szCs w:val="18"/>
              </w:rPr>
              <w:t>产品管理人有权根据实际募集情况提前或延后产品成立日期，并相应调整其他产品要素，将依约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宋体" w:hAnsi="宋体" w:cs="宋体"/>
                <w:b/>
                <w:bCs/>
                <w:kern w:val="2"/>
                <w:sz w:val="18"/>
                <w:szCs w:val="18"/>
              </w:rPr>
            </w:pPr>
            <w:r>
              <w:rPr>
                <w:rFonts w:asciiTheme="minorEastAsia" w:hAnsiTheme="minorEastAsia" w:hint="eastAsia"/>
                <w:b/>
                <w:bCs/>
                <w:sz w:val="18"/>
                <w:szCs w:val="18"/>
              </w:rPr>
              <w:t>终止日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本产品的计划终止日为：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2025</w:t>
            </w:r>
            <w:r>
              <w:rPr>
                <w:rFonts w:asciiTheme="minorEastAsia" w:hAnsiTheme="minorEastAsia" w:cs="Times New Roman" w:hint="eastAsia"/>
                <w:sz w:val="18"/>
                <w:szCs w:val="18"/>
              </w:rPr>
              <w:t>】年【</w:t>
            </w:r>
            <w:r>
              <w:rPr>
                <w:rFonts w:asciiTheme="minorEastAsia" w:hAnsiTheme="minorEastAsia" w:cs="Times New Roman" w:hint="eastAsia"/>
                <w:sz w:val="18"/>
                <w:szCs w:val="18"/>
              </w:rPr>
              <w:t>1</w:t>
            </w:r>
            <w:r>
              <w:rPr>
                <w:rFonts w:asciiTheme="minorEastAsia" w:hAnsiTheme="minorEastAsia" w:cs="Times New Roman" w:hint="eastAsia"/>
                <w:sz w:val="18"/>
                <w:szCs w:val="18"/>
              </w:rPr>
              <w:t>】月【</w:t>
            </w:r>
            <w:r>
              <w:rPr>
                <w:rFonts w:asciiTheme="minorEastAsia" w:hAnsiTheme="minorEastAsia" w:cs="Times New Roman" w:hint="eastAsia"/>
                <w:sz w:val="18"/>
                <w:szCs w:val="18"/>
              </w:rPr>
              <w:t>15</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3347B" w:rsidRDefault="0033347B">
            <w:pPr>
              <w:spacing w:line="360" w:lineRule="auto"/>
              <w:rPr>
                <w:rFonts w:ascii="宋体" w:hAnsi="宋体"/>
                <w:bCs/>
                <w:sz w:val="18"/>
                <w:szCs w:val="18"/>
              </w:rPr>
            </w:pPr>
            <w:r>
              <w:rPr>
                <w:rFonts w:ascii="宋体" w:hAnsi="宋体" w:hint="eastAsia"/>
                <w:bCs/>
                <w:sz w:val="18"/>
                <w:szCs w:val="18"/>
              </w:rPr>
              <w:t>2.</w:t>
            </w:r>
            <w:r>
              <w:rPr>
                <w:rFonts w:ascii="宋体" w:hAnsi="宋体" w:hint="eastAsia"/>
                <w:bCs/>
                <w:sz w:val="18"/>
                <w:szCs w:val="18"/>
              </w:rPr>
              <w:t>本产品的实际终止日受制于本理财产品销售文件“提前终止”及“延期终止”情形。</w:t>
            </w:r>
          </w:p>
          <w:p w:rsidR="0033347B" w:rsidRDefault="0033347B">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宋体" w:hAnsi="宋体" w:hint="eastAsia"/>
                <w:b/>
                <w:bCs/>
                <w:sz w:val="18"/>
                <w:szCs w:val="18"/>
              </w:rPr>
              <w:t>销售起点金额</w:t>
            </w:r>
            <w:r>
              <w:rPr>
                <w:rFonts w:asciiTheme="majorEastAsia" w:eastAsiaTheme="majorEastAsia" w:hAnsiTheme="majorEastAsia" w:hint="eastAsia"/>
                <w:b/>
                <w:bCs/>
                <w:sz w:val="18"/>
                <w:szCs w:val="18"/>
              </w:rPr>
              <w:t>及递增金额</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（适用【A】类份额）</w:t>
            </w:r>
          </w:p>
          <w:p w:rsidR="0033347B" w:rsidRDefault="0033347B">
            <w:pPr>
              <w:spacing w:line="360" w:lineRule="auto"/>
              <w:rPr>
                <w:rFonts w:ascii="黑体" w:eastAsia="黑体" w:hAnsi="黑体"/>
                <w:b/>
                <w:bCs/>
                <w:color w:val="000000" w:themeColor="text1"/>
                <w:sz w:val="18"/>
                <w:szCs w:val="18"/>
              </w:rPr>
            </w:pPr>
            <w:r>
              <w:rPr>
                <w:rFonts w:hAnsi="宋体" w:hint="eastAsia"/>
                <w:b/>
                <w:sz w:val="18"/>
                <w:szCs w:val="18"/>
              </w:rPr>
              <w:t>★</w:t>
            </w:r>
            <w:r>
              <w:rPr>
                <w:rFonts w:ascii="黑体" w:eastAsia="黑体" w:hAnsi="黑体" w:hint="eastAsia"/>
                <w:b/>
                <w:bCs/>
                <w:color w:val="000000" w:themeColor="text1"/>
                <w:sz w:val="18"/>
                <w:szCs w:val="18"/>
              </w:rPr>
              <w:t>注：关于代理销售机构的实际销售起点金额的提示</w:t>
            </w:r>
          </w:p>
          <w:p w:rsidR="0033347B" w:rsidRDefault="0033347B">
            <w:pPr>
              <w:spacing w:line="360" w:lineRule="auto"/>
              <w:rPr>
                <w:rFonts w:ascii="黑体" w:eastAsia="黑体" w:hAnsi="黑体"/>
                <w:b/>
                <w:bCs/>
                <w:color w:val="000000" w:themeColor="text1"/>
                <w:sz w:val="18"/>
                <w:szCs w:val="18"/>
              </w:rPr>
            </w:pPr>
            <w:r>
              <w:rPr>
                <w:rFonts w:ascii="黑体" w:eastAsia="黑体" w:hAnsi="黑体" w:hint="eastAsia"/>
                <w:b/>
                <w:bCs/>
                <w:color w:val="000000" w:themeColor="text1"/>
                <w:sz w:val="18"/>
                <w:szCs w:val="18"/>
              </w:rPr>
              <w:t>①本产品在代理销售机构的实际销售起点金额，因代理销售机构的不同可能存在差异（可能高于销售文件约定的销售起点金额），应当以代理销售机构展示为准。</w:t>
            </w:r>
          </w:p>
          <w:p w:rsidR="0033347B" w:rsidRDefault="0033347B">
            <w:pPr>
              <w:widowControl w:val="0"/>
              <w:spacing w:line="360" w:lineRule="auto"/>
              <w:rPr>
                <w:rFonts w:asciiTheme="minorEastAsia" w:hAnsiTheme="minorEastAsia" w:cs="Times New Roman"/>
                <w:kern w:val="2"/>
                <w:sz w:val="18"/>
                <w:szCs w:val="18"/>
              </w:rPr>
            </w:pPr>
            <w:r>
              <w:rPr>
                <w:rFonts w:ascii="黑体" w:eastAsia="黑体" w:hAnsi="黑体" w:hint="eastAsia"/>
                <w:b/>
                <w:bCs/>
                <w:color w:val="000000" w:themeColor="text1"/>
                <w:sz w:val="18"/>
                <w:szCs w:val="18"/>
              </w:rPr>
              <w:t>②代理销售机构的实际销售起点金额，不得低于销售文件约定的销售起点金额。</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宋体" w:cs="宋体"/>
                <w:kern w:val="2"/>
                <w:sz w:val="18"/>
                <w:szCs w:val="18"/>
              </w:rPr>
            </w:pPr>
            <w:r>
              <w:rPr>
                <w:rFonts w:hAnsi="宋体" w:hint="eastAsia"/>
                <w:b/>
                <w:sz w:val="18"/>
                <w:szCs w:val="18"/>
              </w:rPr>
              <w:t>★认购的数量限制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pStyle w:val="Default"/>
              <w:spacing w:line="360" w:lineRule="auto"/>
              <w:rPr>
                <w:rFonts w:hAnsi="宋体"/>
                <w:bCs/>
                <w:kern w:val="2"/>
                <w:sz w:val="18"/>
                <w:szCs w:val="18"/>
              </w:rPr>
            </w:pPr>
            <w:r>
              <w:rPr>
                <w:rFonts w:hAnsi="宋体" w:hint="eastAsia"/>
                <w:bCs/>
                <w:kern w:val="2"/>
                <w:sz w:val="18"/>
                <w:szCs w:val="18"/>
              </w:rPr>
              <w:t>（适用【A】类份额）</w:t>
            </w:r>
          </w:p>
          <w:p w:rsidR="0033347B" w:rsidRDefault="0033347B">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认购的数量限制</w:t>
            </w:r>
          </w:p>
          <w:p w:rsidR="0033347B" w:rsidRDefault="0033347B">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（1）单一投资者认购上限为【4000万】份。</w:t>
            </w:r>
          </w:p>
          <w:p w:rsidR="0033347B" w:rsidRDefault="0033347B">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（2）产品存续期间，单一投资者最高持有份额上限为【4000万】份，符合产品管理人流动性管理的稳定资金除外。</w:t>
            </w:r>
          </w:p>
          <w:p w:rsidR="0033347B" w:rsidRDefault="0033347B">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 xml:space="preserve">如需突破上限，请与产品管理人或销售机构客户经理联系。 </w:t>
            </w:r>
          </w:p>
          <w:p w:rsidR="0033347B" w:rsidRDefault="0033347B">
            <w:pPr>
              <w:pStyle w:val="Default"/>
              <w:spacing w:line="360" w:lineRule="auto"/>
              <w:rPr>
                <w:rFonts w:ascii="黑体" w:eastAsia="黑体" w:hAnsi="黑体"/>
                <w:b/>
                <w:bCs/>
                <w:color w:val="000000" w:themeColor="text1"/>
                <w:kern w:val="2"/>
                <w:sz w:val="18"/>
                <w:szCs w:val="18"/>
              </w:rPr>
            </w:pPr>
            <w:r>
              <w:rPr>
                <w:rFonts w:hAnsi="宋体" w:hint="eastAsia"/>
                <w:b/>
                <w:kern w:val="2"/>
                <w:sz w:val="18"/>
                <w:szCs w:val="18"/>
              </w:rPr>
              <w:t>★</w:t>
            </w:r>
            <w:r>
              <w:rPr>
                <w:rFonts w:ascii="黑体" w:eastAsia="黑体" w:hAnsi="黑体" w:hint="eastAsia"/>
                <w:b/>
                <w:bCs/>
                <w:color w:val="000000" w:themeColor="text1"/>
                <w:kern w:val="2"/>
                <w:sz w:val="18"/>
                <w:szCs w:val="18"/>
              </w:rPr>
              <w:t>注：本产品单一投资者持有份额不得超过产品总份额50%。</w:t>
            </w:r>
          </w:p>
          <w:p w:rsidR="0033347B" w:rsidRDefault="0033347B">
            <w:pPr>
              <w:pStyle w:val="Default"/>
              <w:spacing w:line="360" w:lineRule="auto"/>
              <w:rPr>
                <w:rFonts w:ascii="黑体" w:eastAsia="黑体" w:hAnsi="黑体"/>
                <w:b/>
                <w:bCs/>
                <w:color w:val="000000" w:themeColor="text1"/>
                <w:kern w:val="2"/>
                <w:sz w:val="18"/>
                <w:szCs w:val="18"/>
              </w:rPr>
            </w:pPr>
            <w:r>
              <w:rPr>
                <w:rFonts w:ascii="黑体" w:eastAsia="黑体" w:hAnsi="黑体" w:hint="eastAsia"/>
                <w:b/>
                <w:bCs/>
                <w:color w:val="000000" w:themeColor="text1"/>
                <w:kern w:val="2"/>
                <w:sz w:val="18"/>
                <w:szCs w:val="18"/>
              </w:rPr>
              <w:t>（1）投资者认购或申购确认后可能导致其持有份额超过产品总份额50%的，管理人有权拒绝或</w:t>
            </w:r>
            <w:r>
              <w:rPr>
                <w:rFonts w:ascii="黑体" w:eastAsia="黑体" w:hAnsi="黑体" w:hint="eastAsia"/>
                <w:b/>
                <w:bCs/>
                <w:color w:val="000000" w:themeColor="text1"/>
                <w:kern w:val="2"/>
                <w:sz w:val="18"/>
                <w:szCs w:val="18"/>
              </w:rPr>
              <w:lastRenderedPageBreak/>
              <w:t>暂停认购、申购。</w:t>
            </w:r>
          </w:p>
          <w:p w:rsidR="0033347B" w:rsidRDefault="0033347B">
            <w:pPr>
              <w:widowControl w:val="0"/>
              <w:spacing w:line="360" w:lineRule="auto"/>
              <w:jc w:val="both"/>
              <w:rPr>
                <w:rFonts w:asciiTheme="majorEastAsia" w:eastAsiaTheme="majorEastAsia" w:hAnsiTheme="majorEastAsia" w:cs="宋体"/>
                <w:kern w:val="2"/>
                <w:sz w:val="18"/>
                <w:szCs w:val="18"/>
              </w:rPr>
            </w:pPr>
            <w:r>
              <w:rPr>
                <w:rFonts w:ascii="黑体" w:eastAsia="黑体" w:hAnsi="黑体" w:hint="eastAsia"/>
                <w:b/>
                <w:bCs/>
                <w:color w:val="000000" w:themeColor="text1"/>
                <w:sz w:val="18"/>
                <w:szCs w:val="18"/>
              </w:rPr>
              <w:t>（2）非因管理人主观因素导致突破该比例限制的，在单一投资者持有比例降至50%以下之前，管理人不再接受该投资者对本产品的认购、申购申请。</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lastRenderedPageBreak/>
              <w:t>理财产品份额发售面值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jc w:val="both"/>
              <w:rPr>
                <w:rFonts w:asciiTheme="majorEastAsia" w:eastAsiaTheme="majorEastAsia" w:hAnsiTheme="majorEastAsia" w:cs="宋体"/>
                <w:kern w:val="2"/>
                <w:sz w:val="18"/>
                <w:szCs w:val="18"/>
              </w:rPr>
            </w:pPr>
            <w:r>
              <w:rPr>
                <w:rFonts w:asciiTheme="majorEastAsia" w:eastAsiaTheme="majorEastAsia" w:hAnsiTheme="majorEastAsia" w:cs="仿宋_GB2312" w:hint="eastAsia"/>
                <w:sz w:val="18"/>
                <w:szCs w:val="18"/>
              </w:rPr>
              <w:t>1.00元</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kern w:val="2"/>
                <w:sz w:val="18"/>
                <w:szCs w:val="18"/>
              </w:rPr>
            </w:pPr>
            <w:r>
              <w:rPr>
                <w:rFonts w:ascii="宋体" w:hAnsi="宋体" w:hint="eastAsia"/>
                <w:b/>
                <w:bCs/>
                <w:sz w:val="18"/>
                <w:szCs w:val="18"/>
              </w:rPr>
              <w:t>理财产品份额净值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color w:val="000000" w:themeColor="text1"/>
                <w:sz w:val="18"/>
                <w:szCs w:val="18"/>
              </w:rPr>
              <w:t>.</w:t>
            </w:r>
            <w:r>
              <w:rPr>
                <w:rFonts w:asciiTheme="majorEastAsia" w:eastAsiaTheme="majorEastAsia" w:hAnsiTheme="majorEastAsia" w:hint="eastAsia"/>
                <w:bCs/>
                <w:sz w:val="18"/>
                <w:szCs w:val="18"/>
              </w:rPr>
              <w:t>若产品投资资产运作出现损失的，产品份额净值下降，投资者分配所得可能小于投资者初始投资资金。投资者分配所得以实际到账金额为准。</w:t>
            </w:r>
          </w:p>
          <w:p w:rsidR="0033347B" w:rsidRDefault="0033347B">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2．产品实际终止日之前的估值日公布的产品份额净值已扣除理财产品的费用和税收。</w:t>
            </w:r>
          </w:p>
          <w:p w:rsidR="0033347B" w:rsidRDefault="0033347B">
            <w:pPr>
              <w:widowControl w:val="0"/>
              <w:spacing w:line="360" w:lineRule="auto"/>
              <w:rPr>
                <w:rFonts w:asciiTheme="minorEastAsia" w:hAnsiTheme="minorEastAsia" w:cs="Times New Roman"/>
                <w:kern w:val="2"/>
                <w:sz w:val="18"/>
                <w:szCs w:val="18"/>
              </w:rPr>
            </w:pPr>
            <w:r>
              <w:rPr>
                <w:rFonts w:asciiTheme="majorEastAsia" w:eastAsiaTheme="majorEastAsia" w:hAnsiTheme="majorEastAsia" w:hint="eastAsia"/>
                <w:bCs/>
                <w:sz w:val="18"/>
                <w:szCs w:val="18"/>
              </w:rPr>
              <w:t>3．产品管理人依约定公布产品份额净值，产品管理人以产品终止日产品份额净值为基础进行利益分配。</w:t>
            </w:r>
          </w:p>
        </w:tc>
      </w:tr>
      <w:tr w:rsidR="0033347B" w:rsidTr="0033347B">
        <w:trPr>
          <w:trHeight w:val="1078"/>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kern w:val="2"/>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autoSpaceDE w:val="0"/>
              <w:autoSpaceDN w:val="0"/>
              <w:spacing w:line="360" w:lineRule="auto"/>
              <w:rPr>
                <w:rFonts w:ascii="Calibri" w:eastAsia="宋体" w:hAnsi="宋体" w:cs="宋体"/>
                <w:b/>
                <w:sz w:val="18"/>
                <w:szCs w:val="18"/>
              </w:rPr>
            </w:pPr>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33347B" w:rsidRDefault="0033347B">
            <w:pPr>
              <w:autoSpaceDE w:val="0"/>
              <w:autoSpaceDN w:val="0"/>
              <w:spacing w:line="360" w:lineRule="auto"/>
              <w:rPr>
                <w:rFonts w:hAnsi="宋体"/>
                <w:b/>
                <w:sz w:val="18"/>
                <w:szCs w:val="18"/>
              </w:rPr>
            </w:pPr>
            <w:r>
              <w:rPr>
                <w:rFonts w:hAnsi="宋体"/>
                <w:b/>
                <w:sz w:val="18"/>
                <w:szCs w:val="18"/>
              </w:rPr>
              <w:t>1.</w:t>
            </w:r>
            <w:r>
              <w:rPr>
                <w:rFonts w:hAnsi="宋体" w:hint="eastAsia"/>
                <w:b/>
                <w:sz w:val="18"/>
                <w:szCs w:val="18"/>
              </w:rPr>
              <w:t>业绩比较基准的设置</w:t>
            </w:r>
          </w:p>
          <w:p w:rsidR="0033347B" w:rsidRDefault="0033347B">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产品管理人设置业绩比较基准。</w:t>
            </w:r>
          </w:p>
          <w:p w:rsidR="0033347B" w:rsidRDefault="0033347B">
            <w:pPr>
              <w:autoSpaceDE w:val="0"/>
              <w:autoSpaceDN w:val="0"/>
              <w:spacing w:line="360" w:lineRule="auto"/>
              <w:rPr>
                <w:rFonts w:asciiTheme="majorEastAsia" w:eastAsiaTheme="majorEastAsia" w:hAnsiTheme="majorEastAsia"/>
                <w:bCs/>
                <w:kern w:val="2"/>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）业绩比较基准的说明：【根据本产品各类资产的拟投资比例、久期敞口以及拟参与衍生品的交易要素报价，结合当前宏观环境和各类资产价格所处的位置，参考历史经验和回测结果设定】</w:t>
            </w:r>
            <w:r>
              <w:rPr>
                <w:rFonts w:asciiTheme="majorEastAsia" w:eastAsiaTheme="majorEastAsia" w:hAnsiTheme="majorEastAsia" w:hint="eastAsia"/>
                <w:bCs/>
                <w:sz w:val="18"/>
                <w:szCs w:val="18"/>
              </w:rPr>
              <w:t>。</w:t>
            </w:r>
          </w:p>
          <w:p w:rsidR="0033347B" w:rsidRDefault="0033347B">
            <w:pPr>
              <w:spacing w:line="360" w:lineRule="auto"/>
              <w:rPr>
                <w:rFonts w:ascii="宋体" w:eastAsia="宋体" w:hAnsi="宋体"/>
                <w:bCs/>
                <w:sz w:val="18"/>
                <w:szCs w:val="18"/>
              </w:rPr>
            </w:pPr>
            <w:r>
              <w:rPr>
                <w:rFonts w:asciiTheme="majorEastAsia" w:eastAsiaTheme="majorEastAsia" w:hAnsiTheme="majorEastAsia" w:hint="eastAsia"/>
                <w:bCs/>
                <w:sz w:val="18"/>
                <w:szCs w:val="18"/>
              </w:rPr>
              <w:t>（2）业绩比较基准的设定：</w:t>
            </w:r>
            <w:r>
              <w:rPr>
                <w:rFonts w:asciiTheme="majorEastAsia" w:hAnsiTheme="majorEastAsia" w:hint="eastAsia"/>
                <w:sz w:val="18"/>
              </w:rPr>
              <w:t>管理人对本产品设定业绩比较基准：</w:t>
            </w:r>
          </w:p>
          <w:p w:rsidR="0033347B" w:rsidRDefault="0033347B">
            <w:pPr>
              <w:spacing w:line="360" w:lineRule="auto"/>
              <w:rPr>
                <w:rFonts w:ascii="宋体" w:hAnsi="宋体"/>
                <w:sz w:val="18"/>
                <w:szCs w:val="18"/>
              </w:rPr>
            </w:pPr>
            <w:r>
              <w:rPr>
                <w:rFonts w:ascii="宋体" w:hAnsi="宋体" w:hint="eastAsia"/>
                <w:sz w:val="18"/>
                <w:szCs w:val="18"/>
              </w:rPr>
              <w:t>根据本产品投资的各类资产，其中所投金融衍生品为【看涨自动敲出期权】，挂钩标的证券为【中证</w:t>
            </w:r>
            <w:r>
              <w:rPr>
                <w:rFonts w:ascii="宋体" w:hAnsi="宋体" w:hint="eastAsia"/>
                <w:sz w:val="18"/>
                <w:szCs w:val="18"/>
              </w:rPr>
              <w:t>1000</w:t>
            </w:r>
            <w:r>
              <w:rPr>
                <w:rFonts w:ascii="宋体" w:hAnsi="宋体" w:hint="eastAsia"/>
                <w:sz w:val="18"/>
                <w:szCs w:val="18"/>
              </w:rPr>
              <w:t>指数】，设定产品业绩比较基准如下：</w:t>
            </w:r>
          </w:p>
          <w:p w:rsidR="0033347B" w:rsidRDefault="0033347B">
            <w:pPr>
              <w:spacing w:line="360" w:lineRule="auto"/>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）若理财产品存续期内，金融衍生品交易确认书项下发生敲出事件的：</w:t>
            </w:r>
          </w:p>
          <w:p w:rsidR="0033347B" w:rsidRDefault="0033347B">
            <w:pPr>
              <w:spacing w:line="360" w:lineRule="auto"/>
              <w:rPr>
                <w:rFonts w:ascii="宋体" w:hAnsi="宋体"/>
                <w:sz w:val="18"/>
                <w:szCs w:val="18"/>
              </w:rPr>
            </w:pPr>
            <w:r>
              <w:rPr>
                <w:rFonts w:ascii="宋体" w:hAnsi="宋体" w:hint="eastAsia"/>
                <w:sz w:val="18"/>
                <w:szCs w:val="18"/>
              </w:rPr>
              <w:t>业绩比较基准为：</w:t>
            </w:r>
          </w:p>
          <w:p w:rsidR="0033347B" w:rsidRDefault="0033347B">
            <w:pPr>
              <w:spacing w:line="360" w:lineRule="auto"/>
              <w:rPr>
                <w:rFonts w:asciiTheme="majorEastAsia" w:eastAsiaTheme="majorEastAsia" w:hAnsiTheme="majorEastAsia"/>
                <w:bCs/>
                <w:color w:val="000000" w:themeColor="text1"/>
                <w:sz w:val="18"/>
                <w:szCs w:val="18"/>
              </w:rPr>
            </w:pPr>
            <w:proofErr w:type="gramStart"/>
            <w:r>
              <w:rPr>
                <w:rFonts w:ascii="宋体" w:hAnsi="宋体" w:hint="eastAsia"/>
                <w:sz w:val="18"/>
                <w:szCs w:val="18"/>
              </w:rPr>
              <w:t>年化【</w:t>
            </w:r>
            <w:r>
              <w:rPr>
                <w:rFonts w:ascii="宋体" w:hAnsi="宋体" w:hint="eastAsia"/>
                <w:sz w:val="18"/>
                <w:szCs w:val="18"/>
              </w:rPr>
              <w:t>4.60%-4.90%</w:t>
            </w:r>
            <w:r>
              <w:rPr>
                <w:rFonts w:ascii="宋体" w:hAnsi="宋体" w:hint="eastAsia"/>
                <w:sz w:val="18"/>
                <w:szCs w:val="18"/>
              </w:rPr>
              <w:t>】</w:t>
            </w:r>
            <w:proofErr w:type="gramEnd"/>
            <w:r>
              <w:rPr>
                <w:rFonts w:ascii="宋体" w:hAnsi="宋体" w:hint="eastAsia"/>
                <w:sz w:val="18"/>
                <w:szCs w:val="18"/>
              </w:rPr>
              <w:t>；</w:t>
            </w:r>
          </w:p>
          <w:p w:rsidR="0033347B" w:rsidRDefault="0033347B">
            <w:pPr>
              <w:spacing w:line="360" w:lineRule="auto"/>
              <w:rPr>
                <w:rFonts w:ascii="宋体" w:eastAsia="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）若理财产品存续期内，金融衍生品交易确认书项下未发生敲出事件的：</w:t>
            </w:r>
          </w:p>
          <w:p w:rsidR="0033347B" w:rsidRDefault="0033347B">
            <w:pPr>
              <w:spacing w:line="360" w:lineRule="auto"/>
              <w:rPr>
                <w:rFonts w:ascii="宋体" w:hAnsi="宋体"/>
                <w:sz w:val="18"/>
                <w:szCs w:val="18"/>
              </w:rPr>
            </w:pPr>
            <w:r>
              <w:rPr>
                <w:rFonts w:ascii="宋体" w:hAnsi="宋体" w:hint="eastAsia"/>
                <w:sz w:val="18"/>
                <w:szCs w:val="18"/>
              </w:rPr>
              <w:t>业绩比较基准为：</w:t>
            </w:r>
          </w:p>
          <w:p w:rsidR="0033347B" w:rsidRDefault="0033347B">
            <w:pPr>
              <w:spacing w:line="360" w:lineRule="auto"/>
              <w:rPr>
                <w:rFonts w:asciiTheme="majorEastAsia" w:eastAsiaTheme="majorEastAsia" w:hAnsiTheme="majorEastAsia"/>
                <w:bCs/>
                <w:color w:val="000000" w:themeColor="text1"/>
                <w:sz w:val="18"/>
                <w:szCs w:val="18"/>
              </w:rPr>
            </w:pPr>
            <w:proofErr w:type="gramStart"/>
            <w:r>
              <w:rPr>
                <w:rFonts w:ascii="宋体" w:hAnsi="宋体" w:hint="eastAsia"/>
                <w:sz w:val="18"/>
                <w:szCs w:val="18"/>
              </w:rPr>
              <w:t>年化【</w:t>
            </w:r>
            <w:r>
              <w:rPr>
                <w:rFonts w:ascii="宋体" w:hAnsi="宋体" w:hint="eastAsia"/>
                <w:sz w:val="18"/>
                <w:szCs w:val="18"/>
              </w:rPr>
              <w:t>0.01%-0.15%</w:t>
            </w:r>
            <w:r>
              <w:rPr>
                <w:rFonts w:ascii="宋体" w:hAnsi="宋体" w:hint="eastAsia"/>
                <w:sz w:val="18"/>
                <w:szCs w:val="18"/>
              </w:rPr>
              <w:t>】</w:t>
            </w:r>
            <w:proofErr w:type="gramEnd"/>
            <w:r>
              <w:rPr>
                <w:rFonts w:hAnsi="宋体" w:hint="eastAsia"/>
                <w:bCs/>
                <w:sz w:val="18"/>
                <w:szCs w:val="18"/>
              </w:rPr>
              <w:t>。</w:t>
            </w:r>
          </w:p>
          <w:p w:rsidR="0033347B" w:rsidRDefault="0033347B">
            <w:pPr>
              <w:spacing w:line="360" w:lineRule="auto"/>
              <w:rPr>
                <w:rFonts w:ascii="宋体" w:eastAsia="宋体" w:hAnsi="宋体"/>
                <w:b/>
                <w:bCs/>
                <w:sz w:val="18"/>
                <w:szCs w:val="18"/>
              </w:rPr>
            </w:pPr>
            <w:r>
              <w:rPr>
                <w:rFonts w:ascii="宋体" w:hAnsi="宋体" w:hint="eastAsia"/>
                <w:b/>
                <w:bCs/>
                <w:sz w:val="18"/>
                <w:szCs w:val="18"/>
              </w:rPr>
              <w:lastRenderedPageBreak/>
              <w:t>注：发生敲出事件规则，指金融衍生品交易确认书项下挂钩标的证券【中证</w:t>
            </w:r>
            <w:r>
              <w:rPr>
                <w:rFonts w:ascii="宋体" w:hAnsi="宋体" w:hint="eastAsia"/>
                <w:b/>
                <w:bCs/>
                <w:sz w:val="18"/>
                <w:szCs w:val="18"/>
              </w:rPr>
              <w:t>1000</w:t>
            </w:r>
            <w:r>
              <w:rPr>
                <w:rFonts w:ascii="宋体" w:hAnsi="宋体" w:hint="eastAsia"/>
                <w:b/>
                <w:bCs/>
                <w:sz w:val="18"/>
                <w:szCs w:val="18"/>
              </w:rPr>
              <w:t>指数】收盘价格在任一观察日高于或等于（期</w:t>
            </w:r>
            <w:proofErr w:type="gramStart"/>
            <w:r>
              <w:rPr>
                <w:rFonts w:ascii="宋体" w:hAnsi="宋体" w:hint="eastAsia"/>
                <w:b/>
                <w:bCs/>
                <w:sz w:val="18"/>
                <w:szCs w:val="18"/>
              </w:rPr>
              <w:t>初价格</w:t>
            </w:r>
            <w:proofErr w:type="gramEnd"/>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100</w:t>
            </w:r>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），即发生“敲出事件”。</w:t>
            </w:r>
          </w:p>
          <w:p w:rsidR="0033347B" w:rsidRDefault="0033347B">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□产品管理人不设置业绩比较基准。</w:t>
            </w:r>
          </w:p>
          <w:p w:rsidR="0033347B" w:rsidRDefault="0033347B">
            <w:pPr>
              <w:spacing w:line="360" w:lineRule="auto"/>
              <w:rPr>
                <w:rFonts w:asciiTheme="majorEastAsia" w:eastAsiaTheme="majorEastAsia" w:hAnsiTheme="majorEastAsia"/>
                <w:b/>
                <w:bCs/>
                <w:kern w:val="2"/>
                <w:sz w:val="18"/>
                <w:szCs w:val="18"/>
              </w:rPr>
            </w:pPr>
            <w:r>
              <w:rPr>
                <w:rFonts w:asciiTheme="majorEastAsia" w:eastAsiaTheme="majorEastAsia" w:hAnsiTheme="majorEastAsia" w:hint="eastAsia"/>
                <w:b/>
                <w:bCs/>
                <w:sz w:val="18"/>
                <w:szCs w:val="18"/>
              </w:rPr>
              <w:t>2.业绩比较基准的提示：</w:t>
            </w:r>
          </w:p>
          <w:p w:rsidR="0033347B" w:rsidRDefault="0033347B">
            <w:pPr>
              <w:spacing w:line="360" w:lineRule="auto"/>
              <w:rPr>
                <w:rFonts w:ascii="黑体" w:eastAsia="黑体" w:hAnsi="黑体"/>
                <w:bCs/>
                <w:sz w:val="18"/>
                <w:szCs w:val="18"/>
              </w:rPr>
            </w:pPr>
            <w:r>
              <w:rPr>
                <w:rFonts w:ascii="黑体" w:eastAsia="黑体" w:hAnsi="黑体" w:hint="eastAsia"/>
                <w:bCs/>
                <w:sz w:val="18"/>
                <w:szCs w:val="18"/>
              </w:rPr>
              <w:t>（1）业绩比较基准不代表理财产品未来表现，不等于理财产品实际收益，不作为产品收益的业绩保证，投资须谨慎。</w:t>
            </w:r>
          </w:p>
          <w:p w:rsidR="0033347B" w:rsidRDefault="0033347B">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3347B" w:rsidTr="0033347B">
        <w:trPr>
          <w:trHeight w:val="679"/>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Calibri" w:cs="宋体"/>
                <w:kern w:val="2"/>
                <w:sz w:val="18"/>
                <w:szCs w:val="18"/>
              </w:rPr>
            </w:pPr>
            <w:r>
              <w:rPr>
                <w:rFonts w:hint="eastAsia"/>
                <w:sz w:val="18"/>
                <w:szCs w:val="18"/>
              </w:rPr>
              <w:lastRenderedPageBreak/>
              <w:t>★</w:t>
            </w:r>
            <w:r>
              <w:rPr>
                <w:rFonts w:hint="eastAsia"/>
                <w:b/>
                <w:sz w:val="18"/>
                <w:szCs w:val="18"/>
              </w:rPr>
              <w:t>业绩报酬计提</w:t>
            </w:r>
            <w:r>
              <w:rPr>
                <w:rFonts w:ascii="宋体" w:hAnsi="宋体" w:hint="eastAsia"/>
                <w:b/>
                <w:sz w:val="18"/>
                <w:szCs w:val="18"/>
              </w:rPr>
              <w:t>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Calibri" w:eastAsia="宋体" w:hAnsi="宋体" w:cs="宋体"/>
                <w:bCs/>
                <w:sz w:val="18"/>
                <w:szCs w:val="18"/>
              </w:rPr>
            </w:pPr>
            <w:r>
              <w:rPr>
                <w:rFonts w:hAnsi="宋体" w:hint="eastAsia"/>
                <w:bCs/>
                <w:sz w:val="18"/>
                <w:szCs w:val="18"/>
              </w:rPr>
              <w:t>（适用【</w:t>
            </w:r>
            <w:r>
              <w:rPr>
                <w:rFonts w:hAnsi="宋体"/>
                <w:bCs/>
                <w:sz w:val="18"/>
                <w:szCs w:val="18"/>
              </w:rPr>
              <w:t>A</w:t>
            </w:r>
            <w:r>
              <w:rPr>
                <w:rFonts w:hAnsi="宋体" w:hint="eastAsia"/>
                <w:bCs/>
                <w:sz w:val="18"/>
                <w:szCs w:val="18"/>
              </w:rPr>
              <w:t>】类份额）</w:t>
            </w:r>
          </w:p>
          <w:p w:rsidR="0033347B" w:rsidRDefault="0033347B">
            <w:pPr>
              <w:spacing w:line="360" w:lineRule="auto"/>
              <w:rPr>
                <w:rFonts w:hAnsi="宋体"/>
                <w:b/>
                <w:bCs/>
                <w:sz w:val="18"/>
                <w:szCs w:val="18"/>
              </w:rPr>
            </w:pPr>
            <w:r>
              <w:rPr>
                <w:rFonts w:hAnsi="宋体"/>
                <w:b/>
                <w:bCs/>
                <w:sz w:val="18"/>
                <w:szCs w:val="18"/>
              </w:rPr>
              <w:t>1.</w:t>
            </w:r>
            <w:r>
              <w:rPr>
                <w:rFonts w:hAnsi="宋体" w:hint="eastAsia"/>
                <w:b/>
                <w:bCs/>
                <w:sz w:val="18"/>
                <w:szCs w:val="18"/>
              </w:rPr>
              <w:t>业绩报酬计提基准的设置</w:t>
            </w:r>
          </w:p>
          <w:p w:rsidR="0033347B" w:rsidRDefault="0033347B">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产品管理人设置业绩报酬计提基准。</w:t>
            </w:r>
          </w:p>
          <w:p w:rsidR="0033347B" w:rsidRDefault="0033347B">
            <w:pPr>
              <w:spacing w:line="360" w:lineRule="auto"/>
              <w:rPr>
                <w:rFonts w:ascii="宋体" w:eastAsia="宋体" w:hAnsi="宋体"/>
                <w:bCs/>
                <w:kern w:val="2"/>
                <w:sz w:val="18"/>
                <w:szCs w:val="18"/>
              </w:rPr>
            </w:pPr>
            <w:r>
              <w:rPr>
                <w:rFonts w:ascii="宋体" w:hAnsi="宋体" w:hint="eastAsia"/>
                <w:bCs/>
                <w:sz w:val="18"/>
                <w:szCs w:val="18"/>
              </w:rPr>
              <w:t>业绩报酬计提基准的设定：管理人对本产品设定业绩报酬计提基准：</w:t>
            </w:r>
          </w:p>
          <w:p w:rsidR="0033347B" w:rsidRDefault="0033347B">
            <w:pPr>
              <w:spacing w:line="360" w:lineRule="auto"/>
              <w:rPr>
                <w:rFonts w:ascii="宋体" w:hAnsi="宋体"/>
                <w:bCs/>
                <w:sz w:val="15"/>
                <w:szCs w:val="18"/>
              </w:rPr>
            </w:pPr>
            <w:r>
              <w:rPr>
                <w:rFonts w:hint="eastAsia"/>
                <w:sz w:val="18"/>
              </w:rPr>
              <w:t>【年化</w:t>
            </w:r>
            <w:r>
              <w:rPr>
                <w:sz w:val="18"/>
              </w:rPr>
              <w:t>4.75%</w:t>
            </w:r>
            <w:r>
              <w:rPr>
                <w:rFonts w:hint="eastAsia"/>
                <w:sz w:val="18"/>
              </w:rPr>
              <w:t>】。</w:t>
            </w:r>
          </w:p>
          <w:p w:rsidR="0033347B" w:rsidRDefault="0033347B">
            <w:pPr>
              <w:spacing w:line="360" w:lineRule="auto"/>
              <w:rPr>
                <w:rFonts w:ascii="宋体" w:hAnsi="宋体"/>
                <w:bCs/>
                <w:sz w:val="18"/>
                <w:szCs w:val="18"/>
              </w:rPr>
            </w:pPr>
            <w:r>
              <w:rPr>
                <w:rFonts w:asciiTheme="majorEastAsia" w:eastAsiaTheme="majorEastAsia" w:hAnsiTheme="majorEastAsia" w:hint="eastAsia"/>
                <w:b/>
                <w:sz w:val="18"/>
                <w:szCs w:val="18"/>
              </w:rPr>
              <w:t>□ 产品管理人不设置业绩报酬计提基准。</w:t>
            </w:r>
          </w:p>
          <w:p w:rsidR="0033347B" w:rsidRDefault="0033347B">
            <w:pPr>
              <w:spacing w:line="360" w:lineRule="auto"/>
              <w:rPr>
                <w:rFonts w:ascii="宋体" w:hAnsi="宋体"/>
                <w:b/>
                <w:bCs/>
                <w:sz w:val="18"/>
                <w:szCs w:val="18"/>
              </w:rPr>
            </w:pPr>
            <w:r>
              <w:rPr>
                <w:rFonts w:ascii="宋体" w:hAnsi="宋体" w:hint="eastAsia"/>
                <w:b/>
                <w:bCs/>
                <w:sz w:val="18"/>
                <w:szCs w:val="18"/>
              </w:rPr>
              <w:t>2.</w:t>
            </w:r>
            <w:r>
              <w:rPr>
                <w:rFonts w:ascii="宋体" w:hAnsi="宋体" w:hint="eastAsia"/>
                <w:b/>
                <w:bCs/>
                <w:sz w:val="18"/>
                <w:szCs w:val="18"/>
              </w:rPr>
              <w:t>业绩报酬计提基准的提示：</w:t>
            </w:r>
          </w:p>
          <w:p w:rsidR="0033347B" w:rsidRDefault="0033347B">
            <w:pPr>
              <w:spacing w:line="360" w:lineRule="auto"/>
              <w:rPr>
                <w:rFonts w:ascii="黑体" w:eastAsia="黑体" w:hAnsi="黑体"/>
                <w:bCs/>
                <w:sz w:val="18"/>
                <w:szCs w:val="18"/>
              </w:rPr>
            </w:pPr>
            <w:r>
              <w:rPr>
                <w:rFonts w:ascii="黑体" w:eastAsia="黑体" w:hAnsi="黑体" w:hint="eastAsia"/>
                <w:bCs/>
                <w:sz w:val="18"/>
                <w:szCs w:val="18"/>
              </w:rPr>
              <w:t>（1）业绩报酬计提基准仅作为管理人收取超额业绩报酬的参照数值标准，不代表理财产品未来表现，不等于理财产品实际收益，不作为产品收益的业绩保证，投资须谨慎。</w:t>
            </w:r>
          </w:p>
          <w:p w:rsidR="0033347B" w:rsidRDefault="0033347B">
            <w:pPr>
              <w:widowControl w:val="0"/>
              <w:spacing w:line="360" w:lineRule="auto"/>
              <w:rPr>
                <w:rFonts w:ascii="宋体" w:hAnsi="宋体" w:cs="宋体"/>
                <w:b/>
                <w:bCs/>
                <w:kern w:val="2"/>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3347B" w:rsidTr="0033347B">
        <w:trPr>
          <w:trHeight w:val="54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Calibri" w:cs="宋体"/>
                <w:kern w:val="2"/>
                <w:sz w:val="18"/>
                <w:szCs w:val="18"/>
              </w:rPr>
            </w:pPr>
            <w:r>
              <w:rPr>
                <w:rFonts w:hAnsi="宋体" w:hint="eastAsia"/>
                <w:b/>
                <w:sz w:val="18"/>
                <w:szCs w:val="18"/>
              </w:rPr>
              <w:t>★</w:t>
            </w:r>
            <w:r>
              <w:rPr>
                <w:rFonts w:hint="eastAsia"/>
                <w:b/>
                <w:sz w:val="18"/>
                <w:szCs w:val="18"/>
              </w:rPr>
              <w:t>理财产品利益分配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宋体" w:cs="宋体"/>
                <w:bCs/>
                <w:kern w:val="2"/>
                <w:sz w:val="18"/>
                <w:szCs w:val="18"/>
              </w:rPr>
            </w:pPr>
            <w:r>
              <w:rPr>
                <w:rFonts w:asciiTheme="minorEastAsia" w:hAnsiTheme="minorEastAsia" w:cs="Times New Roman" w:hint="eastAsia"/>
                <w:sz w:val="18"/>
                <w:szCs w:val="18"/>
              </w:rPr>
              <w:t>本产品存续期间不分红。</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spacing w:line="360" w:lineRule="auto"/>
              <w:rPr>
                <w:rFonts w:asciiTheme="majorEastAsia" w:eastAsiaTheme="majorEastAsia" w:hAnsiTheme="majorEastAsia" w:cs="宋体"/>
                <w:bCs/>
                <w:color w:val="000000" w:themeColor="text1"/>
                <w:sz w:val="18"/>
                <w:szCs w:val="18"/>
              </w:rPr>
            </w:pPr>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33347B" w:rsidRDefault="0033347B">
            <w:pPr>
              <w:spacing w:line="360" w:lineRule="auto"/>
              <w:rPr>
                <w:rFonts w:ascii="宋体" w:eastAsia="宋体" w:hAnsi="宋体"/>
                <w:b/>
                <w:bCs/>
                <w:color w:val="000000" w:themeColor="text1"/>
                <w:sz w:val="18"/>
                <w:szCs w:val="18"/>
              </w:rPr>
            </w:pPr>
            <w:r>
              <w:rPr>
                <w:rFonts w:ascii="宋体" w:hAnsi="宋体" w:hint="eastAsia"/>
                <w:b/>
                <w:bCs/>
                <w:color w:val="000000" w:themeColor="text1"/>
                <w:sz w:val="18"/>
                <w:szCs w:val="18"/>
              </w:rPr>
              <w:t>1.</w:t>
            </w:r>
            <w:r>
              <w:rPr>
                <w:rFonts w:ascii="宋体" w:hAnsi="宋体" w:hint="eastAsia"/>
                <w:b/>
                <w:bCs/>
                <w:color w:val="000000" w:themeColor="text1"/>
                <w:sz w:val="18"/>
                <w:szCs w:val="18"/>
              </w:rPr>
              <w:t>理财产品的费率标准</w:t>
            </w:r>
          </w:p>
          <w:p w:rsidR="0033347B" w:rsidRDefault="0033347B">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lastRenderedPageBreak/>
              <w:t>（</w:t>
            </w:r>
            <w:r>
              <w:rPr>
                <w:rFonts w:ascii="宋体" w:hAnsi="宋体" w:hint="eastAsia"/>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w:t>
            </w:r>
          </w:p>
          <w:p w:rsidR="0033347B" w:rsidRDefault="0033347B">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（2）销售服</w:t>
            </w:r>
            <w:r>
              <w:rPr>
                <w:rFonts w:ascii="宋体" w:hAnsi="宋体" w:hint="eastAsia"/>
                <w:b/>
                <w:bCs/>
                <w:color w:val="000000" w:themeColor="text1"/>
                <w:sz w:val="18"/>
                <w:szCs w:val="18"/>
              </w:rPr>
              <w:t>务费：</w:t>
            </w:r>
          </w:p>
          <w:p w:rsidR="0033347B" w:rsidRDefault="0033347B">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【0.15%】</w:t>
            </w:r>
            <w:r>
              <w:rPr>
                <w:rFonts w:ascii="宋体" w:hAnsi="宋体" w:hint="eastAsia"/>
                <w:bCs/>
                <w:color w:val="000000" w:themeColor="text1"/>
                <w:sz w:val="18"/>
                <w:szCs w:val="18"/>
              </w:rPr>
              <w:t>。</w:t>
            </w:r>
          </w:p>
          <w:p w:rsidR="0033347B" w:rsidRDefault="0033347B">
            <w:pPr>
              <w:spacing w:line="360" w:lineRule="auto"/>
              <w:rPr>
                <w:rFonts w:ascii="宋体" w:eastAsia="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3</w:t>
            </w:r>
            <w:r>
              <w:rPr>
                <w:rFonts w:ascii="宋体" w:hAnsi="宋体" w:hint="eastAsia"/>
                <w:b/>
                <w:bCs/>
                <w:color w:val="000000" w:themeColor="text1"/>
                <w:sz w:val="18"/>
                <w:szCs w:val="18"/>
              </w:rPr>
              <w:t>）投资管理费：</w:t>
            </w:r>
          </w:p>
          <w:p w:rsidR="0033347B" w:rsidRDefault="0033347B">
            <w:pPr>
              <w:spacing w:line="360" w:lineRule="auto"/>
              <w:rPr>
                <w:rFonts w:ascii="宋体" w:hAnsi="宋体"/>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【0.15%】</w:t>
            </w:r>
            <w:r>
              <w:rPr>
                <w:rFonts w:ascii="宋体" w:hAnsi="宋体" w:hint="eastAsia"/>
                <w:bCs/>
                <w:color w:val="000000" w:themeColor="text1"/>
                <w:sz w:val="18"/>
                <w:szCs w:val="18"/>
              </w:rPr>
              <w:t>。</w:t>
            </w:r>
          </w:p>
          <w:p w:rsidR="0033347B" w:rsidRDefault="0033347B">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【0.03%】</w:t>
            </w:r>
            <w:r>
              <w:rPr>
                <w:rFonts w:ascii="宋体" w:hAnsi="宋体" w:hint="eastAsia"/>
                <w:bCs/>
                <w:color w:val="000000" w:themeColor="text1"/>
                <w:sz w:val="18"/>
                <w:szCs w:val="18"/>
              </w:rPr>
              <w:t>。</w:t>
            </w:r>
          </w:p>
          <w:p w:rsidR="0033347B" w:rsidRDefault="0033347B">
            <w:pPr>
              <w:spacing w:line="360" w:lineRule="auto"/>
              <w:rPr>
                <w:rFonts w:ascii="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5</w:t>
            </w:r>
            <w:r>
              <w:rPr>
                <w:rFonts w:ascii="宋体" w:hAnsi="宋体" w:hint="eastAsia"/>
                <w:b/>
                <w:bCs/>
                <w:color w:val="000000" w:themeColor="text1"/>
                <w:sz w:val="18"/>
                <w:szCs w:val="18"/>
              </w:rPr>
              <w:t>）超额业绩报酬：</w:t>
            </w:r>
          </w:p>
          <w:p w:rsidR="0033347B" w:rsidRDefault="0033347B">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每份产品份额在超额业绩报酬计提日时，若理财资产扣除销售服务费、产品托管费和投资管理费等相关费用后，超额业绩报酬计提日产品份额净值折算</w:t>
            </w:r>
            <w:proofErr w:type="gramStart"/>
            <w:r>
              <w:rPr>
                <w:rFonts w:asciiTheme="majorEastAsia" w:eastAsiaTheme="majorEastAsia" w:hAnsiTheme="majorEastAsia" w:hint="eastAsia"/>
                <w:bCs/>
                <w:sz w:val="18"/>
                <w:szCs w:val="18"/>
              </w:rPr>
              <w:t>的年化收益率</w:t>
            </w:r>
            <w:proofErr w:type="gramEnd"/>
            <w:r>
              <w:rPr>
                <w:rFonts w:asciiTheme="majorEastAsia" w:eastAsiaTheme="majorEastAsia" w:hAnsiTheme="majorEastAsia" w:hint="eastAsia"/>
                <w:bCs/>
                <w:sz w:val="18"/>
                <w:szCs w:val="18"/>
              </w:rPr>
              <w:t>超过业绩报酬计提基准，则产品管理人收取超出部分的【50%】作为超额业绩报酬。</w:t>
            </w:r>
          </w:p>
          <w:p w:rsidR="0033347B" w:rsidRDefault="0033347B">
            <w:pPr>
              <w:widowControl w:val="0"/>
              <w:spacing w:line="360" w:lineRule="auto"/>
              <w:jc w:val="both"/>
              <w:rPr>
                <w:rFonts w:ascii="黑体" w:eastAsia="黑体" w:hAnsi="黑体" w:cs="宋体"/>
                <w:bCs/>
                <w:kern w:val="2"/>
                <w:sz w:val="18"/>
                <w:szCs w:val="18"/>
              </w:rPr>
            </w:pPr>
            <w:r>
              <w:rPr>
                <w:rFonts w:ascii="宋体" w:hAnsi="宋体" w:hint="eastAsia"/>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产品管理人保留变更上述理财产品收取费率标准的权利。</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Calibri" w:hAnsi="宋体" w:cs="宋体"/>
                <w:kern w:val="2"/>
                <w:sz w:val="18"/>
                <w:szCs w:val="18"/>
              </w:rPr>
            </w:pPr>
            <w:r>
              <w:rPr>
                <w:rFonts w:ascii="宋体" w:hAnsi="宋体" w:hint="eastAsia"/>
                <w:b/>
                <w:bCs/>
                <w:sz w:val="18"/>
                <w:szCs w:val="18"/>
              </w:rPr>
              <w:lastRenderedPageBreak/>
              <w:t>税收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jc w:val="both"/>
              <w:rPr>
                <w:rFonts w:ascii="宋体" w:hAnsi="宋体" w:cs="宋体"/>
                <w:bCs/>
                <w:color w:val="000000" w:themeColor="text1"/>
                <w:kern w:val="2"/>
                <w:sz w:val="18"/>
                <w:szCs w:val="18"/>
              </w:rPr>
            </w:pPr>
            <w:r>
              <w:rPr>
                <w:rFonts w:hAnsi="宋体" w:cs="仿宋_GB2312" w:hint="eastAsia"/>
                <w:sz w:val="18"/>
                <w:szCs w:val="18"/>
              </w:rPr>
              <w:t>本理财产品运作过程中涉及的各纳税主体，其纳税义务按国家税收法律、法规执行。</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理财产品份额的转让</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宋体" w:hAnsi="宋体" w:cs="宋体"/>
                <w:kern w:val="2"/>
                <w:sz w:val="18"/>
                <w:szCs w:val="18"/>
              </w:rPr>
            </w:pPr>
            <w:r>
              <w:rPr>
                <w:rFonts w:ascii="宋体" w:hAnsi="宋体" w:hint="eastAsia"/>
                <w:sz w:val="18"/>
                <w:szCs w:val="18"/>
              </w:rPr>
              <w:t>理财产品份额的转让将依照理财产品销售文件及销售机构的业务政策执行。</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理财产品份额的质押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宋体" w:hAnsi="宋体" w:cs="宋体"/>
                <w:kern w:val="2"/>
                <w:sz w:val="18"/>
                <w:szCs w:val="18"/>
              </w:rPr>
            </w:pPr>
            <w:r>
              <w:rPr>
                <w:rFonts w:ascii="宋体" w:hAnsi="宋体" w:hint="eastAsia"/>
                <w:sz w:val="18"/>
                <w:szCs w:val="18"/>
              </w:rPr>
              <w:t>理财产品份额的质押将依照理财产品销售文件及销售机构的业务政策执行。</w:t>
            </w:r>
          </w:p>
        </w:tc>
      </w:tr>
      <w:tr w:rsidR="0033347B" w:rsidTr="0033347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bCs/>
                <w:sz w:val="18"/>
                <w:szCs w:val="18"/>
              </w:rPr>
              <w:t>本产品投资的金融衍生品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33347B" w:rsidRDefault="0033347B">
            <w:pPr>
              <w:widowControl w:val="0"/>
              <w:spacing w:line="360" w:lineRule="auto"/>
              <w:rPr>
                <w:rFonts w:ascii="宋体" w:hAnsi="宋体" w:cs="宋体"/>
                <w:kern w:val="2"/>
                <w:sz w:val="18"/>
                <w:szCs w:val="18"/>
              </w:rPr>
            </w:pPr>
            <w:r>
              <w:rPr>
                <w:rFonts w:ascii="宋体" w:hAnsi="宋体" w:hint="eastAsia"/>
                <w:sz w:val="18"/>
                <w:szCs w:val="18"/>
              </w:rPr>
              <w:t>本产品所投资的“金融衍生品”</w:t>
            </w:r>
            <w:r>
              <w:rPr>
                <w:rFonts w:hAnsi="宋体" w:hint="eastAsia"/>
                <w:sz w:val="18"/>
                <w:szCs w:val="18"/>
              </w:rPr>
              <w:t>（【</w:t>
            </w:r>
            <w:r>
              <w:rPr>
                <w:rFonts w:hAnsi="宋体" w:hint="eastAsia"/>
                <w:b/>
                <w:bCs/>
                <w:sz w:val="18"/>
                <w:szCs w:val="18"/>
              </w:rPr>
              <w:t>看涨自动敲出期权</w:t>
            </w:r>
            <w:r>
              <w:rPr>
                <w:rFonts w:hAnsi="宋体" w:hint="eastAsia"/>
                <w:sz w:val="18"/>
                <w:szCs w:val="18"/>
              </w:rPr>
              <w:t>】）</w:t>
            </w:r>
            <w:r>
              <w:rPr>
                <w:rFonts w:ascii="宋体" w:hAnsi="宋体" w:hint="eastAsia"/>
                <w:sz w:val="18"/>
                <w:szCs w:val="18"/>
              </w:rPr>
              <w:t>，详见“第五条理财产品的投资”</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D6704B" w:rsidRDefault="0068015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w:t>
      </w:r>
      <w:r w:rsidR="00D6704B"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丰利兴动多策略</w:t>
      </w:r>
      <w:r w:rsidR="00155E41">
        <w:rPr>
          <w:rFonts w:ascii="仿宋_GB2312" w:eastAsia="仿宋_GB2312" w:hAnsi="微软雅黑" w:cs="宋体" w:hint="eastAsia"/>
          <w:color w:val="000000"/>
          <w:sz w:val="32"/>
          <w:szCs w:val="32"/>
        </w:rPr>
        <w:t>封闭式33号</w:t>
      </w:r>
      <w:r w:rsidR="00E0416D" w:rsidRPr="00E0416D">
        <w:rPr>
          <w:rFonts w:ascii="仿宋_GB2312" w:eastAsia="仿宋_GB2312" w:hAnsi="微软雅黑" w:cs="宋体" w:hint="eastAsia"/>
          <w:color w:val="000000"/>
          <w:sz w:val="32"/>
          <w:szCs w:val="32"/>
        </w:rPr>
        <w:t>增强型固收类</w:t>
      </w:r>
      <w:r w:rsidR="00D6704B" w:rsidRPr="00D6704B">
        <w:rPr>
          <w:rFonts w:ascii="仿宋_GB2312" w:eastAsia="仿宋_GB2312" w:hAnsi="微软雅黑" w:cs="宋体" w:hint="eastAsia"/>
          <w:color w:val="000000"/>
          <w:sz w:val="32"/>
          <w:szCs w:val="32"/>
        </w:rPr>
        <w:t>】理财产品投资协议书</w:t>
      </w:r>
    </w:p>
    <w:p w:rsidR="00D6704B" w:rsidRDefault="00D6704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 xml:space="preserve">      </w:t>
      </w:r>
      <w:r w:rsidR="008026DB">
        <w:rPr>
          <w:rFonts w:ascii="仿宋_GB2312" w:eastAsia="仿宋_GB2312" w:hAnsi="微软雅黑" w:cs="宋体" w:hint="eastAsia"/>
          <w:color w:val="000000"/>
          <w:sz w:val="32"/>
          <w:szCs w:val="32"/>
        </w:rPr>
        <w:t>2.</w:t>
      </w:r>
      <w:r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丰利兴动多策略</w:t>
      </w:r>
      <w:r w:rsidR="00155E41">
        <w:rPr>
          <w:rFonts w:ascii="仿宋_GB2312" w:eastAsia="仿宋_GB2312" w:hAnsi="微软雅黑" w:cs="宋体" w:hint="eastAsia"/>
          <w:color w:val="000000"/>
          <w:sz w:val="32"/>
          <w:szCs w:val="32"/>
        </w:rPr>
        <w:t>封闭式33号</w:t>
      </w:r>
      <w:r w:rsidR="00E0416D" w:rsidRPr="00E0416D">
        <w:rPr>
          <w:rFonts w:ascii="仿宋_GB2312" w:eastAsia="仿宋_GB2312" w:hAnsi="微软雅黑" w:cs="宋体" w:hint="eastAsia"/>
          <w:color w:val="000000"/>
          <w:sz w:val="32"/>
          <w:szCs w:val="32"/>
        </w:rPr>
        <w:t>增强型固收类</w:t>
      </w:r>
      <w:r w:rsidRPr="00D6704B">
        <w:rPr>
          <w:rFonts w:ascii="仿宋_GB2312" w:eastAsia="仿宋_GB2312" w:hAnsi="微软雅黑" w:cs="宋体" w:hint="eastAsia"/>
          <w:color w:val="000000"/>
          <w:sz w:val="32"/>
          <w:szCs w:val="32"/>
        </w:rPr>
        <w:t>】理财产品说明书</w:t>
      </w:r>
    </w:p>
    <w:p w:rsidR="00411704" w:rsidRDefault="00D6704B"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3.</w:t>
      </w:r>
      <w:r w:rsidR="00411704"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丰利兴动多策略</w:t>
      </w:r>
      <w:r w:rsidR="00155E41">
        <w:rPr>
          <w:rFonts w:ascii="仿宋_GB2312" w:eastAsia="仿宋_GB2312" w:hAnsi="微软雅黑" w:cs="宋体" w:hint="eastAsia"/>
          <w:color w:val="000000"/>
          <w:sz w:val="32"/>
          <w:szCs w:val="32"/>
        </w:rPr>
        <w:t>封闭式33号</w:t>
      </w:r>
      <w:r w:rsidR="00E0416D" w:rsidRPr="00E0416D">
        <w:rPr>
          <w:rFonts w:ascii="仿宋_GB2312" w:eastAsia="仿宋_GB2312" w:hAnsi="微软雅黑" w:cs="宋体" w:hint="eastAsia"/>
          <w:color w:val="000000"/>
          <w:sz w:val="32"/>
          <w:szCs w:val="32"/>
        </w:rPr>
        <w:t>增强型固收类</w:t>
      </w:r>
      <w:r w:rsidR="00411704" w:rsidRPr="00411704">
        <w:rPr>
          <w:rFonts w:ascii="仿宋_GB2312" w:eastAsia="仿宋_GB2312" w:hAnsi="微软雅黑" w:cs="宋体" w:hint="eastAsia"/>
          <w:color w:val="000000"/>
          <w:sz w:val="32"/>
          <w:szCs w:val="32"/>
        </w:rPr>
        <w:t>】理财产品（代理）销售协议书</w:t>
      </w:r>
    </w:p>
    <w:p w:rsidR="00411704" w:rsidRDefault="00411704"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4.</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丰利兴动多策略</w:t>
      </w:r>
      <w:r w:rsidR="00155E41">
        <w:rPr>
          <w:rFonts w:ascii="仿宋_GB2312" w:eastAsia="仿宋_GB2312" w:hAnsi="微软雅黑" w:cs="宋体" w:hint="eastAsia"/>
          <w:color w:val="000000"/>
          <w:sz w:val="32"/>
          <w:szCs w:val="32"/>
        </w:rPr>
        <w:t>封闭式33号</w:t>
      </w:r>
      <w:r w:rsidR="00E0416D" w:rsidRPr="00E0416D">
        <w:rPr>
          <w:rFonts w:ascii="仿宋_GB2312" w:eastAsia="仿宋_GB2312" w:hAnsi="微软雅黑" w:cs="宋体" w:hint="eastAsia"/>
          <w:color w:val="000000"/>
          <w:sz w:val="32"/>
          <w:szCs w:val="32"/>
        </w:rPr>
        <w:t>增强型固收类</w:t>
      </w:r>
      <w:r w:rsidRPr="00411704">
        <w:rPr>
          <w:rFonts w:ascii="仿宋_GB2312" w:eastAsia="仿宋_GB2312" w:hAnsi="微软雅黑" w:cs="宋体" w:hint="eastAsia"/>
          <w:color w:val="000000"/>
          <w:sz w:val="32"/>
          <w:szCs w:val="32"/>
        </w:rPr>
        <w:t>】理财产品风险揭示书</w:t>
      </w:r>
    </w:p>
    <w:p w:rsidR="00C934C7" w:rsidRPr="009972AD" w:rsidRDefault="00411704" w:rsidP="009972AD">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8026DB">
        <w:rPr>
          <w:rFonts w:ascii="仿宋_GB2312" w:eastAsia="仿宋_GB2312" w:hAnsi="微软雅黑" w:cs="宋体" w:hint="eastAsia"/>
          <w:color w:val="000000"/>
          <w:sz w:val="32"/>
          <w:szCs w:val="32"/>
        </w:rPr>
        <w:t>5.</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丰利兴动多策略</w:t>
      </w:r>
      <w:r w:rsidR="00155E41">
        <w:rPr>
          <w:rFonts w:ascii="仿宋_GB2312" w:eastAsia="仿宋_GB2312" w:hAnsi="微软雅黑" w:cs="宋体" w:hint="eastAsia"/>
          <w:color w:val="000000"/>
          <w:sz w:val="32"/>
          <w:szCs w:val="32"/>
        </w:rPr>
        <w:t>封闭式33号</w:t>
      </w:r>
      <w:r w:rsidR="00E0416D" w:rsidRPr="00E0416D">
        <w:rPr>
          <w:rFonts w:ascii="仿宋_GB2312" w:eastAsia="仿宋_GB2312" w:hAnsi="微软雅黑" w:cs="宋体" w:hint="eastAsia"/>
          <w:color w:val="000000"/>
          <w:sz w:val="32"/>
          <w:szCs w:val="32"/>
        </w:rPr>
        <w:t>增强型固收类</w:t>
      </w:r>
      <w:r w:rsidRPr="00411704">
        <w:rPr>
          <w:rFonts w:ascii="仿宋_GB2312" w:eastAsia="仿宋_GB2312" w:hAnsi="微软雅黑" w:cs="宋体" w:hint="eastAsia"/>
          <w:color w:val="000000"/>
          <w:sz w:val="32"/>
          <w:szCs w:val="32"/>
        </w:rPr>
        <w:t>】理财产品投资者权益须知</w:t>
      </w:r>
    </w:p>
    <w:p w:rsidR="00C934C7" w:rsidRPr="004F5EEB" w:rsidRDefault="004F5EEB" w:rsidP="004F5EEB">
      <w:pPr>
        <w:adjustRightInd/>
        <w:snapToGrid/>
        <w:spacing w:after="0"/>
        <w:ind w:firstLineChars="200" w:firstLine="600"/>
        <w:rPr>
          <w:rFonts w:ascii="仿宋_GB2312" w:eastAsia="仿宋_GB2312" w:hAnsi="微软雅黑" w:cs="宋体"/>
          <w:color w:val="000000"/>
          <w:sz w:val="32"/>
          <w:szCs w:val="32"/>
        </w:rPr>
      </w:pPr>
      <w:r>
        <w:rPr>
          <w:rFonts w:ascii="微软雅黑" w:hAnsi="微软雅黑" w:cs="宋体" w:hint="eastAsia"/>
          <w:color w:val="000000"/>
          <w:sz w:val="30"/>
          <w:szCs w:val="30"/>
        </w:rPr>
        <w:t xml:space="preserve">         </w:t>
      </w:r>
      <w:r>
        <w:rPr>
          <w:rFonts w:ascii="仿宋_GB2312" w:eastAsia="仿宋_GB2312" w:hAnsi="微软雅黑" w:cs="宋体" w:hint="eastAsia"/>
          <w:color w:val="000000"/>
          <w:sz w:val="32"/>
          <w:szCs w:val="32"/>
        </w:rPr>
        <w:t xml:space="preserve"> </w:t>
      </w:r>
      <w:r w:rsidRPr="004F5EEB">
        <w:rPr>
          <w:rFonts w:ascii="仿宋_GB2312" w:eastAsia="仿宋_GB2312" w:hAnsi="微软雅黑" w:cs="宋体" w:hint="eastAsia"/>
          <w:color w:val="000000"/>
          <w:sz w:val="32"/>
          <w:szCs w:val="32"/>
        </w:rPr>
        <w:t>6.理财系统操作指引</w:t>
      </w:r>
    </w:p>
    <w:p w:rsidR="004F5EEB" w:rsidRDefault="004F5EEB">
      <w:pPr>
        <w:adjustRightInd/>
        <w:snapToGrid/>
        <w:spacing w:after="0"/>
        <w:ind w:firstLine="5760"/>
        <w:rPr>
          <w:rFonts w:ascii="仿宋_GB2312" w:eastAsia="仿宋_GB2312" w:hAnsi="微软雅黑" w:cs="宋体"/>
          <w:color w:val="000000"/>
          <w:sz w:val="32"/>
          <w:szCs w:val="32"/>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18184D">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33347B">
        <w:rPr>
          <w:rFonts w:ascii="仿宋_GB2312" w:eastAsia="仿宋_GB2312" w:hAnsi="微软雅黑" w:cs="宋体" w:hint="eastAsia"/>
          <w:color w:val="000000"/>
          <w:sz w:val="32"/>
          <w:szCs w:val="32"/>
        </w:rPr>
        <w:t>7</w:t>
      </w:r>
      <w:r>
        <w:rPr>
          <w:rFonts w:ascii="仿宋_GB2312" w:eastAsia="仿宋_GB2312" w:hAnsi="微软雅黑" w:cs="宋体" w:hint="eastAsia"/>
          <w:color w:val="000000"/>
          <w:sz w:val="32"/>
          <w:szCs w:val="32"/>
        </w:rPr>
        <w:t>月</w:t>
      </w:r>
      <w:r w:rsidR="0033347B">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简仿宋">
    <w:altName w:val="宋体"/>
    <w:charset w:val="86"/>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087B"/>
    <w:rsid w:val="00002A13"/>
    <w:rsid w:val="00014D89"/>
    <w:rsid w:val="0002233E"/>
    <w:rsid w:val="00025736"/>
    <w:rsid w:val="000326DD"/>
    <w:rsid w:val="000430CA"/>
    <w:rsid w:val="00050465"/>
    <w:rsid w:val="000547BB"/>
    <w:rsid w:val="0006322B"/>
    <w:rsid w:val="00070A62"/>
    <w:rsid w:val="0007298C"/>
    <w:rsid w:val="000729EB"/>
    <w:rsid w:val="00080415"/>
    <w:rsid w:val="000812F4"/>
    <w:rsid w:val="00085A1E"/>
    <w:rsid w:val="000936F7"/>
    <w:rsid w:val="000957AC"/>
    <w:rsid w:val="000A5028"/>
    <w:rsid w:val="000C3554"/>
    <w:rsid w:val="000E18A2"/>
    <w:rsid w:val="000E1FA9"/>
    <w:rsid w:val="000E7543"/>
    <w:rsid w:val="0010440D"/>
    <w:rsid w:val="00110B5C"/>
    <w:rsid w:val="00117F99"/>
    <w:rsid w:val="001225F8"/>
    <w:rsid w:val="00155E41"/>
    <w:rsid w:val="00157799"/>
    <w:rsid w:val="00160908"/>
    <w:rsid w:val="00163148"/>
    <w:rsid w:val="00174CF3"/>
    <w:rsid w:val="00174FC8"/>
    <w:rsid w:val="0018184D"/>
    <w:rsid w:val="00182785"/>
    <w:rsid w:val="00183D9A"/>
    <w:rsid w:val="001930D1"/>
    <w:rsid w:val="001A0550"/>
    <w:rsid w:val="001A556D"/>
    <w:rsid w:val="001B1CDF"/>
    <w:rsid w:val="001B2273"/>
    <w:rsid w:val="001C7D22"/>
    <w:rsid w:val="001D0AE1"/>
    <w:rsid w:val="001D40A6"/>
    <w:rsid w:val="001F72B5"/>
    <w:rsid w:val="00201E20"/>
    <w:rsid w:val="00205C3A"/>
    <w:rsid w:val="00206F8F"/>
    <w:rsid w:val="00207F97"/>
    <w:rsid w:val="00214CF7"/>
    <w:rsid w:val="00216E71"/>
    <w:rsid w:val="002235BC"/>
    <w:rsid w:val="00233CED"/>
    <w:rsid w:val="00236FDA"/>
    <w:rsid w:val="0024426C"/>
    <w:rsid w:val="002513BD"/>
    <w:rsid w:val="00257856"/>
    <w:rsid w:val="00277323"/>
    <w:rsid w:val="002777A1"/>
    <w:rsid w:val="00283408"/>
    <w:rsid w:val="002866F6"/>
    <w:rsid w:val="0029028F"/>
    <w:rsid w:val="002B1948"/>
    <w:rsid w:val="002C248B"/>
    <w:rsid w:val="002D757D"/>
    <w:rsid w:val="002D7671"/>
    <w:rsid w:val="002E2039"/>
    <w:rsid w:val="002E3ECB"/>
    <w:rsid w:val="002E7145"/>
    <w:rsid w:val="002F07C0"/>
    <w:rsid w:val="002F7158"/>
    <w:rsid w:val="003059D5"/>
    <w:rsid w:val="00320D56"/>
    <w:rsid w:val="00322F4C"/>
    <w:rsid w:val="00323B43"/>
    <w:rsid w:val="0033347B"/>
    <w:rsid w:val="00347193"/>
    <w:rsid w:val="00353BA9"/>
    <w:rsid w:val="00355E21"/>
    <w:rsid w:val="00357EB7"/>
    <w:rsid w:val="00361A72"/>
    <w:rsid w:val="0036454A"/>
    <w:rsid w:val="00385F54"/>
    <w:rsid w:val="003877F7"/>
    <w:rsid w:val="00393219"/>
    <w:rsid w:val="003C0D6B"/>
    <w:rsid w:val="003C1D41"/>
    <w:rsid w:val="003D23DB"/>
    <w:rsid w:val="003D37D8"/>
    <w:rsid w:val="003D4715"/>
    <w:rsid w:val="003E2BFC"/>
    <w:rsid w:val="003F3C0B"/>
    <w:rsid w:val="003F70AB"/>
    <w:rsid w:val="003F7552"/>
    <w:rsid w:val="004056BC"/>
    <w:rsid w:val="00410A33"/>
    <w:rsid w:val="00411704"/>
    <w:rsid w:val="00415E16"/>
    <w:rsid w:val="00422AD1"/>
    <w:rsid w:val="00426133"/>
    <w:rsid w:val="00431C9E"/>
    <w:rsid w:val="004349C0"/>
    <w:rsid w:val="004358AB"/>
    <w:rsid w:val="00443E90"/>
    <w:rsid w:val="00450005"/>
    <w:rsid w:val="00450C77"/>
    <w:rsid w:val="0045680A"/>
    <w:rsid w:val="0046731B"/>
    <w:rsid w:val="00471A3B"/>
    <w:rsid w:val="004749F0"/>
    <w:rsid w:val="00476C3B"/>
    <w:rsid w:val="0049140E"/>
    <w:rsid w:val="004950F4"/>
    <w:rsid w:val="00496E4F"/>
    <w:rsid w:val="00497F4B"/>
    <w:rsid w:val="004B003C"/>
    <w:rsid w:val="004C175A"/>
    <w:rsid w:val="004C2C74"/>
    <w:rsid w:val="004E619A"/>
    <w:rsid w:val="004F4834"/>
    <w:rsid w:val="004F5EEB"/>
    <w:rsid w:val="00510995"/>
    <w:rsid w:val="005168C5"/>
    <w:rsid w:val="005218F6"/>
    <w:rsid w:val="00523BDD"/>
    <w:rsid w:val="0052515C"/>
    <w:rsid w:val="00530F2D"/>
    <w:rsid w:val="00536DF2"/>
    <w:rsid w:val="00542DAC"/>
    <w:rsid w:val="00543584"/>
    <w:rsid w:val="00543782"/>
    <w:rsid w:val="0055369F"/>
    <w:rsid w:val="00561329"/>
    <w:rsid w:val="00575FD0"/>
    <w:rsid w:val="00577BF0"/>
    <w:rsid w:val="005B1774"/>
    <w:rsid w:val="005B45CF"/>
    <w:rsid w:val="005C155D"/>
    <w:rsid w:val="005C31E9"/>
    <w:rsid w:val="005D072F"/>
    <w:rsid w:val="005F2B78"/>
    <w:rsid w:val="005F3FF9"/>
    <w:rsid w:val="00606205"/>
    <w:rsid w:val="00607EC0"/>
    <w:rsid w:val="00610019"/>
    <w:rsid w:val="006110FC"/>
    <w:rsid w:val="00611544"/>
    <w:rsid w:val="006128D5"/>
    <w:rsid w:val="006148C9"/>
    <w:rsid w:val="0061606F"/>
    <w:rsid w:val="006214F4"/>
    <w:rsid w:val="00660578"/>
    <w:rsid w:val="00677D5A"/>
    <w:rsid w:val="0068015B"/>
    <w:rsid w:val="00692F5E"/>
    <w:rsid w:val="006B000A"/>
    <w:rsid w:val="006B2010"/>
    <w:rsid w:val="006C00E7"/>
    <w:rsid w:val="006C44CC"/>
    <w:rsid w:val="006C5545"/>
    <w:rsid w:val="006C68D5"/>
    <w:rsid w:val="006F6C7B"/>
    <w:rsid w:val="006F7856"/>
    <w:rsid w:val="00701C74"/>
    <w:rsid w:val="0070239F"/>
    <w:rsid w:val="00714B02"/>
    <w:rsid w:val="00714B88"/>
    <w:rsid w:val="00722456"/>
    <w:rsid w:val="00723447"/>
    <w:rsid w:val="007248B8"/>
    <w:rsid w:val="00727328"/>
    <w:rsid w:val="0073172D"/>
    <w:rsid w:val="0073205A"/>
    <w:rsid w:val="00732E46"/>
    <w:rsid w:val="00740E8C"/>
    <w:rsid w:val="00741563"/>
    <w:rsid w:val="00747E0A"/>
    <w:rsid w:val="007675CD"/>
    <w:rsid w:val="007730D9"/>
    <w:rsid w:val="00783419"/>
    <w:rsid w:val="007865C9"/>
    <w:rsid w:val="00793A91"/>
    <w:rsid w:val="00796629"/>
    <w:rsid w:val="007A6260"/>
    <w:rsid w:val="007C44C4"/>
    <w:rsid w:val="007D35F2"/>
    <w:rsid w:val="008026DB"/>
    <w:rsid w:val="008201C5"/>
    <w:rsid w:val="00827FB9"/>
    <w:rsid w:val="008445DB"/>
    <w:rsid w:val="008450A8"/>
    <w:rsid w:val="00846546"/>
    <w:rsid w:val="00847424"/>
    <w:rsid w:val="0084798A"/>
    <w:rsid w:val="008507C0"/>
    <w:rsid w:val="0085497C"/>
    <w:rsid w:val="00854BCB"/>
    <w:rsid w:val="008557CB"/>
    <w:rsid w:val="008576E7"/>
    <w:rsid w:val="00867E9B"/>
    <w:rsid w:val="00884835"/>
    <w:rsid w:val="008930CD"/>
    <w:rsid w:val="00893277"/>
    <w:rsid w:val="00895EEF"/>
    <w:rsid w:val="00896D1C"/>
    <w:rsid w:val="00897920"/>
    <w:rsid w:val="008A6AC1"/>
    <w:rsid w:val="008B008A"/>
    <w:rsid w:val="008B2815"/>
    <w:rsid w:val="008B4334"/>
    <w:rsid w:val="008B450C"/>
    <w:rsid w:val="008B4E39"/>
    <w:rsid w:val="008B6523"/>
    <w:rsid w:val="008B7726"/>
    <w:rsid w:val="008C2A99"/>
    <w:rsid w:val="008C4BB5"/>
    <w:rsid w:val="008E41F8"/>
    <w:rsid w:val="008F2B7A"/>
    <w:rsid w:val="008F5738"/>
    <w:rsid w:val="008F6E96"/>
    <w:rsid w:val="008F7CA5"/>
    <w:rsid w:val="00903E35"/>
    <w:rsid w:val="00911DE1"/>
    <w:rsid w:val="00916AFD"/>
    <w:rsid w:val="009213A9"/>
    <w:rsid w:val="00946A28"/>
    <w:rsid w:val="00951BFC"/>
    <w:rsid w:val="00953E58"/>
    <w:rsid w:val="0096633A"/>
    <w:rsid w:val="0096677C"/>
    <w:rsid w:val="00971266"/>
    <w:rsid w:val="00986A17"/>
    <w:rsid w:val="00996AC4"/>
    <w:rsid w:val="009972AD"/>
    <w:rsid w:val="009A372B"/>
    <w:rsid w:val="009A5FF7"/>
    <w:rsid w:val="009A6611"/>
    <w:rsid w:val="009A6871"/>
    <w:rsid w:val="009B21F1"/>
    <w:rsid w:val="009B2786"/>
    <w:rsid w:val="009D1D85"/>
    <w:rsid w:val="009E16F2"/>
    <w:rsid w:val="00A01DF4"/>
    <w:rsid w:val="00A063A8"/>
    <w:rsid w:val="00A10113"/>
    <w:rsid w:val="00A215C9"/>
    <w:rsid w:val="00A30CF8"/>
    <w:rsid w:val="00A327C4"/>
    <w:rsid w:val="00A4169B"/>
    <w:rsid w:val="00A45C0B"/>
    <w:rsid w:val="00A54155"/>
    <w:rsid w:val="00A65280"/>
    <w:rsid w:val="00A6775F"/>
    <w:rsid w:val="00A838DC"/>
    <w:rsid w:val="00A84AE0"/>
    <w:rsid w:val="00A9135E"/>
    <w:rsid w:val="00A9294C"/>
    <w:rsid w:val="00AA23FA"/>
    <w:rsid w:val="00AA52F1"/>
    <w:rsid w:val="00AB5EC5"/>
    <w:rsid w:val="00AB6BA4"/>
    <w:rsid w:val="00AC33B2"/>
    <w:rsid w:val="00AC51A3"/>
    <w:rsid w:val="00AC6774"/>
    <w:rsid w:val="00AD4C9C"/>
    <w:rsid w:val="00AE34B8"/>
    <w:rsid w:val="00AE6487"/>
    <w:rsid w:val="00AF3E9A"/>
    <w:rsid w:val="00B01B88"/>
    <w:rsid w:val="00B02F94"/>
    <w:rsid w:val="00B126A7"/>
    <w:rsid w:val="00B205DE"/>
    <w:rsid w:val="00B21220"/>
    <w:rsid w:val="00B22801"/>
    <w:rsid w:val="00B24A4C"/>
    <w:rsid w:val="00B27E33"/>
    <w:rsid w:val="00B4312B"/>
    <w:rsid w:val="00B4326E"/>
    <w:rsid w:val="00B70F3B"/>
    <w:rsid w:val="00B73A10"/>
    <w:rsid w:val="00B92843"/>
    <w:rsid w:val="00B941A3"/>
    <w:rsid w:val="00B941AB"/>
    <w:rsid w:val="00BA2412"/>
    <w:rsid w:val="00BA7E49"/>
    <w:rsid w:val="00BC7E3B"/>
    <w:rsid w:val="00BD2362"/>
    <w:rsid w:val="00BD7306"/>
    <w:rsid w:val="00BE351A"/>
    <w:rsid w:val="00BF5165"/>
    <w:rsid w:val="00C00041"/>
    <w:rsid w:val="00C15704"/>
    <w:rsid w:val="00C17395"/>
    <w:rsid w:val="00C23A87"/>
    <w:rsid w:val="00C3534B"/>
    <w:rsid w:val="00C468C3"/>
    <w:rsid w:val="00C50B0B"/>
    <w:rsid w:val="00C54F31"/>
    <w:rsid w:val="00C66A8C"/>
    <w:rsid w:val="00C71423"/>
    <w:rsid w:val="00C77D66"/>
    <w:rsid w:val="00C90F31"/>
    <w:rsid w:val="00C934C7"/>
    <w:rsid w:val="00C93BCF"/>
    <w:rsid w:val="00CA70DD"/>
    <w:rsid w:val="00CB16FF"/>
    <w:rsid w:val="00CB29BA"/>
    <w:rsid w:val="00CB2A01"/>
    <w:rsid w:val="00CB4B4F"/>
    <w:rsid w:val="00CD21BA"/>
    <w:rsid w:val="00CD328F"/>
    <w:rsid w:val="00CD4295"/>
    <w:rsid w:val="00CD4F0F"/>
    <w:rsid w:val="00CD74BD"/>
    <w:rsid w:val="00CE0BFB"/>
    <w:rsid w:val="00CE0C36"/>
    <w:rsid w:val="00CE130E"/>
    <w:rsid w:val="00CE2473"/>
    <w:rsid w:val="00CF2A33"/>
    <w:rsid w:val="00CF5224"/>
    <w:rsid w:val="00D0319E"/>
    <w:rsid w:val="00D10241"/>
    <w:rsid w:val="00D20983"/>
    <w:rsid w:val="00D20ABB"/>
    <w:rsid w:val="00D20F22"/>
    <w:rsid w:val="00D2711A"/>
    <w:rsid w:val="00D31D50"/>
    <w:rsid w:val="00D42DFD"/>
    <w:rsid w:val="00D476F9"/>
    <w:rsid w:val="00D51249"/>
    <w:rsid w:val="00D5491D"/>
    <w:rsid w:val="00D55052"/>
    <w:rsid w:val="00D57726"/>
    <w:rsid w:val="00D57C98"/>
    <w:rsid w:val="00D6704B"/>
    <w:rsid w:val="00D67754"/>
    <w:rsid w:val="00D763B7"/>
    <w:rsid w:val="00D80BDE"/>
    <w:rsid w:val="00DA521E"/>
    <w:rsid w:val="00DB1998"/>
    <w:rsid w:val="00DB267C"/>
    <w:rsid w:val="00DC08E6"/>
    <w:rsid w:val="00DD1E41"/>
    <w:rsid w:val="00DD52AA"/>
    <w:rsid w:val="00DE145A"/>
    <w:rsid w:val="00DF18D2"/>
    <w:rsid w:val="00E0416D"/>
    <w:rsid w:val="00E05633"/>
    <w:rsid w:val="00E14630"/>
    <w:rsid w:val="00E210A0"/>
    <w:rsid w:val="00E328E5"/>
    <w:rsid w:val="00E342C9"/>
    <w:rsid w:val="00E51943"/>
    <w:rsid w:val="00E65FB9"/>
    <w:rsid w:val="00E773E2"/>
    <w:rsid w:val="00E774C6"/>
    <w:rsid w:val="00E807D3"/>
    <w:rsid w:val="00E86AD3"/>
    <w:rsid w:val="00EA1489"/>
    <w:rsid w:val="00EB3586"/>
    <w:rsid w:val="00EC4186"/>
    <w:rsid w:val="00EC780B"/>
    <w:rsid w:val="00ED1F6D"/>
    <w:rsid w:val="00EE0CF8"/>
    <w:rsid w:val="00EE0DD8"/>
    <w:rsid w:val="00EE3FDA"/>
    <w:rsid w:val="00EE50F7"/>
    <w:rsid w:val="00EE625E"/>
    <w:rsid w:val="00EF297D"/>
    <w:rsid w:val="00EF76FE"/>
    <w:rsid w:val="00F04234"/>
    <w:rsid w:val="00F170CD"/>
    <w:rsid w:val="00F21AAA"/>
    <w:rsid w:val="00F234C6"/>
    <w:rsid w:val="00F24E77"/>
    <w:rsid w:val="00F634A7"/>
    <w:rsid w:val="00F7443F"/>
    <w:rsid w:val="00F805F0"/>
    <w:rsid w:val="00F94E57"/>
    <w:rsid w:val="00F957A8"/>
    <w:rsid w:val="00F96EC9"/>
    <w:rsid w:val="00FA233C"/>
    <w:rsid w:val="00FA792A"/>
    <w:rsid w:val="00FB39AB"/>
    <w:rsid w:val="00FC1CBF"/>
    <w:rsid w:val="00FC73A4"/>
    <w:rsid w:val="00FD35EB"/>
    <w:rsid w:val="00FD7675"/>
    <w:rsid w:val="00FE0475"/>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paragraph" w:styleId="a9">
    <w:name w:val="Body Text"/>
    <w:basedOn w:val="a"/>
    <w:link w:val="Char10"/>
    <w:uiPriority w:val="1"/>
    <w:unhideWhenUsed/>
    <w:qFormat/>
    <w:rsid w:val="002F7158"/>
    <w:pPr>
      <w:widowControl w:val="0"/>
      <w:autoSpaceDE w:val="0"/>
      <w:autoSpaceDN w:val="0"/>
      <w:snapToGrid/>
      <w:spacing w:before="162" w:after="0"/>
      <w:ind w:left="120"/>
    </w:pPr>
    <w:rPr>
      <w:rFonts w:ascii="宋体" w:eastAsia="宋体" w:hAnsi="Times New Roman" w:cs="宋体"/>
      <w:sz w:val="20"/>
      <w:szCs w:val="21"/>
    </w:rPr>
  </w:style>
  <w:style w:type="character" w:customStyle="1" w:styleId="Char2">
    <w:name w:val="正文文本 Char"/>
    <w:basedOn w:val="a0"/>
    <w:link w:val="a9"/>
    <w:uiPriority w:val="99"/>
    <w:semiHidden/>
    <w:rsid w:val="002F7158"/>
    <w:rPr>
      <w:rFonts w:ascii="Tahoma" w:hAnsi="Tahoma"/>
      <w:sz w:val="22"/>
      <w:szCs w:val="22"/>
    </w:rPr>
  </w:style>
  <w:style w:type="character" w:customStyle="1" w:styleId="Char10">
    <w:name w:val="正文文本 Char1"/>
    <w:basedOn w:val="a0"/>
    <w:link w:val="a9"/>
    <w:uiPriority w:val="1"/>
    <w:locked/>
    <w:rsid w:val="002F7158"/>
    <w:rPr>
      <w:rFonts w:ascii="宋体" w:eastAsia="宋体" w:hAnsi="Times New Roman" w:cs="宋体"/>
      <w:szCs w:val="21"/>
    </w:rPr>
  </w:style>
  <w:style w:type="paragraph" w:customStyle="1" w:styleId="Default">
    <w:name w:val="Default"/>
    <w:qFormat/>
    <w:rsid w:val="00D6704B"/>
    <w:pPr>
      <w:widowControl w:val="0"/>
      <w:autoSpaceDE w:val="0"/>
      <w:autoSpaceDN w:val="0"/>
      <w:adjustRightInd w:val="0"/>
    </w:pPr>
    <w:rPr>
      <w:rFonts w:ascii="宋体" w:eastAsia="宋体" w:hAnsi="Calibri" w:cs="宋体"/>
      <w:color w:val="000000"/>
      <w:sz w:val="24"/>
      <w:szCs w:val="24"/>
    </w:rPr>
  </w:style>
  <w:style w:type="table" w:styleId="aa">
    <w:name w:val="Table Grid"/>
    <w:basedOn w:val="a1"/>
    <w:qFormat/>
    <w:rsid w:val="00D6704B"/>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01370">
      <w:bodyDiv w:val="1"/>
      <w:marLeft w:val="0"/>
      <w:marRight w:val="0"/>
      <w:marTop w:val="0"/>
      <w:marBottom w:val="0"/>
      <w:divBdr>
        <w:top w:val="none" w:sz="0" w:space="0" w:color="auto"/>
        <w:left w:val="none" w:sz="0" w:space="0" w:color="auto"/>
        <w:bottom w:val="none" w:sz="0" w:space="0" w:color="auto"/>
        <w:right w:val="none" w:sz="0" w:space="0" w:color="auto"/>
      </w:divBdr>
    </w:div>
    <w:div w:id="74283546">
      <w:bodyDiv w:val="1"/>
      <w:marLeft w:val="0"/>
      <w:marRight w:val="0"/>
      <w:marTop w:val="0"/>
      <w:marBottom w:val="0"/>
      <w:divBdr>
        <w:top w:val="none" w:sz="0" w:space="0" w:color="auto"/>
        <w:left w:val="none" w:sz="0" w:space="0" w:color="auto"/>
        <w:bottom w:val="none" w:sz="0" w:space="0" w:color="auto"/>
        <w:right w:val="none" w:sz="0" w:space="0" w:color="auto"/>
      </w:divBdr>
    </w:div>
    <w:div w:id="198981690">
      <w:bodyDiv w:val="1"/>
      <w:marLeft w:val="0"/>
      <w:marRight w:val="0"/>
      <w:marTop w:val="0"/>
      <w:marBottom w:val="0"/>
      <w:divBdr>
        <w:top w:val="none" w:sz="0" w:space="0" w:color="auto"/>
        <w:left w:val="none" w:sz="0" w:space="0" w:color="auto"/>
        <w:bottom w:val="none" w:sz="0" w:space="0" w:color="auto"/>
        <w:right w:val="none" w:sz="0" w:space="0" w:color="auto"/>
      </w:divBdr>
    </w:div>
    <w:div w:id="243801971">
      <w:bodyDiv w:val="1"/>
      <w:marLeft w:val="0"/>
      <w:marRight w:val="0"/>
      <w:marTop w:val="0"/>
      <w:marBottom w:val="0"/>
      <w:divBdr>
        <w:top w:val="none" w:sz="0" w:space="0" w:color="auto"/>
        <w:left w:val="none" w:sz="0" w:space="0" w:color="auto"/>
        <w:bottom w:val="none" w:sz="0" w:space="0" w:color="auto"/>
        <w:right w:val="none" w:sz="0" w:space="0" w:color="auto"/>
      </w:divBdr>
    </w:div>
    <w:div w:id="363748441">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471404908">
      <w:bodyDiv w:val="1"/>
      <w:marLeft w:val="0"/>
      <w:marRight w:val="0"/>
      <w:marTop w:val="0"/>
      <w:marBottom w:val="0"/>
      <w:divBdr>
        <w:top w:val="none" w:sz="0" w:space="0" w:color="auto"/>
        <w:left w:val="none" w:sz="0" w:space="0" w:color="auto"/>
        <w:bottom w:val="none" w:sz="0" w:space="0" w:color="auto"/>
        <w:right w:val="none" w:sz="0" w:space="0" w:color="auto"/>
      </w:divBdr>
    </w:div>
    <w:div w:id="508176420">
      <w:bodyDiv w:val="1"/>
      <w:marLeft w:val="0"/>
      <w:marRight w:val="0"/>
      <w:marTop w:val="0"/>
      <w:marBottom w:val="0"/>
      <w:divBdr>
        <w:top w:val="none" w:sz="0" w:space="0" w:color="auto"/>
        <w:left w:val="none" w:sz="0" w:space="0" w:color="auto"/>
        <w:bottom w:val="none" w:sz="0" w:space="0" w:color="auto"/>
        <w:right w:val="none" w:sz="0" w:space="0" w:color="auto"/>
      </w:divBdr>
    </w:div>
    <w:div w:id="624313477">
      <w:bodyDiv w:val="1"/>
      <w:marLeft w:val="0"/>
      <w:marRight w:val="0"/>
      <w:marTop w:val="0"/>
      <w:marBottom w:val="0"/>
      <w:divBdr>
        <w:top w:val="none" w:sz="0" w:space="0" w:color="auto"/>
        <w:left w:val="none" w:sz="0" w:space="0" w:color="auto"/>
        <w:bottom w:val="none" w:sz="0" w:space="0" w:color="auto"/>
        <w:right w:val="none" w:sz="0" w:space="0" w:color="auto"/>
      </w:divBdr>
    </w:div>
    <w:div w:id="643629832">
      <w:bodyDiv w:val="1"/>
      <w:marLeft w:val="0"/>
      <w:marRight w:val="0"/>
      <w:marTop w:val="0"/>
      <w:marBottom w:val="0"/>
      <w:divBdr>
        <w:top w:val="none" w:sz="0" w:space="0" w:color="auto"/>
        <w:left w:val="none" w:sz="0" w:space="0" w:color="auto"/>
        <w:bottom w:val="none" w:sz="0" w:space="0" w:color="auto"/>
        <w:right w:val="none" w:sz="0" w:space="0" w:color="auto"/>
      </w:divBdr>
    </w:div>
    <w:div w:id="756486311">
      <w:bodyDiv w:val="1"/>
      <w:marLeft w:val="0"/>
      <w:marRight w:val="0"/>
      <w:marTop w:val="0"/>
      <w:marBottom w:val="0"/>
      <w:divBdr>
        <w:top w:val="none" w:sz="0" w:space="0" w:color="auto"/>
        <w:left w:val="none" w:sz="0" w:space="0" w:color="auto"/>
        <w:bottom w:val="none" w:sz="0" w:space="0" w:color="auto"/>
        <w:right w:val="none" w:sz="0" w:space="0" w:color="auto"/>
      </w:divBdr>
    </w:div>
    <w:div w:id="770123133">
      <w:bodyDiv w:val="1"/>
      <w:marLeft w:val="0"/>
      <w:marRight w:val="0"/>
      <w:marTop w:val="0"/>
      <w:marBottom w:val="0"/>
      <w:divBdr>
        <w:top w:val="none" w:sz="0" w:space="0" w:color="auto"/>
        <w:left w:val="none" w:sz="0" w:space="0" w:color="auto"/>
        <w:bottom w:val="none" w:sz="0" w:space="0" w:color="auto"/>
        <w:right w:val="none" w:sz="0" w:space="0" w:color="auto"/>
      </w:divBdr>
    </w:div>
    <w:div w:id="805589650">
      <w:bodyDiv w:val="1"/>
      <w:marLeft w:val="0"/>
      <w:marRight w:val="0"/>
      <w:marTop w:val="0"/>
      <w:marBottom w:val="0"/>
      <w:divBdr>
        <w:top w:val="none" w:sz="0" w:space="0" w:color="auto"/>
        <w:left w:val="none" w:sz="0" w:space="0" w:color="auto"/>
        <w:bottom w:val="none" w:sz="0" w:space="0" w:color="auto"/>
        <w:right w:val="none" w:sz="0" w:space="0" w:color="auto"/>
      </w:divBdr>
    </w:div>
    <w:div w:id="866522079">
      <w:bodyDiv w:val="1"/>
      <w:marLeft w:val="0"/>
      <w:marRight w:val="0"/>
      <w:marTop w:val="0"/>
      <w:marBottom w:val="0"/>
      <w:divBdr>
        <w:top w:val="none" w:sz="0" w:space="0" w:color="auto"/>
        <w:left w:val="none" w:sz="0" w:space="0" w:color="auto"/>
        <w:bottom w:val="none" w:sz="0" w:space="0" w:color="auto"/>
        <w:right w:val="none" w:sz="0" w:space="0" w:color="auto"/>
      </w:divBdr>
    </w:div>
    <w:div w:id="926841311">
      <w:bodyDiv w:val="1"/>
      <w:marLeft w:val="0"/>
      <w:marRight w:val="0"/>
      <w:marTop w:val="0"/>
      <w:marBottom w:val="0"/>
      <w:divBdr>
        <w:top w:val="none" w:sz="0" w:space="0" w:color="auto"/>
        <w:left w:val="none" w:sz="0" w:space="0" w:color="auto"/>
        <w:bottom w:val="none" w:sz="0" w:space="0" w:color="auto"/>
        <w:right w:val="none" w:sz="0" w:space="0" w:color="auto"/>
      </w:divBdr>
    </w:div>
    <w:div w:id="1084183184">
      <w:bodyDiv w:val="1"/>
      <w:marLeft w:val="0"/>
      <w:marRight w:val="0"/>
      <w:marTop w:val="0"/>
      <w:marBottom w:val="0"/>
      <w:divBdr>
        <w:top w:val="none" w:sz="0" w:space="0" w:color="auto"/>
        <w:left w:val="none" w:sz="0" w:space="0" w:color="auto"/>
        <w:bottom w:val="none" w:sz="0" w:space="0" w:color="auto"/>
        <w:right w:val="none" w:sz="0" w:space="0" w:color="auto"/>
      </w:divBdr>
    </w:div>
    <w:div w:id="1112087931">
      <w:bodyDiv w:val="1"/>
      <w:marLeft w:val="0"/>
      <w:marRight w:val="0"/>
      <w:marTop w:val="0"/>
      <w:marBottom w:val="0"/>
      <w:divBdr>
        <w:top w:val="none" w:sz="0" w:space="0" w:color="auto"/>
        <w:left w:val="none" w:sz="0" w:space="0" w:color="auto"/>
        <w:bottom w:val="none" w:sz="0" w:space="0" w:color="auto"/>
        <w:right w:val="none" w:sz="0" w:space="0" w:color="auto"/>
      </w:divBdr>
    </w:div>
    <w:div w:id="1258902176">
      <w:bodyDiv w:val="1"/>
      <w:marLeft w:val="0"/>
      <w:marRight w:val="0"/>
      <w:marTop w:val="0"/>
      <w:marBottom w:val="0"/>
      <w:divBdr>
        <w:top w:val="none" w:sz="0" w:space="0" w:color="auto"/>
        <w:left w:val="none" w:sz="0" w:space="0" w:color="auto"/>
        <w:bottom w:val="none" w:sz="0" w:space="0" w:color="auto"/>
        <w:right w:val="none" w:sz="0" w:space="0" w:color="auto"/>
      </w:divBdr>
    </w:div>
    <w:div w:id="1397437229">
      <w:bodyDiv w:val="1"/>
      <w:marLeft w:val="0"/>
      <w:marRight w:val="0"/>
      <w:marTop w:val="0"/>
      <w:marBottom w:val="0"/>
      <w:divBdr>
        <w:top w:val="none" w:sz="0" w:space="0" w:color="auto"/>
        <w:left w:val="none" w:sz="0" w:space="0" w:color="auto"/>
        <w:bottom w:val="none" w:sz="0" w:space="0" w:color="auto"/>
        <w:right w:val="none" w:sz="0" w:space="0" w:color="auto"/>
      </w:divBdr>
    </w:div>
    <w:div w:id="1412463633">
      <w:bodyDiv w:val="1"/>
      <w:marLeft w:val="0"/>
      <w:marRight w:val="0"/>
      <w:marTop w:val="0"/>
      <w:marBottom w:val="0"/>
      <w:divBdr>
        <w:top w:val="none" w:sz="0" w:space="0" w:color="auto"/>
        <w:left w:val="none" w:sz="0" w:space="0" w:color="auto"/>
        <w:bottom w:val="none" w:sz="0" w:space="0" w:color="auto"/>
        <w:right w:val="none" w:sz="0" w:space="0" w:color="auto"/>
      </w:divBdr>
    </w:div>
    <w:div w:id="1536036381">
      <w:bodyDiv w:val="1"/>
      <w:marLeft w:val="0"/>
      <w:marRight w:val="0"/>
      <w:marTop w:val="0"/>
      <w:marBottom w:val="0"/>
      <w:divBdr>
        <w:top w:val="none" w:sz="0" w:space="0" w:color="auto"/>
        <w:left w:val="none" w:sz="0" w:space="0" w:color="auto"/>
        <w:bottom w:val="none" w:sz="0" w:space="0" w:color="auto"/>
        <w:right w:val="none" w:sz="0" w:space="0" w:color="auto"/>
      </w:divBdr>
    </w:div>
    <w:div w:id="1570919099">
      <w:bodyDiv w:val="1"/>
      <w:marLeft w:val="0"/>
      <w:marRight w:val="0"/>
      <w:marTop w:val="0"/>
      <w:marBottom w:val="0"/>
      <w:divBdr>
        <w:top w:val="none" w:sz="0" w:space="0" w:color="auto"/>
        <w:left w:val="none" w:sz="0" w:space="0" w:color="auto"/>
        <w:bottom w:val="none" w:sz="0" w:space="0" w:color="auto"/>
        <w:right w:val="none" w:sz="0" w:space="0" w:color="auto"/>
      </w:divBdr>
    </w:div>
    <w:div w:id="1689527438">
      <w:bodyDiv w:val="1"/>
      <w:marLeft w:val="0"/>
      <w:marRight w:val="0"/>
      <w:marTop w:val="0"/>
      <w:marBottom w:val="0"/>
      <w:divBdr>
        <w:top w:val="none" w:sz="0" w:space="0" w:color="auto"/>
        <w:left w:val="none" w:sz="0" w:space="0" w:color="auto"/>
        <w:bottom w:val="none" w:sz="0" w:space="0" w:color="auto"/>
        <w:right w:val="none" w:sz="0" w:space="0" w:color="auto"/>
      </w:divBdr>
    </w:div>
    <w:div w:id="1833448059">
      <w:bodyDiv w:val="1"/>
      <w:marLeft w:val="0"/>
      <w:marRight w:val="0"/>
      <w:marTop w:val="0"/>
      <w:marBottom w:val="0"/>
      <w:divBdr>
        <w:top w:val="none" w:sz="0" w:space="0" w:color="auto"/>
        <w:left w:val="none" w:sz="0" w:space="0" w:color="auto"/>
        <w:bottom w:val="none" w:sz="0" w:space="0" w:color="auto"/>
        <w:right w:val="none" w:sz="0" w:space="0" w:color="auto"/>
      </w:divBdr>
    </w:div>
    <w:div w:id="1837265678">
      <w:bodyDiv w:val="1"/>
      <w:marLeft w:val="0"/>
      <w:marRight w:val="0"/>
      <w:marTop w:val="0"/>
      <w:marBottom w:val="0"/>
      <w:divBdr>
        <w:top w:val="none" w:sz="0" w:space="0" w:color="auto"/>
        <w:left w:val="none" w:sz="0" w:space="0" w:color="auto"/>
        <w:bottom w:val="none" w:sz="0" w:space="0" w:color="auto"/>
        <w:right w:val="none" w:sz="0" w:space="0" w:color="auto"/>
      </w:divBdr>
    </w:div>
    <w:div w:id="1903325511">
      <w:bodyDiv w:val="1"/>
      <w:marLeft w:val="0"/>
      <w:marRight w:val="0"/>
      <w:marTop w:val="0"/>
      <w:marBottom w:val="0"/>
      <w:divBdr>
        <w:top w:val="none" w:sz="0" w:space="0" w:color="auto"/>
        <w:left w:val="none" w:sz="0" w:space="0" w:color="auto"/>
        <w:bottom w:val="none" w:sz="0" w:space="0" w:color="auto"/>
        <w:right w:val="none" w:sz="0" w:space="0" w:color="auto"/>
      </w:divBdr>
    </w:div>
    <w:div w:id="1934624627">
      <w:bodyDiv w:val="1"/>
      <w:marLeft w:val="0"/>
      <w:marRight w:val="0"/>
      <w:marTop w:val="0"/>
      <w:marBottom w:val="0"/>
      <w:divBdr>
        <w:top w:val="none" w:sz="0" w:space="0" w:color="auto"/>
        <w:left w:val="none" w:sz="0" w:space="0" w:color="auto"/>
        <w:bottom w:val="none" w:sz="0" w:space="0" w:color="auto"/>
        <w:right w:val="none" w:sz="0" w:space="0" w:color="auto"/>
      </w:divBdr>
    </w:div>
    <w:div w:id="2028947594">
      <w:bodyDiv w:val="1"/>
      <w:marLeft w:val="0"/>
      <w:marRight w:val="0"/>
      <w:marTop w:val="0"/>
      <w:marBottom w:val="0"/>
      <w:divBdr>
        <w:top w:val="none" w:sz="0" w:space="0" w:color="auto"/>
        <w:left w:val="none" w:sz="0" w:space="0" w:color="auto"/>
        <w:bottom w:val="none" w:sz="0" w:space="0" w:color="auto"/>
        <w:right w:val="none" w:sz="0" w:space="0" w:color="auto"/>
      </w:divBdr>
    </w:div>
    <w:div w:id="2076512774">
      <w:bodyDiv w:val="1"/>
      <w:marLeft w:val="0"/>
      <w:marRight w:val="0"/>
      <w:marTop w:val="0"/>
      <w:marBottom w:val="0"/>
      <w:divBdr>
        <w:top w:val="none" w:sz="0" w:space="0" w:color="auto"/>
        <w:left w:val="none" w:sz="0" w:space="0" w:color="auto"/>
        <w:bottom w:val="none" w:sz="0" w:space="0" w:color="auto"/>
        <w:right w:val="none" w:sz="0" w:space="0" w:color="auto"/>
      </w:divBdr>
    </w:div>
    <w:div w:id="2121948678">
      <w:bodyDiv w:val="1"/>
      <w:marLeft w:val="0"/>
      <w:marRight w:val="0"/>
      <w:marTop w:val="0"/>
      <w:marBottom w:val="0"/>
      <w:divBdr>
        <w:top w:val="none" w:sz="0" w:space="0" w:color="auto"/>
        <w:left w:val="none" w:sz="0" w:space="0" w:color="auto"/>
        <w:bottom w:val="none" w:sz="0" w:space="0" w:color="auto"/>
        <w:right w:val="none" w:sz="0" w:space="0" w:color="auto"/>
      </w:divBdr>
    </w:div>
    <w:div w:id="2139907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chinawealth.com.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8</Pages>
  <Words>669</Words>
  <Characters>3819</Characters>
  <Application>Microsoft Office Word</Application>
  <DocSecurity>0</DocSecurity>
  <Lines>31</Lines>
  <Paragraphs>8</Paragraphs>
  <ScaleCrop>false</ScaleCrop>
  <Company/>
  <LinksUpToDate>false</LinksUpToDate>
  <CharactersWithSpaces>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510</cp:revision>
  <cp:lastPrinted>2021-06-03T04:20:00Z</cp:lastPrinted>
  <dcterms:created xsi:type="dcterms:W3CDTF">2008-09-11T17:20:00Z</dcterms:created>
  <dcterms:modified xsi:type="dcterms:W3CDTF">2023-07-03T09:04:00Z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