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75C" w:rsidRDefault="0074075C" w:rsidP="0074075C">
      <w:pPr>
        <w:jc w:val="center"/>
        <w:rPr>
          <w:rFonts w:ascii="黑体" w:eastAsia="黑体" w:hAnsi="宋体"/>
          <w:b/>
          <w:bCs/>
          <w:sz w:val="24"/>
          <w:szCs w:val="15"/>
        </w:rPr>
      </w:pPr>
      <w:r>
        <w:rPr>
          <w:rFonts w:ascii="黑体" w:eastAsia="黑体" w:hAnsi="宋体" w:hint="eastAsia"/>
          <w:b/>
          <w:bCs/>
          <w:sz w:val="24"/>
          <w:szCs w:val="15"/>
        </w:rPr>
        <w:t>投资者权益须知</w:t>
      </w:r>
    </w:p>
    <w:p w:rsidR="0074075C" w:rsidRDefault="0074075C" w:rsidP="0074075C">
      <w:pPr>
        <w:ind w:firstLineChars="200" w:firstLine="321"/>
        <w:jc w:val="center"/>
        <w:rPr>
          <w:rFonts w:ascii="宋体" w:hAnsi="宋体"/>
          <w:b/>
          <w:i/>
          <w:sz w:val="16"/>
          <w:szCs w:val="15"/>
          <w:u w:val="single"/>
        </w:rPr>
      </w:pPr>
    </w:p>
    <w:p w:rsidR="0074075C" w:rsidRDefault="0074075C" w:rsidP="0074075C">
      <w:pPr>
        <w:ind w:firstLineChars="200" w:firstLine="321"/>
        <w:jc w:val="center"/>
        <w:rPr>
          <w:rFonts w:ascii="宋体" w:hAnsi="宋体"/>
          <w:b/>
          <w:i/>
          <w:sz w:val="16"/>
          <w:szCs w:val="15"/>
          <w:u w:val="single"/>
        </w:rPr>
      </w:pPr>
      <w:r>
        <w:rPr>
          <w:rFonts w:ascii="宋体" w:hAnsi="宋体" w:hint="eastAsia"/>
          <w:b/>
          <w:i/>
          <w:sz w:val="16"/>
          <w:szCs w:val="15"/>
          <w:u w:val="single"/>
        </w:rPr>
        <w:t xml:space="preserve">“理财非存款、产品有风险、理财产品过往业绩不代表其未来表现，不等于理财产品实际收益，投资须谨慎！” </w:t>
      </w:r>
    </w:p>
    <w:p w:rsidR="0074075C" w:rsidRDefault="0074075C" w:rsidP="0074075C">
      <w:pPr>
        <w:pStyle w:val="a5"/>
        <w:spacing w:before="0" w:after="0" w:line="240" w:lineRule="auto"/>
        <w:ind w:firstLine="0"/>
        <w:rPr>
          <w:color w:val="auto"/>
          <w:spacing w:val="10"/>
          <w:kern w:val="2"/>
          <w:sz w:val="15"/>
          <w:szCs w:val="15"/>
        </w:rPr>
      </w:pPr>
      <w:r>
        <w:rPr>
          <w:rFonts w:hint="eastAsia"/>
          <w:color w:val="auto"/>
          <w:spacing w:val="10"/>
          <w:kern w:val="2"/>
          <w:sz w:val="15"/>
          <w:szCs w:val="15"/>
        </w:rPr>
        <w:t>尊敬的投资者：</w:t>
      </w:r>
    </w:p>
    <w:p w:rsidR="0074075C" w:rsidRDefault="0074075C" w:rsidP="0074075C">
      <w:pPr>
        <w:pStyle w:val="a5"/>
        <w:spacing w:before="0" w:after="0" w:line="240" w:lineRule="auto"/>
        <w:ind w:firstLineChars="200" w:firstLine="340"/>
        <w:jc w:val="both"/>
        <w:rPr>
          <w:color w:val="auto"/>
          <w:spacing w:val="10"/>
          <w:kern w:val="2"/>
          <w:sz w:val="15"/>
          <w:szCs w:val="15"/>
        </w:rPr>
      </w:pPr>
      <w:r>
        <w:rPr>
          <w:rFonts w:hint="eastAsia"/>
          <w:color w:val="auto"/>
          <w:spacing w:val="10"/>
          <w:kern w:val="2"/>
          <w:sz w:val="15"/>
          <w:szCs w:val="15"/>
        </w:rPr>
        <w:t>理财产品在投资并获取收益的同时也存在投资风险。为了方便您办理南银理财有限责任公司（以下简称“南银理财”或“管理人”）理财业务，保护投资者（以下简称“投资者”）的合法权益，请在投资本理财产品前认真阅读以下内容：</w:t>
      </w:r>
    </w:p>
    <w:p w:rsidR="0074075C" w:rsidRDefault="0074075C" w:rsidP="0074075C">
      <w:pPr>
        <w:pStyle w:val="a5"/>
        <w:spacing w:before="0" w:after="0" w:line="240" w:lineRule="auto"/>
        <w:ind w:firstLineChars="200" w:firstLine="340"/>
        <w:jc w:val="both"/>
        <w:rPr>
          <w:color w:val="auto"/>
          <w:spacing w:val="10"/>
          <w:kern w:val="2"/>
          <w:sz w:val="15"/>
          <w:szCs w:val="15"/>
        </w:rPr>
      </w:pPr>
      <w:r>
        <w:rPr>
          <w:rFonts w:hint="eastAsia"/>
          <w:color w:val="auto"/>
          <w:spacing w:val="10"/>
          <w:kern w:val="2"/>
          <w:sz w:val="15"/>
          <w:szCs w:val="15"/>
        </w:rPr>
        <w:t>本理财产品指由南银理财作为管理人发行，并由</w:t>
      </w:r>
      <w:permStart w:id="0" w:edGrp="everyone"/>
      <w:r>
        <w:rPr>
          <w:rFonts w:hint="eastAsia"/>
          <w:color w:val="auto"/>
          <w:spacing w:val="10"/>
          <w:kern w:val="2"/>
          <w:sz w:val="15"/>
          <w:szCs w:val="15"/>
        </w:rPr>
        <w:t>江苏紫金农村商业银行股份有限公司</w:t>
      </w:r>
      <w:r>
        <w:rPr>
          <w:rFonts w:hint="eastAsia"/>
          <w:color w:val="auto"/>
          <w:spacing w:val="10"/>
          <w:kern w:val="2"/>
          <w:sz w:val="15"/>
          <w:szCs w:val="15"/>
        </w:rPr>
        <w:t xml:space="preserve"> </w:t>
      </w:r>
      <w:permEnd w:id="0"/>
      <w:r>
        <w:rPr>
          <w:rFonts w:hint="eastAsia"/>
          <w:color w:val="auto"/>
          <w:spacing w:val="10"/>
          <w:kern w:val="2"/>
          <w:sz w:val="15"/>
          <w:szCs w:val="15"/>
        </w:rPr>
        <w:t>（以下简称“销售机构”）销售的理财产品。</w:t>
      </w:r>
    </w:p>
    <w:p w:rsidR="0074075C" w:rsidRDefault="0074075C" w:rsidP="0074075C">
      <w:pPr>
        <w:pStyle w:val="a5"/>
        <w:spacing w:line="240" w:lineRule="auto"/>
        <w:ind w:left="341" w:firstLine="0"/>
        <w:jc w:val="both"/>
        <w:rPr>
          <w:b/>
          <w:color w:val="auto"/>
          <w:spacing w:val="10"/>
          <w:kern w:val="2"/>
          <w:sz w:val="15"/>
          <w:szCs w:val="15"/>
        </w:rPr>
      </w:pPr>
      <w:r>
        <w:rPr>
          <w:rFonts w:hint="eastAsia"/>
          <w:b/>
          <w:color w:val="auto"/>
          <w:spacing w:val="10"/>
          <w:kern w:val="2"/>
          <w:sz w:val="15"/>
          <w:szCs w:val="15"/>
        </w:rPr>
        <w:t>第一条</w:t>
      </w:r>
      <w:r>
        <w:rPr>
          <w:rFonts w:hint="eastAsia"/>
          <w:b/>
          <w:color w:val="auto"/>
          <w:spacing w:val="10"/>
          <w:kern w:val="2"/>
          <w:sz w:val="15"/>
          <w:szCs w:val="15"/>
        </w:rPr>
        <w:t xml:space="preserve"> </w:t>
      </w:r>
      <w:r>
        <w:rPr>
          <w:rFonts w:hint="eastAsia"/>
          <w:b/>
          <w:color w:val="auto"/>
          <w:spacing w:val="10"/>
          <w:kern w:val="2"/>
          <w:sz w:val="15"/>
          <w:szCs w:val="15"/>
        </w:rPr>
        <w:t>理财产品购买流程说明</w:t>
      </w:r>
    </w:p>
    <w:p w:rsidR="0074075C" w:rsidRDefault="0074075C" w:rsidP="0074075C">
      <w:pPr>
        <w:pStyle w:val="a5"/>
        <w:spacing w:before="0" w:after="0" w:line="240" w:lineRule="auto"/>
        <w:ind w:firstLineChars="200" w:firstLine="340"/>
        <w:jc w:val="both"/>
        <w:rPr>
          <w:bCs/>
          <w:color w:val="auto"/>
          <w:spacing w:val="10"/>
          <w:kern w:val="2"/>
          <w:sz w:val="15"/>
          <w:szCs w:val="15"/>
        </w:rPr>
      </w:pPr>
      <w:r>
        <w:rPr>
          <w:rFonts w:hint="eastAsia"/>
          <w:bCs/>
          <w:color w:val="auto"/>
          <w:spacing w:val="10"/>
          <w:kern w:val="2"/>
          <w:sz w:val="15"/>
          <w:szCs w:val="15"/>
        </w:rPr>
        <w:t>（一）首次在销售机构购买理财产品的投资者应按销售机构的要求明确授权指定账户，用于本理财产品的理财资金划转及理财收益、到期清算分配资金的分配，提供并确认正确的联系方式。</w:t>
      </w:r>
    </w:p>
    <w:p w:rsidR="0074075C" w:rsidRDefault="0074075C" w:rsidP="0074075C">
      <w:pPr>
        <w:pStyle w:val="a5"/>
        <w:spacing w:before="0" w:after="0" w:line="240" w:lineRule="auto"/>
        <w:ind w:firstLineChars="199" w:firstLine="338"/>
        <w:jc w:val="both"/>
        <w:rPr>
          <w:bCs/>
          <w:color w:val="auto"/>
          <w:spacing w:val="10"/>
          <w:kern w:val="2"/>
          <w:sz w:val="15"/>
          <w:szCs w:val="15"/>
        </w:rPr>
      </w:pPr>
      <w:r>
        <w:rPr>
          <w:rFonts w:hint="eastAsia"/>
          <w:bCs/>
          <w:color w:val="auto"/>
          <w:spacing w:val="10"/>
          <w:kern w:val="2"/>
          <w:sz w:val="15"/>
          <w:szCs w:val="15"/>
        </w:rPr>
        <w:t>（二）在销售机构购买理财产品的个人投资者应按销售机构的要求进行投资者风险承受能力评估，并确认风险承受能力等级不低于本理财产品风险等级。</w:t>
      </w:r>
    </w:p>
    <w:p w:rsidR="0074075C" w:rsidRDefault="0074075C" w:rsidP="0074075C">
      <w:pPr>
        <w:pStyle w:val="a5"/>
        <w:spacing w:before="0" w:after="0" w:line="240" w:lineRule="auto"/>
        <w:ind w:firstLineChars="199" w:firstLine="338"/>
        <w:jc w:val="both"/>
        <w:rPr>
          <w:bCs/>
          <w:color w:val="auto"/>
          <w:spacing w:val="10"/>
          <w:kern w:val="2"/>
          <w:sz w:val="15"/>
          <w:szCs w:val="15"/>
        </w:rPr>
      </w:pPr>
      <w:r>
        <w:rPr>
          <w:rFonts w:hint="eastAsia"/>
          <w:bCs/>
          <w:color w:val="auto"/>
          <w:spacing w:val="10"/>
          <w:kern w:val="2"/>
          <w:sz w:val="15"/>
          <w:szCs w:val="15"/>
        </w:rPr>
        <w:t>（三）投资者应仔细阅读拟购买理财产品销售文件（以下简称“销售文件”），包括但不限于理财产品对应的：《理财产品销售协议书》《理财产品说明书》《理财产品风险揭示书》《投资者权益须知》</w:t>
      </w:r>
      <w:r>
        <w:rPr>
          <w:bCs/>
          <w:spacing w:val="10"/>
          <w:sz w:val="15"/>
          <w:szCs w:val="15"/>
        </w:rPr>
        <w:t>《</w:t>
      </w:r>
      <w:r>
        <w:rPr>
          <w:bCs/>
          <w:spacing w:val="10"/>
          <w:kern w:val="2"/>
          <w:sz w:val="15"/>
          <w:szCs w:val="15"/>
        </w:rPr>
        <w:t>理财产品投资协议书》</w:t>
      </w:r>
      <w:r>
        <w:rPr>
          <w:rFonts w:hint="eastAsia"/>
          <w:bCs/>
          <w:color w:val="auto"/>
          <w:spacing w:val="10"/>
          <w:kern w:val="2"/>
          <w:sz w:val="15"/>
          <w:szCs w:val="15"/>
        </w:rPr>
        <w:t>等，理解并确认理财产品条款及产品风险。</w:t>
      </w:r>
    </w:p>
    <w:p w:rsidR="0074075C" w:rsidRDefault="0074075C" w:rsidP="0074075C">
      <w:pPr>
        <w:pStyle w:val="a5"/>
        <w:spacing w:before="0" w:after="0" w:line="240" w:lineRule="auto"/>
        <w:ind w:firstLine="480"/>
        <w:jc w:val="both"/>
        <w:rPr>
          <w:bCs/>
          <w:color w:val="auto"/>
          <w:spacing w:val="10"/>
          <w:kern w:val="2"/>
          <w:sz w:val="15"/>
          <w:szCs w:val="15"/>
        </w:rPr>
      </w:pPr>
      <w:r>
        <w:rPr>
          <w:rFonts w:hint="eastAsia"/>
          <w:bCs/>
          <w:color w:val="auto"/>
          <w:spacing w:val="10"/>
          <w:kern w:val="2"/>
          <w:sz w:val="15"/>
          <w:szCs w:val="15"/>
        </w:rPr>
        <w:t>投资者在销售机构提供的渠道自主决定是否购买理财产品，确定购买金额，完成交易申请，并在确认份额后进行查询。</w:t>
      </w:r>
    </w:p>
    <w:p w:rsidR="0074075C" w:rsidRDefault="0074075C" w:rsidP="0074075C">
      <w:pPr>
        <w:pStyle w:val="a5"/>
        <w:spacing w:before="0" w:after="0" w:line="240" w:lineRule="auto"/>
        <w:ind w:firstLine="480"/>
        <w:jc w:val="both"/>
        <w:rPr>
          <w:rFonts w:hint="eastAsia"/>
          <w:color w:val="auto"/>
          <w:spacing w:val="10"/>
          <w:kern w:val="2"/>
          <w:sz w:val="15"/>
          <w:szCs w:val="24"/>
        </w:rPr>
      </w:pPr>
      <w:permStart w:id="1" w:edGrp="everyone"/>
      <w:r>
        <w:rPr>
          <w:rFonts w:hint="eastAsia"/>
          <w:color w:val="auto"/>
          <w:spacing w:val="10"/>
          <w:kern w:val="2"/>
          <w:sz w:val="15"/>
          <w:szCs w:val="24"/>
        </w:rPr>
        <w:t>通过代销机构购买理财产品的具体流程说明：</w:t>
      </w:r>
    </w:p>
    <w:p w:rsidR="0074075C" w:rsidRDefault="0074075C" w:rsidP="0074075C">
      <w:pPr>
        <w:pStyle w:val="a5"/>
        <w:spacing w:before="0" w:after="0" w:line="240" w:lineRule="auto"/>
        <w:ind w:firstLineChars="200" w:firstLine="340"/>
        <w:jc w:val="both"/>
        <w:rPr>
          <w:color w:val="auto"/>
          <w:spacing w:val="10"/>
          <w:kern w:val="2"/>
          <w:sz w:val="15"/>
          <w:szCs w:val="24"/>
        </w:rPr>
      </w:pPr>
      <w:r>
        <w:rPr>
          <w:color w:val="auto"/>
          <w:spacing w:val="10"/>
          <w:kern w:val="2"/>
          <w:sz w:val="15"/>
          <w:szCs w:val="24"/>
        </w:rPr>
        <w:t>1</w:t>
      </w:r>
      <w:r>
        <w:rPr>
          <w:rFonts w:hint="eastAsia"/>
          <w:color w:val="auto"/>
          <w:spacing w:val="10"/>
          <w:kern w:val="2"/>
          <w:sz w:val="15"/>
          <w:szCs w:val="24"/>
        </w:rPr>
        <w:t>、理财签约</w:t>
      </w:r>
    </w:p>
    <w:p w:rsidR="0074075C" w:rsidRDefault="0074075C" w:rsidP="0074075C">
      <w:pPr>
        <w:pStyle w:val="a5"/>
        <w:spacing w:before="0" w:after="0" w:line="240" w:lineRule="auto"/>
        <w:ind w:firstLineChars="200" w:firstLine="340"/>
        <w:jc w:val="both"/>
        <w:rPr>
          <w:color w:val="auto"/>
          <w:spacing w:val="10"/>
          <w:kern w:val="2"/>
          <w:sz w:val="15"/>
          <w:szCs w:val="24"/>
        </w:rPr>
      </w:pPr>
      <w:r>
        <w:rPr>
          <w:rFonts w:hint="eastAsia"/>
          <w:color w:val="auto"/>
          <w:spacing w:val="10"/>
          <w:kern w:val="2"/>
          <w:sz w:val="15"/>
          <w:szCs w:val="24"/>
        </w:rPr>
        <w:t>●机构投资者适用</w:t>
      </w:r>
    </w:p>
    <w:p w:rsidR="0074075C" w:rsidRDefault="0074075C" w:rsidP="0074075C">
      <w:pPr>
        <w:pStyle w:val="a5"/>
        <w:spacing w:before="0" w:after="0" w:line="240" w:lineRule="auto"/>
        <w:ind w:firstLineChars="200" w:firstLine="340"/>
        <w:jc w:val="both"/>
        <w:rPr>
          <w:color w:val="auto"/>
          <w:spacing w:val="10"/>
          <w:kern w:val="2"/>
          <w:sz w:val="15"/>
          <w:szCs w:val="24"/>
        </w:rPr>
      </w:pPr>
      <w:r>
        <w:rPr>
          <w:rFonts w:hint="eastAsia"/>
          <w:color w:val="auto"/>
          <w:spacing w:val="10"/>
          <w:kern w:val="2"/>
          <w:sz w:val="15"/>
          <w:szCs w:val="24"/>
        </w:rPr>
        <w:t>投资者按照代销机构的要求进行理财签约。</w:t>
      </w:r>
    </w:p>
    <w:p w:rsidR="0074075C" w:rsidRDefault="0074075C" w:rsidP="0074075C">
      <w:pPr>
        <w:pStyle w:val="a5"/>
        <w:spacing w:before="0" w:after="0" w:line="240" w:lineRule="auto"/>
        <w:ind w:firstLineChars="200" w:firstLine="340"/>
        <w:jc w:val="both"/>
        <w:rPr>
          <w:color w:val="auto"/>
          <w:spacing w:val="10"/>
          <w:kern w:val="2"/>
          <w:sz w:val="15"/>
          <w:szCs w:val="24"/>
        </w:rPr>
      </w:pPr>
      <w:r>
        <w:rPr>
          <w:rFonts w:hint="eastAsia"/>
          <w:color w:val="auto"/>
          <w:spacing w:val="10"/>
          <w:kern w:val="2"/>
          <w:sz w:val="15"/>
          <w:szCs w:val="24"/>
        </w:rPr>
        <w:t>●个人投资者适用</w:t>
      </w:r>
    </w:p>
    <w:p w:rsidR="0074075C" w:rsidRDefault="0074075C" w:rsidP="0074075C">
      <w:pPr>
        <w:pStyle w:val="a5"/>
        <w:spacing w:before="0" w:after="0" w:line="240" w:lineRule="auto"/>
        <w:ind w:firstLineChars="200" w:firstLine="340"/>
        <w:jc w:val="both"/>
        <w:rPr>
          <w:color w:val="auto"/>
          <w:spacing w:val="10"/>
          <w:kern w:val="2"/>
          <w:sz w:val="15"/>
          <w:szCs w:val="24"/>
        </w:rPr>
      </w:pPr>
      <w:r>
        <w:rPr>
          <w:rFonts w:hint="eastAsia"/>
          <w:color w:val="auto"/>
          <w:spacing w:val="10"/>
          <w:kern w:val="2"/>
          <w:sz w:val="15"/>
          <w:szCs w:val="24"/>
        </w:rPr>
        <w:t>首次购买理财的个人投资者须进行风险承受能力评估（详见第二条）和理财签约。</w:t>
      </w:r>
    </w:p>
    <w:p w:rsidR="0074075C" w:rsidRDefault="0074075C" w:rsidP="0074075C">
      <w:pPr>
        <w:pStyle w:val="a5"/>
        <w:spacing w:before="0" w:after="0" w:line="240" w:lineRule="auto"/>
        <w:ind w:firstLineChars="200" w:firstLine="340"/>
        <w:jc w:val="both"/>
        <w:rPr>
          <w:color w:val="auto"/>
          <w:spacing w:val="10"/>
          <w:kern w:val="2"/>
          <w:sz w:val="15"/>
          <w:szCs w:val="24"/>
        </w:rPr>
      </w:pPr>
      <w:r>
        <w:rPr>
          <w:color w:val="auto"/>
          <w:spacing w:val="10"/>
          <w:kern w:val="2"/>
          <w:sz w:val="15"/>
          <w:szCs w:val="24"/>
        </w:rPr>
        <w:t>2</w:t>
      </w:r>
      <w:r>
        <w:rPr>
          <w:rFonts w:hint="eastAsia"/>
          <w:color w:val="auto"/>
          <w:spacing w:val="10"/>
          <w:kern w:val="2"/>
          <w:sz w:val="15"/>
          <w:szCs w:val="24"/>
        </w:rPr>
        <w:t>、理财产品认</w:t>
      </w:r>
      <w:r>
        <w:rPr>
          <w:color w:val="auto"/>
          <w:spacing w:val="10"/>
          <w:kern w:val="2"/>
          <w:sz w:val="15"/>
          <w:szCs w:val="24"/>
        </w:rPr>
        <w:t>/</w:t>
      </w:r>
      <w:r>
        <w:rPr>
          <w:rFonts w:hint="eastAsia"/>
          <w:color w:val="auto"/>
          <w:spacing w:val="10"/>
          <w:kern w:val="2"/>
          <w:sz w:val="15"/>
          <w:szCs w:val="24"/>
        </w:rPr>
        <w:t>申购申请</w:t>
      </w:r>
    </w:p>
    <w:p w:rsidR="0074075C" w:rsidRDefault="0074075C" w:rsidP="0074075C">
      <w:pPr>
        <w:pStyle w:val="a5"/>
        <w:spacing w:before="0" w:after="0" w:line="240" w:lineRule="auto"/>
        <w:ind w:firstLineChars="200" w:firstLine="340"/>
        <w:jc w:val="both"/>
        <w:rPr>
          <w:color w:val="auto"/>
          <w:spacing w:val="10"/>
          <w:kern w:val="2"/>
          <w:sz w:val="15"/>
          <w:szCs w:val="24"/>
        </w:rPr>
      </w:pPr>
      <w:r>
        <w:rPr>
          <w:rFonts w:hint="eastAsia"/>
          <w:color w:val="auto"/>
          <w:spacing w:val="10"/>
          <w:kern w:val="2"/>
          <w:sz w:val="15"/>
          <w:szCs w:val="24"/>
        </w:rPr>
        <w:t>投资者自主决定是否购买理财产品。在理财产品募集期</w:t>
      </w:r>
      <w:r>
        <w:rPr>
          <w:color w:val="auto"/>
          <w:spacing w:val="10"/>
          <w:kern w:val="2"/>
          <w:sz w:val="15"/>
          <w:szCs w:val="24"/>
        </w:rPr>
        <w:t>/</w:t>
      </w:r>
      <w:r>
        <w:rPr>
          <w:rFonts w:hint="eastAsia"/>
          <w:color w:val="auto"/>
          <w:spacing w:val="10"/>
          <w:kern w:val="2"/>
          <w:sz w:val="15"/>
          <w:szCs w:val="24"/>
        </w:rPr>
        <w:t>开放期销售时段内，投资者可选择在代销机构营业网点或电子渠道购买。</w:t>
      </w:r>
    </w:p>
    <w:p w:rsidR="0074075C" w:rsidRDefault="0074075C" w:rsidP="0074075C">
      <w:pPr>
        <w:pStyle w:val="a5"/>
        <w:spacing w:before="0" w:after="0" w:line="240" w:lineRule="auto"/>
        <w:ind w:firstLineChars="200" w:firstLine="340"/>
        <w:jc w:val="both"/>
        <w:rPr>
          <w:color w:val="auto"/>
          <w:spacing w:val="10"/>
          <w:kern w:val="2"/>
          <w:sz w:val="15"/>
          <w:szCs w:val="24"/>
        </w:rPr>
      </w:pPr>
      <w:r>
        <w:rPr>
          <w:rFonts w:hint="eastAsia"/>
          <w:color w:val="auto"/>
          <w:spacing w:val="10"/>
          <w:kern w:val="2"/>
          <w:sz w:val="15"/>
          <w:szCs w:val="24"/>
        </w:rPr>
        <w:t>（</w:t>
      </w:r>
      <w:r>
        <w:rPr>
          <w:rFonts w:hint="eastAsia"/>
          <w:color w:val="auto"/>
          <w:spacing w:val="10"/>
          <w:kern w:val="2"/>
          <w:sz w:val="15"/>
          <w:szCs w:val="24"/>
        </w:rPr>
        <w:t>1</w:t>
      </w:r>
      <w:r>
        <w:rPr>
          <w:rFonts w:hint="eastAsia"/>
          <w:color w:val="auto"/>
          <w:spacing w:val="10"/>
          <w:kern w:val="2"/>
          <w:sz w:val="15"/>
          <w:szCs w:val="24"/>
        </w:rPr>
        <w:t>）营业网点</w:t>
      </w:r>
    </w:p>
    <w:p w:rsidR="0074075C" w:rsidRDefault="0074075C" w:rsidP="0074075C">
      <w:pPr>
        <w:pStyle w:val="a5"/>
        <w:spacing w:before="0" w:after="0" w:line="240" w:lineRule="auto"/>
        <w:ind w:firstLineChars="200" w:firstLine="340"/>
        <w:jc w:val="both"/>
        <w:rPr>
          <w:color w:val="auto"/>
          <w:spacing w:val="10"/>
          <w:kern w:val="2"/>
          <w:sz w:val="15"/>
          <w:szCs w:val="24"/>
        </w:rPr>
      </w:pPr>
      <w:r>
        <w:rPr>
          <w:rFonts w:hint="eastAsia"/>
          <w:color w:val="auto"/>
          <w:spacing w:val="10"/>
          <w:kern w:val="2"/>
          <w:sz w:val="15"/>
          <w:szCs w:val="24"/>
        </w:rPr>
        <w:t>●机构投资者适用</w:t>
      </w:r>
    </w:p>
    <w:p w:rsidR="0074075C" w:rsidRDefault="0074075C" w:rsidP="0074075C">
      <w:pPr>
        <w:pStyle w:val="a5"/>
        <w:spacing w:before="0" w:after="0" w:line="240" w:lineRule="auto"/>
        <w:ind w:firstLineChars="200" w:firstLine="340"/>
        <w:jc w:val="both"/>
        <w:rPr>
          <w:color w:val="auto"/>
          <w:spacing w:val="10"/>
          <w:kern w:val="2"/>
          <w:sz w:val="15"/>
          <w:szCs w:val="24"/>
        </w:rPr>
      </w:pPr>
      <w:r>
        <w:rPr>
          <w:rFonts w:hint="eastAsia"/>
          <w:color w:val="auto"/>
          <w:spacing w:val="10"/>
          <w:kern w:val="2"/>
          <w:sz w:val="15"/>
          <w:szCs w:val="24"/>
        </w:rPr>
        <w:t>机构投资者购买理财产品前应通过理财签约交易开通理财账户，按照对应期次的《理财产品说明书》约定的币种和金额存入授权指定账户，代销机构柜面服务人员通过柜面相关交易录入投资者认</w:t>
      </w:r>
      <w:r>
        <w:rPr>
          <w:color w:val="auto"/>
          <w:spacing w:val="10"/>
          <w:kern w:val="2"/>
          <w:sz w:val="15"/>
          <w:szCs w:val="24"/>
        </w:rPr>
        <w:t>/</w:t>
      </w:r>
      <w:r>
        <w:rPr>
          <w:rFonts w:hint="eastAsia"/>
          <w:color w:val="auto"/>
          <w:spacing w:val="10"/>
          <w:kern w:val="2"/>
          <w:sz w:val="15"/>
          <w:szCs w:val="24"/>
        </w:rPr>
        <w:t>申购信息，完成认</w:t>
      </w:r>
      <w:r>
        <w:rPr>
          <w:color w:val="auto"/>
          <w:spacing w:val="10"/>
          <w:kern w:val="2"/>
          <w:sz w:val="15"/>
          <w:szCs w:val="24"/>
        </w:rPr>
        <w:t>/</w:t>
      </w:r>
      <w:r>
        <w:rPr>
          <w:rFonts w:hint="eastAsia"/>
          <w:color w:val="auto"/>
          <w:spacing w:val="10"/>
          <w:kern w:val="2"/>
          <w:sz w:val="15"/>
          <w:szCs w:val="24"/>
        </w:rPr>
        <w:t>申购交易；完成认</w:t>
      </w:r>
      <w:r>
        <w:rPr>
          <w:rFonts w:hint="eastAsia"/>
          <w:color w:val="auto"/>
          <w:spacing w:val="10"/>
          <w:kern w:val="2"/>
          <w:sz w:val="15"/>
          <w:szCs w:val="24"/>
        </w:rPr>
        <w:t>/</w:t>
      </w:r>
      <w:r>
        <w:rPr>
          <w:rFonts w:hint="eastAsia"/>
          <w:color w:val="auto"/>
          <w:spacing w:val="10"/>
          <w:kern w:val="2"/>
          <w:sz w:val="15"/>
          <w:szCs w:val="24"/>
        </w:rPr>
        <w:t>申购交易不等同于认</w:t>
      </w:r>
      <w:r>
        <w:rPr>
          <w:rFonts w:hint="eastAsia"/>
          <w:color w:val="auto"/>
          <w:spacing w:val="10"/>
          <w:kern w:val="2"/>
          <w:sz w:val="15"/>
          <w:szCs w:val="24"/>
        </w:rPr>
        <w:t>/</w:t>
      </w:r>
      <w:r>
        <w:rPr>
          <w:rFonts w:hint="eastAsia"/>
          <w:color w:val="auto"/>
          <w:spacing w:val="10"/>
          <w:kern w:val="2"/>
          <w:sz w:val="15"/>
          <w:szCs w:val="24"/>
        </w:rPr>
        <w:t>申购成功，认</w:t>
      </w:r>
      <w:r>
        <w:rPr>
          <w:rFonts w:hint="eastAsia"/>
          <w:color w:val="auto"/>
          <w:spacing w:val="10"/>
          <w:kern w:val="2"/>
          <w:sz w:val="15"/>
          <w:szCs w:val="24"/>
        </w:rPr>
        <w:t>/</w:t>
      </w:r>
      <w:r>
        <w:rPr>
          <w:rFonts w:hint="eastAsia"/>
          <w:color w:val="auto"/>
          <w:spacing w:val="10"/>
          <w:kern w:val="2"/>
          <w:sz w:val="15"/>
          <w:szCs w:val="24"/>
        </w:rPr>
        <w:t>申购结果以南银理财系统的确认结果为准。</w:t>
      </w:r>
    </w:p>
    <w:p w:rsidR="0074075C" w:rsidRDefault="0074075C" w:rsidP="0074075C">
      <w:pPr>
        <w:pStyle w:val="a5"/>
        <w:spacing w:before="0" w:after="0" w:line="240" w:lineRule="auto"/>
        <w:ind w:firstLineChars="200" w:firstLine="340"/>
        <w:jc w:val="both"/>
        <w:rPr>
          <w:color w:val="auto"/>
          <w:spacing w:val="10"/>
          <w:kern w:val="2"/>
          <w:sz w:val="15"/>
          <w:szCs w:val="24"/>
        </w:rPr>
      </w:pPr>
      <w:r>
        <w:rPr>
          <w:rFonts w:hint="eastAsia"/>
          <w:color w:val="auto"/>
          <w:spacing w:val="10"/>
          <w:kern w:val="2"/>
          <w:sz w:val="15"/>
          <w:szCs w:val="24"/>
        </w:rPr>
        <w:t>●个人投资者适用</w:t>
      </w:r>
    </w:p>
    <w:p w:rsidR="0074075C" w:rsidRDefault="0074075C" w:rsidP="0074075C">
      <w:pPr>
        <w:pStyle w:val="a5"/>
        <w:spacing w:before="0" w:after="0" w:line="240" w:lineRule="auto"/>
        <w:ind w:firstLineChars="200" w:firstLine="340"/>
        <w:jc w:val="both"/>
        <w:rPr>
          <w:color w:val="auto"/>
          <w:spacing w:val="10"/>
          <w:kern w:val="2"/>
          <w:sz w:val="15"/>
          <w:szCs w:val="24"/>
        </w:rPr>
      </w:pPr>
      <w:r>
        <w:rPr>
          <w:rFonts w:hint="eastAsia"/>
          <w:color w:val="auto"/>
          <w:spacing w:val="10"/>
          <w:kern w:val="2"/>
          <w:sz w:val="15"/>
          <w:szCs w:val="24"/>
        </w:rPr>
        <w:t>如个人投资者选择在代销机构营业网点购买理财产品，流程如下：</w:t>
      </w:r>
    </w:p>
    <w:p w:rsidR="0074075C" w:rsidRDefault="0074075C" w:rsidP="0074075C">
      <w:pPr>
        <w:pStyle w:val="a5"/>
        <w:spacing w:before="0" w:after="0" w:line="240" w:lineRule="auto"/>
        <w:ind w:firstLineChars="200" w:firstLine="340"/>
        <w:jc w:val="both"/>
        <w:rPr>
          <w:color w:val="auto"/>
          <w:spacing w:val="10"/>
          <w:kern w:val="2"/>
          <w:sz w:val="15"/>
          <w:szCs w:val="24"/>
        </w:rPr>
      </w:pPr>
      <w:r>
        <w:rPr>
          <w:rFonts w:hint="eastAsia"/>
          <w:color w:val="auto"/>
          <w:spacing w:val="10"/>
          <w:kern w:val="2"/>
          <w:sz w:val="15"/>
          <w:szCs w:val="24"/>
        </w:rPr>
        <w:t>理财产品推荐及录音录像（以下简称“双录”）。代销机构理财产品销售人员根据投资者的风险评估结果，向投资者推荐合适的理财产品，提供理财产品销售文件，介绍产品相关条款及风险揭示等内容。投资者应仔细阅读拟购买理财产品销售文件，自主决定是否购买，如确认购买，须在代销理财产品业务申请表上签字确认，并在《理财产品风险揭示书》上亲自抄录风险揭示语句。代销机构理财产品销售人员须在销售专区对理财销售全过程进行双录。</w:t>
      </w:r>
    </w:p>
    <w:p w:rsidR="0074075C" w:rsidRDefault="0074075C" w:rsidP="0074075C">
      <w:pPr>
        <w:pStyle w:val="a5"/>
        <w:spacing w:before="0" w:after="0" w:line="240" w:lineRule="auto"/>
        <w:ind w:firstLineChars="200" w:firstLine="340"/>
        <w:jc w:val="both"/>
        <w:rPr>
          <w:color w:val="auto"/>
          <w:spacing w:val="10"/>
          <w:kern w:val="2"/>
          <w:sz w:val="15"/>
          <w:szCs w:val="24"/>
        </w:rPr>
      </w:pPr>
      <w:r>
        <w:rPr>
          <w:rFonts w:hint="eastAsia"/>
          <w:color w:val="auto"/>
          <w:spacing w:val="10"/>
          <w:kern w:val="2"/>
          <w:sz w:val="15"/>
          <w:szCs w:val="24"/>
        </w:rPr>
        <w:t>个人投资者向代销机构申请购买理财产品前须开立代销机构的借记卡、通过理财签约交易开通理财账户，在理财产品认购期</w:t>
      </w:r>
      <w:r>
        <w:rPr>
          <w:color w:val="auto"/>
          <w:spacing w:val="10"/>
          <w:kern w:val="2"/>
          <w:sz w:val="15"/>
          <w:szCs w:val="24"/>
        </w:rPr>
        <w:t>/</w:t>
      </w:r>
      <w:r>
        <w:rPr>
          <w:rFonts w:hint="eastAsia"/>
          <w:color w:val="auto"/>
          <w:spacing w:val="10"/>
          <w:kern w:val="2"/>
          <w:sz w:val="15"/>
          <w:szCs w:val="24"/>
        </w:rPr>
        <w:t>募集期</w:t>
      </w:r>
      <w:r>
        <w:rPr>
          <w:color w:val="auto"/>
          <w:spacing w:val="10"/>
          <w:kern w:val="2"/>
          <w:sz w:val="15"/>
          <w:szCs w:val="24"/>
        </w:rPr>
        <w:t>/</w:t>
      </w:r>
      <w:r>
        <w:rPr>
          <w:rFonts w:hint="eastAsia"/>
          <w:color w:val="auto"/>
          <w:spacing w:val="10"/>
          <w:kern w:val="2"/>
          <w:sz w:val="15"/>
          <w:szCs w:val="24"/>
        </w:rPr>
        <w:t>开放期销售时段内，按照对应期次的《理财产品说明书》约定的币种和金额存入授权指定账户。</w:t>
      </w:r>
    </w:p>
    <w:p w:rsidR="0074075C" w:rsidRDefault="0074075C" w:rsidP="0074075C">
      <w:pPr>
        <w:pStyle w:val="a5"/>
        <w:spacing w:before="0" w:after="0" w:line="240" w:lineRule="auto"/>
        <w:ind w:firstLineChars="200" w:firstLine="340"/>
        <w:jc w:val="both"/>
        <w:rPr>
          <w:color w:val="auto"/>
          <w:spacing w:val="10"/>
          <w:kern w:val="2"/>
          <w:sz w:val="15"/>
          <w:szCs w:val="24"/>
        </w:rPr>
      </w:pPr>
      <w:r>
        <w:rPr>
          <w:rFonts w:hint="eastAsia"/>
          <w:color w:val="auto"/>
          <w:spacing w:val="10"/>
          <w:kern w:val="2"/>
          <w:sz w:val="15"/>
          <w:szCs w:val="24"/>
        </w:rPr>
        <w:lastRenderedPageBreak/>
        <w:t>个人投资者将本人有效身份证件、已签字确认的理财认</w:t>
      </w:r>
      <w:r>
        <w:rPr>
          <w:color w:val="auto"/>
          <w:spacing w:val="10"/>
          <w:kern w:val="2"/>
          <w:sz w:val="15"/>
          <w:szCs w:val="24"/>
        </w:rPr>
        <w:t>/</w:t>
      </w:r>
      <w:r>
        <w:rPr>
          <w:rFonts w:hint="eastAsia"/>
          <w:color w:val="auto"/>
          <w:spacing w:val="10"/>
          <w:kern w:val="2"/>
          <w:sz w:val="15"/>
          <w:szCs w:val="24"/>
        </w:rPr>
        <w:t>申购申请资料和代销机构的风险产品录音录像确认单提交代销机构柜面服务人员进行购买操作，代销机构柜面服务人员通过柜面相关交易录入投资者认</w:t>
      </w:r>
      <w:r>
        <w:rPr>
          <w:color w:val="auto"/>
          <w:spacing w:val="10"/>
          <w:kern w:val="2"/>
          <w:sz w:val="15"/>
          <w:szCs w:val="24"/>
        </w:rPr>
        <w:t>/</w:t>
      </w:r>
      <w:r>
        <w:rPr>
          <w:rFonts w:hint="eastAsia"/>
          <w:color w:val="auto"/>
          <w:spacing w:val="10"/>
          <w:kern w:val="2"/>
          <w:sz w:val="15"/>
          <w:szCs w:val="24"/>
        </w:rPr>
        <w:t>申购信息，完成认</w:t>
      </w:r>
      <w:r>
        <w:rPr>
          <w:color w:val="auto"/>
          <w:spacing w:val="10"/>
          <w:kern w:val="2"/>
          <w:sz w:val="15"/>
          <w:szCs w:val="24"/>
        </w:rPr>
        <w:t>/</w:t>
      </w:r>
      <w:r>
        <w:rPr>
          <w:rFonts w:hint="eastAsia"/>
          <w:color w:val="auto"/>
          <w:spacing w:val="10"/>
          <w:kern w:val="2"/>
          <w:sz w:val="15"/>
          <w:szCs w:val="24"/>
        </w:rPr>
        <w:t>申购交易。</w:t>
      </w:r>
    </w:p>
    <w:p w:rsidR="0074075C" w:rsidRDefault="0074075C" w:rsidP="0074075C">
      <w:pPr>
        <w:pStyle w:val="a5"/>
        <w:spacing w:before="0" w:after="0" w:line="240" w:lineRule="auto"/>
        <w:ind w:firstLineChars="200" w:firstLine="340"/>
        <w:jc w:val="both"/>
        <w:rPr>
          <w:color w:val="auto"/>
          <w:spacing w:val="10"/>
          <w:kern w:val="2"/>
          <w:sz w:val="15"/>
          <w:szCs w:val="24"/>
        </w:rPr>
      </w:pPr>
      <w:r>
        <w:rPr>
          <w:rFonts w:hint="eastAsia"/>
          <w:color w:val="auto"/>
          <w:spacing w:val="10"/>
          <w:kern w:val="2"/>
          <w:sz w:val="15"/>
          <w:szCs w:val="24"/>
        </w:rPr>
        <w:t>（</w:t>
      </w:r>
      <w:r>
        <w:rPr>
          <w:rFonts w:hint="eastAsia"/>
          <w:color w:val="auto"/>
          <w:spacing w:val="10"/>
          <w:kern w:val="2"/>
          <w:sz w:val="15"/>
          <w:szCs w:val="24"/>
        </w:rPr>
        <w:t>2</w:t>
      </w:r>
      <w:r>
        <w:rPr>
          <w:rFonts w:hint="eastAsia"/>
          <w:color w:val="auto"/>
          <w:spacing w:val="10"/>
          <w:kern w:val="2"/>
          <w:sz w:val="15"/>
          <w:szCs w:val="24"/>
        </w:rPr>
        <w:t>）电子渠道</w:t>
      </w:r>
    </w:p>
    <w:p w:rsidR="0074075C" w:rsidRDefault="0074075C" w:rsidP="0074075C">
      <w:pPr>
        <w:pStyle w:val="a5"/>
        <w:spacing w:before="0" w:after="0" w:line="240" w:lineRule="auto"/>
        <w:ind w:firstLineChars="200" w:firstLine="340"/>
        <w:jc w:val="both"/>
        <w:rPr>
          <w:color w:val="auto"/>
          <w:spacing w:val="10"/>
          <w:kern w:val="2"/>
          <w:sz w:val="15"/>
          <w:szCs w:val="24"/>
        </w:rPr>
      </w:pPr>
      <w:r>
        <w:rPr>
          <w:rFonts w:hint="eastAsia"/>
          <w:color w:val="auto"/>
          <w:spacing w:val="10"/>
          <w:kern w:val="2"/>
          <w:sz w:val="15"/>
          <w:szCs w:val="24"/>
        </w:rPr>
        <w:t>如投资者选择在代销机构提供的电子渠道（包括但不限于网上银行、手机银行或监管机构认可的其他销售渠道）购买理财产品，投资者需通过相关电子渠道仔细阅读理财产品销售文件，根据认购</w:t>
      </w:r>
      <w:r>
        <w:rPr>
          <w:color w:val="auto"/>
          <w:spacing w:val="10"/>
          <w:kern w:val="2"/>
          <w:sz w:val="15"/>
          <w:szCs w:val="24"/>
        </w:rPr>
        <w:t>/</w:t>
      </w:r>
      <w:r>
        <w:rPr>
          <w:rFonts w:hint="eastAsia"/>
          <w:color w:val="auto"/>
          <w:spacing w:val="10"/>
          <w:kern w:val="2"/>
          <w:sz w:val="15"/>
          <w:szCs w:val="24"/>
        </w:rPr>
        <w:t>申购流程逐项点击确认进行购买，认</w:t>
      </w:r>
      <w:r>
        <w:rPr>
          <w:color w:val="auto"/>
          <w:spacing w:val="10"/>
          <w:kern w:val="2"/>
          <w:sz w:val="15"/>
          <w:szCs w:val="24"/>
        </w:rPr>
        <w:t>/</w:t>
      </w:r>
      <w:r>
        <w:rPr>
          <w:rFonts w:hint="eastAsia"/>
          <w:color w:val="auto"/>
          <w:spacing w:val="10"/>
          <w:kern w:val="2"/>
          <w:sz w:val="15"/>
          <w:szCs w:val="24"/>
        </w:rPr>
        <w:t>申购结果以在该等电子渠道的查询结果为准。</w:t>
      </w:r>
    </w:p>
    <w:p w:rsidR="0074075C" w:rsidRDefault="0074075C" w:rsidP="0074075C">
      <w:pPr>
        <w:pStyle w:val="a5"/>
        <w:spacing w:before="0" w:after="0" w:line="240" w:lineRule="auto"/>
        <w:ind w:firstLineChars="200" w:firstLine="340"/>
        <w:jc w:val="both"/>
        <w:rPr>
          <w:color w:val="auto"/>
          <w:spacing w:val="10"/>
          <w:kern w:val="2"/>
          <w:sz w:val="15"/>
          <w:szCs w:val="24"/>
        </w:rPr>
      </w:pPr>
      <w:r>
        <w:rPr>
          <w:color w:val="auto"/>
          <w:spacing w:val="10"/>
          <w:kern w:val="2"/>
          <w:sz w:val="15"/>
          <w:szCs w:val="24"/>
        </w:rPr>
        <w:t>3</w:t>
      </w:r>
      <w:r>
        <w:rPr>
          <w:rFonts w:hint="eastAsia"/>
          <w:color w:val="auto"/>
          <w:spacing w:val="10"/>
          <w:kern w:val="2"/>
          <w:sz w:val="15"/>
          <w:szCs w:val="24"/>
        </w:rPr>
        <w:t>、理财产品认</w:t>
      </w:r>
      <w:r>
        <w:rPr>
          <w:color w:val="auto"/>
          <w:spacing w:val="10"/>
          <w:kern w:val="2"/>
          <w:sz w:val="15"/>
          <w:szCs w:val="24"/>
        </w:rPr>
        <w:t>/</w:t>
      </w:r>
      <w:r>
        <w:rPr>
          <w:rFonts w:hint="eastAsia"/>
          <w:color w:val="auto"/>
          <w:spacing w:val="10"/>
          <w:kern w:val="2"/>
          <w:sz w:val="15"/>
          <w:szCs w:val="24"/>
        </w:rPr>
        <w:t>申购申请撤销。投资者在理财产品认购期</w:t>
      </w:r>
      <w:r>
        <w:rPr>
          <w:color w:val="auto"/>
          <w:spacing w:val="10"/>
          <w:kern w:val="2"/>
          <w:sz w:val="15"/>
          <w:szCs w:val="24"/>
        </w:rPr>
        <w:t>/</w:t>
      </w:r>
      <w:r>
        <w:rPr>
          <w:rFonts w:hint="eastAsia"/>
          <w:color w:val="auto"/>
          <w:spacing w:val="10"/>
          <w:kern w:val="2"/>
          <w:sz w:val="15"/>
          <w:szCs w:val="24"/>
        </w:rPr>
        <w:t>募集期</w:t>
      </w:r>
      <w:r>
        <w:rPr>
          <w:color w:val="auto"/>
          <w:spacing w:val="10"/>
          <w:kern w:val="2"/>
          <w:sz w:val="15"/>
          <w:szCs w:val="24"/>
        </w:rPr>
        <w:t>/</w:t>
      </w:r>
      <w:r>
        <w:rPr>
          <w:rFonts w:hint="eastAsia"/>
          <w:color w:val="auto"/>
          <w:spacing w:val="10"/>
          <w:kern w:val="2"/>
          <w:sz w:val="15"/>
          <w:szCs w:val="24"/>
        </w:rPr>
        <w:t>开放期</w:t>
      </w:r>
      <w:r>
        <w:rPr>
          <w:color w:val="auto"/>
          <w:spacing w:val="10"/>
          <w:kern w:val="2"/>
          <w:sz w:val="15"/>
          <w:szCs w:val="24"/>
        </w:rPr>
        <w:t>/</w:t>
      </w:r>
      <w:r>
        <w:rPr>
          <w:rFonts w:hint="eastAsia"/>
          <w:color w:val="auto"/>
          <w:spacing w:val="10"/>
          <w:kern w:val="2"/>
          <w:sz w:val="15"/>
          <w:szCs w:val="24"/>
        </w:rPr>
        <w:t>投资冷静期（私募产品适用）内，可以撤销理财产品相应的认</w:t>
      </w:r>
      <w:r>
        <w:rPr>
          <w:color w:val="auto"/>
          <w:spacing w:val="10"/>
          <w:kern w:val="2"/>
          <w:sz w:val="15"/>
          <w:szCs w:val="24"/>
        </w:rPr>
        <w:t>/</w:t>
      </w:r>
      <w:r>
        <w:rPr>
          <w:rFonts w:hint="eastAsia"/>
          <w:color w:val="auto"/>
          <w:spacing w:val="10"/>
          <w:kern w:val="2"/>
          <w:sz w:val="15"/>
          <w:szCs w:val="24"/>
        </w:rPr>
        <w:t>申购申请。</w:t>
      </w:r>
    </w:p>
    <w:p w:rsidR="0074075C" w:rsidRDefault="0074075C" w:rsidP="0074075C">
      <w:pPr>
        <w:pStyle w:val="a5"/>
        <w:spacing w:before="0" w:after="0" w:line="240" w:lineRule="auto"/>
        <w:ind w:firstLineChars="200" w:firstLine="340"/>
        <w:jc w:val="both"/>
        <w:rPr>
          <w:color w:val="auto"/>
          <w:spacing w:val="10"/>
          <w:kern w:val="2"/>
          <w:sz w:val="15"/>
          <w:szCs w:val="24"/>
        </w:rPr>
      </w:pPr>
      <w:r>
        <w:rPr>
          <w:color w:val="auto"/>
          <w:spacing w:val="10"/>
          <w:kern w:val="2"/>
          <w:sz w:val="15"/>
          <w:szCs w:val="24"/>
        </w:rPr>
        <w:t>4</w:t>
      </w:r>
      <w:r>
        <w:rPr>
          <w:rFonts w:hint="eastAsia"/>
          <w:color w:val="auto"/>
          <w:spacing w:val="10"/>
          <w:kern w:val="2"/>
          <w:sz w:val="15"/>
          <w:szCs w:val="24"/>
        </w:rPr>
        <w:t>、理财产品提前终止、赎回</w:t>
      </w:r>
      <w:r>
        <w:rPr>
          <w:color w:val="auto"/>
          <w:spacing w:val="10"/>
          <w:kern w:val="2"/>
          <w:sz w:val="15"/>
          <w:szCs w:val="24"/>
        </w:rPr>
        <w:t>/</w:t>
      </w:r>
      <w:r>
        <w:rPr>
          <w:rFonts w:hint="eastAsia"/>
          <w:color w:val="auto"/>
          <w:spacing w:val="10"/>
          <w:kern w:val="2"/>
          <w:sz w:val="15"/>
          <w:szCs w:val="24"/>
        </w:rPr>
        <w:t>到期兑付和税收。</w:t>
      </w:r>
    </w:p>
    <w:p w:rsidR="0074075C" w:rsidRDefault="0074075C" w:rsidP="0074075C">
      <w:pPr>
        <w:pStyle w:val="a5"/>
        <w:spacing w:before="0" w:after="0" w:line="240" w:lineRule="auto"/>
        <w:ind w:firstLineChars="200" w:firstLine="340"/>
        <w:jc w:val="both"/>
        <w:rPr>
          <w:color w:val="auto"/>
          <w:spacing w:val="10"/>
          <w:kern w:val="2"/>
          <w:sz w:val="15"/>
          <w:szCs w:val="24"/>
        </w:rPr>
      </w:pPr>
      <w:r>
        <w:rPr>
          <w:rFonts w:hint="eastAsia"/>
          <w:color w:val="auto"/>
          <w:spacing w:val="10"/>
          <w:kern w:val="2"/>
          <w:sz w:val="15"/>
          <w:szCs w:val="24"/>
        </w:rPr>
        <w:t>提前终止—当理财产品发生全部提前终止时，南银理财和代销机构应当按照对应期次理财产品销售文件约定的方式向投资者告知相应理财产品的提前终止事宜。</w:t>
      </w:r>
    </w:p>
    <w:p w:rsidR="0074075C" w:rsidRDefault="0074075C" w:rsidP="0074075C">
      <w:pPr>
        <w:pStyle w:val="a5"/>
        <w:spacing w:before="0" w:after="0" w:line="240" w:lineRule="auto"/>
        <w:ind w:firstLineChars="200" w:firstLine="340"/>
        <w:jc w:val="both"/>
        <w:rPr>
          <w:color w:val="auto"/>
          <w:spacing w:val="10"/>
          <w:kern w:val="2"/>
          <w:sz w:val="15"/>
          <w:szCs w:val="24"/>
        </w:rPr>
      </w:pPr>
      <w:r>
        <w:rPr>
          <w:rFonts w:hint="eastAsia"/>
          <w:color w:val="auto"/>
          <w:spacing w:val="10"/>
          <w:kern w:val="2"/>
          <w:sz w:val="15"/>
          <w:szCs w:val="24"/>
        </w:rPr>
        <w:t>赎回</w:t>
      </w:r>
      <w:r>
        <w:rPr>
          <w:color w:val="auto"/>
          <w:spacing w:val="10"/>
          <w:kern w:val="2"/>
          <w:sz w:val="15"/>
          <w:szCs w:val="24"/>
        </w:rPr>
        <w:t>/</w:t>
      </w:r>
      <w:r>
        <w:rPr>
          <w:rFonts w:hint="eastAsia"/>
          <w:color w:val="auto"/>
          <w:spacing w:val="10"/>
          <w:kern w:val="2"/>
          <w:sz w:val="15"/>
          <w:szCs w:val="24"/>
        </w:rPr>
        <w:t>到期兑付—南银理财和代销机构应当按照对应期次的理财产品销售文件的相关约定，将赎回兑付款项划入销售文件约定的投资者授权指定账户。如果发生特殊情形，造成本理财产品的投资资产无法及时、足额变现，南银理财可以根据实际情况选择向投资者提前兑付、延迟兑付或者分次兑付，并及时根据法律法规的要求向投资者披露兑付方案。</w:t>
      </w:r>
    </w:p>
    <w:p w:rsidR="0074075C" w:rsidRDefault="0074075C" w:rsidP="0074075C">
      <w:pPr>
        <w:pStyle w:val="a5"/>
        <w:spacing w:before="0" w:after="0" w:line="240" w:lineRule="auto"/>
        <w:ind w:firstLine="480"/>
        <w:jc w:val="both"/>
        <w:rPr>
          <w:highlight w:val="yellow"/>
        </w:rPr>
      </w:pPr>
      <w:r>
        <w:rPr>
          <w:rFonts w:hint="eastAsia"/>
          <w:color w:val="auto"/>
          <w:spacing w:val="10"/>
          <w:sz w:val="15"/>
          <w:szCs w:val="24"/>
        </w:rPr>
        <w:t>税收—以对应期次的《理财产品说明书》约定的税务处理方式为准，如遇国家政策调整则相应执行最新政策。</w:t>
      </w:r>
    </w:p>
    <w:permEnd w:id="1"/>
    <w:p w:rsidR="0074075C" w:rsidRDefault="0074075C" w:rsidP="0074075C">
      <w:pPr>
        <w:pStyle w:val="a5"/>
        <w:ind w:firstLineChars="200" w:firstLine="341"/>
        <w:rPr>
          <w:bCs/>
          <w:color w:val="auto"/>
          <w:spacing w:val="10"/>
          <w:kern w:val="2"/>
          <w:sz w:val="15"/>
          <w:szCs w:val="15"/>
        </w:rPr>
      </w:pPr>
      <w:r>
        <w:rPr>
          <w:rFonts w:hint="eastAsia"/>
          <w:b/>
          <w:color w:val="auto"/>
          <w:spacing w:val="10"/>
          <w:kern w:val="2"/>
          <w:sz w:val="15"/>
          <w:szCs w:val="15"/>
        </w:rPr>
        <w:t>第二条</w:t>
      </w:r>
      <w:r>
        <w:rPr>
          <w:b/>
          <w:color w:val="auto"/>
          <w:spacing w:val="10"/>
          <w:kern w:val="2"/>
          <w:sz w:val="15"/>
          <w:szCs w:val="15"/>
        </w:rPr>
        <w:t xml:space="preserve"> </w:t>
      </w:r>
      <w:r>
        <w:rPr>
          <w:rFonts w:hint="eastAsia"/>
          <w:b/>
          <w:color w:val="auto"/>
          <w:spacing w:val="10"/>
          <w:kern w:val="2"/>
          <w:sz w:val="15"/>
          <w:szCs w:val="15"/>
        </w:rPr>
        <w:t>投资者风险承受能力评估流程说明</w:t>
      </w:r>
    </w:p>
    <w:p w:rsidR="0074075C" w:rsidRDefault="0074075C" w:rsidP="0074075C">
      <w:pPr>
        <w:pStyle w:val="a5"/>
        <w:spacing w:before="0" w:after="0" w:line="240" w:lineRule="auto"/>
        <w:ind w:firstLine="478"/>
        <w:jc w:val="both"/>
        <w:rPr>
          <w:b/>
          <w:color w:val="auto"/>
          <w:spacing w:val="10"/>
          <w:kern w:val="2"/>
          <w:sz w:val="15"/>
          <w:szCs w:val="15"/>
        </w:rPr>
      </w:pPr>
      <w:r>
        <w:rPr>
          <w:rFonts w:hint="eastAsia"/>
          <w:b/>
          <w:color w:val="auto"/>
          <w:spacing w:val="10"/>
          <w:kern w:val="2"/>
          <w:sz w:val="15"/>
          <w:szCs w:val="15"/>
        </w:rPr>
        <w:t>（一）个人投资者风险承受能力评估流程说明</w:t>
      </w:r>
    </w:p>
    <w:p w:rsidR="0074075C" w:rsidRDefault="0074075C" w:rsidP="0074075C">
      <w:pPr>
        <w:pStyle w:val="a5"/>
        <w:spacing w:before="0" w:after="0" w:line="240" w:lineRule="auto"/>
        <w:ind w:firstLine="338"/>
        <w:jc w:val="both"/>
        <w:rPr>
          <w:bCs/>
          <w:color w:val="auto"/>
          <w:spacing w:val="10"/>
          <w:kern w:val="2"/>
          <w:sz w:val="15"/>
          <w:szCs w:val="15"/>
        </w:rPr>
      </w:pPr>
      <w:r>
        <w:rPr>
          <w:bCs/>
          <w:color w:val="auto"/>
          <w:spacing w:val="10"/>
          <w:kern w:val="2"/>
          <w:sz w:val="15"/>
          <w:szCs w:val="15"/>
        </w:rPr>
        <w:t>1</w:t>
      </w:r>
      <w:r>
        <w:rPr>
          <w:rFonts w:hint="eastAsia"/>
          <w:bCs/>
          <w:color w:val="auto"/>
          <w:spacing w:val="10"/>
          <w:kern w:val="2"/>
          <w:sz w:val="15"/>
          <w:szCs w:val="15"/>
        </w:rPr>
        <w:t>.</w:t>
      </w:r>
      <w:r>
        <w:rPr>
          <w:rFonts w:hint="eastAsia"/>
          <w:bCs/>
          <w:color w:val="auto"/>
          <w:spacing w:val="10"/>
          <w:kern w:val="2"/>
          <w:sz w:val="15"/>
          <w:szCs w:val="15"/>
        </w:rPr>
        <w:t>个人投资者首次通过销售机构购买理财产品时应根据销售机构的要求进行风险承受能力评估。</w:t>
      </w:r>
    </w:p>
    <w:p w:rsidR="0074075C" w:rsidRDefault="0074075C" w:rsidP="0074075C">
      <w:pPr>
        <w:pStyle w:val="a5"/>
        <w:spacing w:before="0" w:after="0" w:line="240" w:lineRule="auto"/>
        <w:ind w:firstLine="338"/>
        <w:jc w:val="both"/>
        <w:rPr>
          <w:bCs/>
          <w:color w:val="auto"/>
          <w:spacing w:val="10"/>
          <w:kern w:val="2"/>
          <w:sz w:val="15"/>
          <w:szCs w:val="15"/>
        </w:rPr>
      </w:pPr>
      <w:r>
        <w:rPr>
          <w:bCs/>
          <w:color w:val="auto"/>
          <w:spacing w:val="10"/>
          <w:kern w:val="2"/>
          <w:sz w:val="15"/>
          <w:szCs w:val="15"/>
        </w:rPr>
        <w:t>2</w:t>
      </w:r>
      <w:r>
        <w:rPr>
          <w:rFonts w:hint="eastAsia"/>
          <w:bCs/>
          <w:color w:val="auto"/>
          <w:spacing w:val="10"/>
          <w:kern w:val="2"/>
          <w:sz w:val="15"/>
          <w:szCs w:val="15"/>
        </w:rPr>
        <w:t>.</w:t>
      </w:r>
      <w:r>
        <w:rPr>
          <w:rFonts w:hint="eastAsia"/>
          <w:bCs/>
          <w:color w:val="auto"/>
          <w:spacing w:val="10"/>
          <w:kern w:val="2"/>
          <w:sz w:val="15"/>
          <w:szCs w:val="15"/>
        </w:rPr>
        <w:t>个人投资者超过一年未进行风险承受能力评估或发生可能影响自身风险承受能力情况的，再次购买理财产品时，应根据销售机构的要求及时完成风险承受能力的重新评估；未进行持续风险评估的投资者不能再次购买理财产品。</w:t>
      </w:r>
    </w:p>
    <w:p w:rsidR="0074075C" w:rsidRDefault="0074075C" w:rsidP="0074075C">
      <w:pPr>
        <w:pStyle w:val="a5"/>
        <w:spacing w:before="0" w:after="0" w:line="240" w:lineRule="auto"/>
        <w:ind w:firstLine="338"/>
        <w:jc w:val="both"/>
        <w:rPr>
          <w:bCs/>
          <w:color w:val="auto"/>
          <w:spacing w:val="10"/>
          <w:kern w:val="2"/>
          <w:sz w:val="15"/>
          <w:szCs w:val="15"/>
        </w:rPr>
      </w:pPr>
      <w:r>
        <w:rPr>
          <w:bCs/>
          <w:color w:val="auto"/>
          <w:spacing w:val="10"/>
          <w:kern w:val="2"/>
          <w:sz w:val="15"/>
          <w:szCs w:val="15"/>
        </w:rPr>
        <w:t>3</w:t>
      </w:r>
      <w:r>
        <w:rPr>
          <w:rFonts w:hint="eastAsia"/>
          <w:bCs/>
          <w:color w:val="auto"/>
          <w:spacing w:val="10"/>
          <w:kern w:val="2"/>
          <w:sz w:val="15"/>
          <w:szCs w:val="15"/>
        </w:rPr>
        <w:t>.</w:t>
      </w:r>
      <w:r>
        <w:rPr>
          <w:rFonts w:hint="eastAsia"/>
          <w:bCs/>
          <w:color w:val="auto"/>
          <w:spacing w:val="10"/>
          <w:kern w:val="2"/>
          <w:sz w:val="15"/>
          <w:szCs w:val="15"/>
        </w:rPr>
        <w:t>个人投资者风险承受能力评估流程</w:t>
      </w:r>
    </w:p>
    <w:p w:rsidR="0074075C" w:rsidRDefault="0074075C" w:rsidP="0074075C">
      <w:pPr>
        <w:pStyle w:val="a5"/>
        <w:spacing w:before="0" w:after="0" w:line="240" w:lineRule="auto"/>
        <w:ind w:firstLine="338"/>
        <w:jc w:val="both"/>
        <w:rPr>
          <w:bCs/>
          <w:color w:val="auto"/>
          <w:spacing w:val="10"/>
          <w:kern w:val="2"/>
          <w:sz w:val="15"/>
          <w:szCs w:val="15"/>
        </w:rPr>
      </w:pPr>
      <w:r>
        <w:rPr>
          <w:rFonts w:hint="eastAsia"/>
          <w:bCs/>
          <w:color w:val="auto"/>
          <w:spacing w:val="10"/>
          <w:kern w:val="2"/>
          <w:sz w:val="15"/>
          <w:szCs w:val="15"/>
        </w:rPr>
        <w:t>（</w:t>
      </w:r>
      <w:r>
        <w:rPr>
          <w:bCs/>
          <w:color w:val="auto"/>
          <w:spacing w:val="10"/>
          <w:kern w:val="2"/>
          <w:sz w:val="15"/>
          <w:szCs w:val="15"/>
        </w:rPr>
        <w:t>1</w:t>
      </w:r>
      <w:r>
        <w:rPr>
          <w:rFonts w:hint="eastAsia"/>
          <w:bCs/>
          <w:color w:val="auto"/>
          <w:spacing w:val="10"/>
          <w:kern w:val="2"/>
          <w:sz w:val="15"/>
          <w:szCs w:val="15"/>
        </w:rPr>
        <w:t>）个人投资者在销售机构进行风险承受能力评估；</w:t>
      </w:r>
    </w:p>
    <w:p w:rsidR="0074075C" w:rsidRDefault="0074075C" w:rsidP="0074075C">
      <w:pPr>
        <w:pStyle w:val="a5"/>
        <w:spacing w:before="0" w:after="0" w:line="240" w:lineRule="auto"/>
        <w:ind w:firstLine="338"/>
        <w:jc w:val="both"/>
        <w:rPr>
          <w:bCs/>
          <w:color w:val="auto"/>
          <w:spacing w:val="10"/>
          <w:kern w:val="2"/>
          <w:sz w:val="15"/>
          <w:szCs w:val="15"/>
        </w:rPr>
      </w:pPr>
      <w:r>
        <w:rPr>
          <w:rFonts w:hint="eastAsia"/>
          <w:bCs/>
          <w:color w:val="auto"/>
          <w:spacing w:val="10"/>
          <w:kern w:val="2"/>
          <w:sz w:val="15"/>
          <w:szCs w:val="15"/>
        </w:rPr>
        <w:t>（</w:t>
      </w:r>
      <w:r>
        <w:rPr>
          <w:bCs/>
          <w:color w:val="auto"/>
          <w:spacing w:val="10"/>
          <w:kern w:val="2"/>
          <w:sz w:val="15"/>
          <w:szCs w:val="15"/>
        </w:rPr>
        <w:t>2</w:t>
      </w:r>
      <w:r>
        <w:rPr>
          <w:rFonts w:hint="eastAsia"/>
          <w:bCs/>
          <w:color w:val="auto"/>
          <w:spacing w:val="10"/>
          <w:kern w:val="2"/>
          <w:sz w:val="15"/>
          <w:szCs w:val="15"/>
        </w:rPr>
        <w:t>）填写销售机构个人投资者风险承受能力测试问卷；</w:t>
      </w:r>
    </w:p>
    <w:p w:rsidR="0074075C" w:rsidRDefault="0074075C" w:rsidP="0074075C">
      <w:pPr>
        <w:pStyle w:val="a5"/>
        <w:spacing w:before="0" w:after="0" w:line="240" w:lineRule="auto"/>
        <w:ind w:firstLine="338"/>
        <w:jc w:val="both"/>
        <w:rPr>
          <w:bCs/>
          <w:color w:val="auto"/>
          <w:spacing w:val="10"/>
          <w:kern w:val="2"/>
          <w:sz w:val="15"/>
          <w:szCs w:val="15"/>
        </w:rPr>
      </w:pPr>
      <w:r>
        <w:rPr>
          <w:rFonts w:hint="eastAsia"/>
          <w:bCs/>
          <w:color w:val="auto"/>
          <w:spacing w:val="10"/>
          <w:kern w:val="2"/>
          <w:sz w:val="15"/>
          <w:szCs w:val="15"/>
        </w:rPr>
        <w:t>（</w:t>
      </w:r>
      <w:r>
        <w:rPr>
          <w:bCs/>
          <w:color w:val="auto"/>
          <w:spacing w:val="10"/>
          <w:kern w:val="2"/>
          <w:sz w:val="15"/>
          <w:szCs w:val="15"/>
        </w:rPr>
        <w:t>3</w:t>
      </w:r>
      <w:r>
        <w:rPr>
          <w:rFonts w:hint="eastAsia"/>
          <w:bCs/>
          <w:color w:val="auto"/>
          <w:spacing w:val="10"/>
          <w:kern w:val="2"/>
          <w:sz w:val="15"/>
          <w:szCs w:val="15"/>
        </w:rPr>
        <w:t>）生成相应的个人投资者风险承受能力评估结果；</w:t>
      </w:r>
    </w:p>
    <w:p w:rsidR="0074075C" w:rsidRDefault="0074075C" w:rsidP="0074075C">
      <w:pPr>
        <w:pStyle w:val="a5"/>
        <w:spacing w:before="0" w:after="0" w:line="240" w:lineRule="auto"/>
        <w:ind w:firstLine="338"/>
        <w:jc w:val="both"/>
        <w:rPr>
          <w:bCs/>
          <w:color w:val="auto"/>
          <w:spacing w:val="10"/>
          <w:kern w:val="2"/>
          <w:sz w:val="15"/>
          <w:szCs w:val="15"/>
        </w:rPr>
      </w:pPr>
      <w:r>
        <w:rPr>
          <w:rFonts w:hint="eastAsia"/>
          <w:bCs/>
          <w:color w:val="auto"/>
          <w:spacing w:val="10"/>
          <w:kern w:val="2"/>
          <w:sz w:val="15"/>
          <w:szCs w:val="15"/>
        </w:rPr>
        <w:t>（</w:t>
      </w:r>
      <w:r>
        <w:rPr>
          <w:bCs/>
          <w:color w:val="auto"/>
          <w:spacing w:val="10"/>
          <w:kern w:val="2"/>
          <w:sz w:val="15"/>
          <w:szCs w:val="15"/>
        </w:rPr>
        <w:t>4</w:t>
      </w:r>
      <w:r>
        <w:rPr>
          <w:rFonts w:hint="eastAsia"/>
          <w:bCs/>
          <w:color w:val="auto"/>
          <w:spacing w:val="10"/>
          <w:kern w:val="2"/>
          <w:sz w:val="15"/>
          <w:szCs w:val="15"/>
        </w:rPr>
        <w:t>）投资者对评估结果进行确认。</w:t>
      </w:r>
    </w:p>
    <w:p w:rsidR="0074075C" w:rsidRDefault="0074075C" w:rsidP="0074075C">
      <w:pPr>
        <w:pStyle w:val="a5"/>
        <w:spacing w:before="0" w:after="0" w:line="240" w:lineRule="auto"/>
        <w:ind w:firstLine="478"/>
        <w:jc w:val="both"/>
        <w:rPr>
          <w:bCs/>
          <w:color w:val="auto"/>
          <w:spacing w:val="10"/>
          <w:kern w:val="2"/>
          <w:sz w:val="15"/>
          <w:szCs w:val="15"/>
        </w:rPr>
      </w:pPr>
      <w:r>
        <w:rPr>
          <w:rFonts w:hint="eastAsia"/>
          <w:bCs/>
          <w:color w:val="auto"/>
          <w:spacing w:val="10"/>
          <w:kern w:val="2"/>
          <w:sz w:val="15"/>
          <w:szCs w:val="15"/>
        </w:rPr>
        <w:t>●特别提示：如个人投资者发生可能影响其自身风险承受能力的情况，再次购买理财产品时应当主动要求销售机构对其进行风险承受能力评估。</w:t>
      </w:r>
    </w:p>
    <w:p w:rsidR="0074075C" w:rsidRDefault="0074075C" w:rsidP="0074075C">
      <w:pPr>
        <w:pStyle w:val="a5"/>
        <w:spacing w:before="0" w:after="0" w:line="240" w:lineRule="auto"/>
        <w:ind w:firstLineChars="200" w:firstLine="340"/>
        <w:jc w:val="both"/>
        <w:rPr>
          <w:color w:val="auto"/>
          <w:spacing w:val="10"/>
          <w:kern w:val="2"/>
          <w:sz w:val="15"/>
          <w:szCs w:val="15"/>
          <w:highlight w:val="yellow"/>
        </w:rPr>
      </w:pPr>
      <w:r>
        <w:rPr>
          <w:rFonts w:hint="eastAsia"/>
          <w:color w:val="auto"/>
          <w:spacing w:val="10"/>
          <w:kern w:val="2"/>
          <w:sz w:val="15"/>
          <w:szCs w:val="15"/>
        </w:rPr>
        <w:t>评级具体含义说明。投资者风险承受能力评估结果的含义如下：</w:t>
      </w:r>
    </w:p>
    <w:p w:rsidR="0074075C" w:rsidRDefault="0074075C" w:rsidP="0074075C">
      <w:pPr>
        <w:pStyle w:val="a5"/>
        <w:spacing w:before="0" w:after="0" w:line="240" w:lineRule="auto"/>
        <w:ind w:firstLine="380"/>
        <w:jc w:val="both"/>
        <w:rPr>
          <w:rFonts w:hint="eastAsia"/>
          <w:b/>
          <w:color w:val="auto"/>
          <w:spacing w:val="10"/>
          <w:kern w:val="2"/>
          <w:sz w:val="15"/>
          <w:szCs w:val="24"/>
          <w:highlight w:val="yellow"/>
        </w:rPr>
      </w:pPr>
      <w:permStart w:id="2" w:edGrp="everyone"/>
      <w:r>
        <w:rPr>
          <w:rFonts w:hint="eastAsia"/>
          <w:b/>
          <w:color w:val="auto"/>
          <w:spacing w:val="10"/>
          <w:kern w:val="2"/>
          <w:sz w:val="15"/>
          <w:szCs w:val="24"/>
          <w:highlight w:val="yellow"/>
        </w:rPr>
        <w:t>1</w:t>
      </w:r>
      <w:r>
        <w:rPr>
          <w:rFonts w:hint="eastAsia"/>
          <w:b/>
          <w:color w:val="auto"/>
          <w:spacing w:val="10"/>
          <w:kern w:val="2"/>
          <w:sz w:val="15"/>
          <w:szCs w:val="24"/>
          <w:highlight w:val="yellow"/>
        </w:rPr>
        <w:t>、低风险投资者</w:t>
      </w:r>
    </w:p>
    <w:p w:rsidR="0074075C" w:rsidRDefault="0074075C" w:rsidP="0074075C">
      <w:pPr>
        <w:pStyle w:val="a5"/>
        <w:spacing w:before="0" w:after="0" w:line="240" w:lineRule="auto"/>
        <w:ind w:firstLine="380"/>
        <w:jc w:val="both"/>
        <w:rPr>
          <w:rFonts w:hint="eastAsia"/>
          <w:b/>
          <w:color w:val="auto"/>
          <w:spacing w:val="10"/>
          <w:kern w:val="2"/>
          <w:sz w:val="15"/>
          <w:szCs w:val="24"/>
          <w:highlight w:val="yellow"/>
        </w:rPr>
      </w:pPr>
      <w:r>
        <w:rPr>
          <w:rFonts w:hint="eastAsia"/>
          <w:b/>
          <w:color w:val="auto"/>
          <w:spacing w:val="10"/>
          <w:kern w:val="2"/>
          <w:sz w:val="15"/>
          <w:szCs w:val="24"/>
          <w:highlight w:val="yellow"/>
        </w:rPr>
        <w:t>投资者特征：在任何投资中，保护本金安全和保持资产的流动性是客户的首要目标。客户对投资的态度是希望投资收益极度稳定，不愿承担高风险以换取高收益，通常不太在意资金是否有较大增值，不愿意承受投资波动对心理的煎熬，追求稳定。</w:t>
      </w:r>
    </w:p>
    <w:p w:rsidR="0074075C" w:rsidRDefault="0074075C" w:rsidP="0074075C">
      <w:pPr>
        <w:pStyle w:val="a5"/>
        <w:spacing w:before="0" w:after="0" w:line="240" w:lineRule="auto"/>
        <w:ind w:firstLine="380"/>
        <w:jc w:val="both"/>
        <w:rPr>
          <w:rFonts w:hint="eastAsia"/>
          <w:b/>
          <w:color w:val="auto"/>
          <w:spacing w:val="10"/>
          <w:kern w:val="2"/>
          <w:sz w:val="15"/>
          <w:szCs w:val="24"/>
          <w:highlight w:val="yellow"/>
        </w:rPr>
      </w:pPr>
      <w:r>
        <w:rPr>
          <w:rFonts w:hint="eastAsia"/>
          <w:b/>
          <w:color w:val="auto"/>
          <w:spacing w:val="10"/>
          <w:kern w:val="2"/>
          <w:sz w:val="15"/>
          <w:szCs w:val="24"/>
          <w:highlight w:val="yellow"/>
        </w:rPr>
        <w:t>2</w:t>
      </w:r>
      <w:r>
        <w:rPr>
          <w:rFonts w:hint="eastAsia"/>
          <w:b/>
          <w:color w:val="auto"/>
          <w:spacing w:val="10"/>
          <w:kern w:val="2"/>
          <w:sz w:val="15"/>
          <w:szCs w:val="24"/>
          <w:highlight w:val="yellow"/>
        </w:rPr>
        <w:t>、中低风险投资者</w:t>
      </w:r>
    </w:p>
    <w:p w:rsidR="0074075C" w:rsidRDefault="0074075C" w:rsidP="0074075C">
      <w:pPr>
        <w:pStyle w:val="a5"/>
        <w:spacing w:before="0" w:after="0" w:line="240" w:lineRule="auto"/>
        <w:ind w:firstLine="380"/>
        <w:jc w:val="both"/>
        <w:rPr>
          <w:rFonts w:hint="eastAsia"/>
          <w:b/>
          <w:color w:val="auto"/>
          <w:spacing w:val="10"/>
          <w:kern w:val="2"/>
          <w:sz w:val="15"/>
          <w:szCs w:val="24"/>
          <w:highlight w:val="yellow"/>
        </w:rPr>
      </w:pPr>
      <w:r>
        <w:rPr>
          <w:rFonts w:hint="eastAsia"/>
          <w:b/>
          <w:color w:val="auto"/>
          <w:spacing w:val="10"/>
          <w:kern w:val="2"/>
          <w:sz w:val="15"/>
          <w:szCs w:val="24"/>
          <w:highlight w:val="yellow"/>
        </w:rPr>
        <w:t>投资者特征：在任何投资中，承担较小的风险取得相对稳定的收益是客户的主要目标，通常愿意承受略低于市场平均水平的风险。</w:t>
      </w:r>
    </w:p>
    <w:p w:rsidR="0074075C" w:rsidRDefault="0074075C" w:rsidP="0074075C">
      <w:pPr>
        <w:pStyle w:val="a5"/>
        <w:spacing w:before="0" w:after="0" w:line="240" w:lineRule="auto"/>
        <w:ind w:firstLine="380"/>
        <w:jc w:val="both"/>
        <w:rPr>
          <w:rFonts w:hint="eastAsia"/>
          <w:b/>
          <w:color w:val="auto"/>
          <w:spacing w:val="10"/>
          <w:kern w:val="2"/>
          <w:sz w:val="15"/>
          <w:szCs w:val="24"/>
          <w:highlight w:val="yellow"/>
        </w:rPr>
      </w:pPr>
      <w:r>
        <w:rPr>
          <w:rFonts w:hint="eastAsia"/>
          <w:b/>
          <w:color w:val="auto"/>
          <w:spacing w:val="10"/>
          <w:kern w:val="2"/>
          <w:sz w:val="15"/>
          <w:szCs w:val="24"/>
          <w:highlight w:val="yellow"/>
        </w:rPr>
        <w:t>3</w:t>
      </w:r>
      <w:r>
        <w:rPr>
          <w:rFonts w:hint="eastAsia"/>
          <w:b/>
          <w:color w:val="auto"/>
          <w:spacing w:val="10"/>
          <w:kern w:val="2"/>
          <w:sz w:val="15"/>
          <w:szCs w:val="24"/>
          <w:highlight w:val="yellow"/>
        </w:rPr>
        <w:t>、中风险投资者</w:t>
      </w:r>
    </w:p>
    <w:p w:rsidR="0074075C" w:rsidRDefault="0074075C" w:rsidP="0074075C">
      <w:pPr>
        <w:pStyle w:val="a5"/>
        <w:spacing w:before="0" w:after="0" w:line="240" w:lineRule="auto"/>
        <w:ind w:firstLine="380"/>
        <w:jc w:val="both"/>
        <w:rPr>
          <w:rFonts w:hint="eastAsia"/>
          <w:b/>
          <w:color w:val="auto"/>
          <w:spacing w:val="10"/>
          <w:kern w:val="2"/>
          <w:sz w:val="15"/>
          <w:szCs w:val="24"/>
          <w:highlight w:val="yellow"/>
        </w:rPr>
      </w:pPr>
      <w:r>
        <w:rPr>
          <w:rFonts w:hint="eastAsia"/>
          <w:b/>
          <w:color w:val="auto"/>
          <w:spacing w:val="10"/>
          <w:kern w:val="2"/>
          <w:sz w:val="15"/>
          <w:szCs w:val="24"/>
          <w:highlight w:val="yellow"/>
        </w:rPr>
        <w:lastRenderedPageBreak/>
        <w:t>投资者特征：在任何投资中，在风险较小的情况下获得一定的收益是客户主要的投资目的。客户通常愿意使本金面临一定的风险，但在做投资决定时，会仔细的对将要面临的风险进行认真的分析。客户对风险总是客观存在的道理有清楚的认识。总体来看，客户愿意承受市场的平均风险。</w:t>
      </w:r>
    </w:p>
    <w:p w:rsidR="0074075C" w:rsidRDefault="0074075C" w:rsidP="0074075C">
      <w:pPr>
        <w:pStyle w:val="a5"/>
        <w:spacing w:before="0" w:after="0" w:line="240" w:lineRule="auto"/>
        <w:ind w:firstLine="380"/>
        <w:jc w:val="both"/>
        <w:rPr>
          <w:rFonts w:hint="eastAsia"/>
          <w:b/>
          <w:color w:val="auto"/>
          <w:spacing w:val="10"/>
          <w:kern w:val="2"/>
          <w:sz w:val="15"/>
          <w:szCs w:val="24"/>
          <w:highlight w:val="magenta"/>
        </w:rPr>
      </w:pPr>
      <w:r>
        <w:rPr>
          <w:rFonts w:hint="eastAsia"/>
          <w:b/>
          <w:color w:val="auto"/>
          <w:spacing w:val="10"/>
          <w:kern w:val="2"/>
          <w:sz w:val="15"/>
          <w:szCs w:val="24"/>
          <w:highlight w:val="magenta"/>
        </w:rPr>
        <w:t>4</w:t>
      </w:r>
      <w:r>
        <w:rPr>
          <w:rFonts w:hint="eastAsia"/>
          <w:b/>
          <w:color w:val="auto"/>
          <w:spacing w:val="10"/>
          <w:kern w:val="2"/>
          <w:sz w:val="15"/>
          <w:szCs w:val="24"/>
          <w:highlight w:val="magenta"/>
        </w:rPr>
        <w:t>、中高风险投资者</w:t>
      </w:r>
    </w:p>
    <w:p w:rsidR="0074075C" w:rsidRDefault="0074075C" w:rsidP="0074075C">
      <w:pPr>
        <w:pStyle w:val="a5"/>
        <w:spacing w:before="0" w:after="0" w:line="240" w:lineRule="auto"/>
        <w:ind w:firstLine="380"/>
        <w:jc w:val="both"/>
        <w:rPr>
          <w:rFonts w:hint="eastAsia"/>
          <w:b/>
          <w:color w:val="auto"/>
          <w:spacing w:val="10"/>
          <w:kern w:val="2"/>
          <w:sz w:val="15"/>
          <w:szCs w:val="24"/>
          <w:highlight w:val="magenta"/>
        </w:rPr>
      </w:pPr>
      <w:r>
        <w:rPr>
          <w:rFonts w:hint="eastAsia"/>
          <w:b/>
          <w:color w:val="auto"/>
          <w:spacing w:val="10"/>
          <w:kern w:val="2"/>
          <w:sz w:val="15"/>
          <w:szCs w:val="24"/>
          <w:highlight w:val="magenta"/>
        </w:rPr>
        <w:t>投资者特征：在任何投资中，客户比较注重长期投资收益。客户的风险承受能力一般，投资产品业绩的波动会对客户产生一定的影响，但通常愿意承受略高于市场平均水平的风险。</w:t>
      </w:r>
    </w:p>
    <w:p w:rsidR="0074075C" w:rsidRDefault="0074075C" w:rsidP="0074075C">
      <w:pPr>
        <w:pStyle w:val="a5"/>
        <w:spacing w:before="0" w:after="0" w:line="240" w:lineRule="auto"/>
        <w:ind w:firstLine="380"/>
        <w:jc w:val="both"/>
        <w:rPr>
          <w:rFonts w:hint="eastAsia"/>
          <w:b/>
          <w:color w:val="auto"/>
          <w:spacing w:val="10"/>
          <w:kern w:val="2"/>
          <w:sz w:val="15"/>
          <w:szCs w:val="24"/>
          <w:highlight w:val="magenta"/>
        </w:rPr>
      </w:pPr>
      <w:r>
        <w:rPr>
          <w:rFonts w:hint="eastAsia"/>
          <w:b/>
          <w:color w:val="auto"/>
          <w:spacing w:val="10"/>
          <w:kern w:val="2"/>
          <w:sz w:val="15"/>
          <w:szCs w:val="24"/>
          <w:highlight w:val="magenta"/>
        </w:rPr>
        <w:t>5</w:t>
      </w:r>
      <w:r>
        <w:rPr>
          <w:rFonts w:hint="eastAsia"/>
          <w:b/>
          <w:color w:val="auto"/>
          <w:spacing w:val="10"/>
          <w:kern w:val="2"/>
          <w:sz w:val="15"/>
          <w:szCs w:val="24"/>
          <w:highlight w:val="magenta"/>
        </w:rPr>
        <w:t>、高风险投资者</w:t>
      </w:r>
    </w:p>
    <w:p w:rsidR="0074075C" w:rsidRDefault="0074075C" w:rsidP="0074075C">
      <w:pPr>
        <w:pStyle w:val="a5"/>
        <w:spacing w:before="0" w:after="0" w:line="240" w:lineRule="auto"/>
        <w:ind w:firstLine="380"/>
        <w:jc w:val="both"/>
        <w:rPr>
          <w:rFonts w:hint="eastAsia"/>
          <w:b/>
          <w:color w:val="auto"/>
          <w:spacing w:val="10"/>
          <w:kern w:val="2"/>
          <w:sz w:val="15"/>
          <w:szCs w:val="15"/>
        </w:rPr>
      </w:pPr>
      <w:r>
        <w:rPr>
          <w:rFonts w:hint="eastAsia"/>
          <w:b/>
          <w:color w:val="auto"/>
          <w:spacing w:val="10"/>
          <w:sz w:val="15"/>
          <w:szCs w:val="24"/>
          <w:highlight w:val="magenta"/>
        </w:rPr>
        <w:t>投资者特征：在任何投资中，客户通常专注于投资的长期增值，并愿意为此承受较大的风险。短期的投资波动并不会对客户造成大的影响，追求超高的回报才是客户关注的目标。</w:t>
      </w:r>
      <w:permEnd w:id="2"/>
    </w:p>
    <w:p w:rsidR="0074075C" w:rsidRDefault="0074075C" w:rsidP="0074075C">
      <w:pPr>
        <w:pStyle w:val="a5"/>
        <w:spacing w:before="0" w:after="0" w:line="240" w:lineRule="auto"/>
        <w:ind w:firstLine="380"/>
        <w:jc w:val="both"/>
        <w:rPr>
          <w:b/>
          <w:color w:val="auto"/>
          <w:spacing w:val="10"/>
          <w:kern w:val="2"/>
          <w:sz w:val="15"/>
          <w:szCs w:val="15"/>
        </w:rPr>
      </w:pPr>
      <w:r>
        <w:rPr>
          <w:rFonts w:hint="eastAsia"/>
          <w:b/>
          <w:color w:val="auto"/>
          <w:spacing w:val="10"/>
          <w:kern w:val="2"/>
          <w:sz w:val="15"/>
          <w:szCs w:val="15"/>
        </w:rPr>
        <w:t>（二）机构投资者风险承受能力评估流程说明</w:t>
      </w:r>
    </w:p>
    <w:p w:rsidR="0074075C" w:rsidRDefault="0074075C" w:rsidP="0074075C">
      <w:pPr>
        <w:pStyle w:val="a5"/>
        <w:spacing w:before="0" w:after="0" w:line="240" w:lineRule="auto"/>
        <w:ind w:firstLine="478"/>
        <w:jc w:val="both"/>
        <w:rPr>
          <w:bCs/>
          <w:color w:val="auto"/>
          <w:spacing w:val="10"/>
          <w:kern w:val="2"/>
          <w:sz w:val="15"/>
          <w:szCs w:val="15"/>
        </w:rPr>
      </w:pPr>
      <w:r>
        <w:rPr>
          <w:rFonts w:hint="eastAsia"/>
          <w:bCs/>
          <w:color w:val="auto"/>
          <w:spacing w:val="10"/>
          <w:kern w:val="2"/>
          <w:sz w:val="15"/>
          <w:szCs w:val="15"/>
        </w:rPr>
        <w:t>机构投资者请根据自身的财务状况、投资经验、投资目标、风险认知、风险判断及其他因素综合考量理财产品的投资风险及自身的风险承受能力。</w:t>
      </w:r>
    </w:p>
    <w:p w:rsidR="0074075C" w:rsidRDefault="0074075C" w:rsidP="0074075C">
      <w:pPr>
        <w:pStyle w:val="a5"/>
        <w:spacing w:before="0" w:after="0" w:line="240" w:lineRule="auto"/>
        <w:ind w:firstLine="478"/>
        <w:jc w:val="both"/>
        <w:rPr>
          <w:bCs/>
          <w:color w:val="auto"/>
          <w:spacing w:val="10"/>
          <w:kern w:val="2"/>
          <w:sz w:val="15"/>
          <w:szCs w:val="15"/>
        </w:rPr>
      </w:pPr>
      <w:r>
        <w:rPr>
          <w:rFonts w:hint="eastAsia"/>
          <w:b/>
          <w:color w:val="auto"/>
          <w:spacing w:val="10"/>
          <w:kern w:val="2"/>
          <w:sz w:val="15"/>
          <w:szCs w:val="15"/>
        </w:rPr>
        <w:t>第三条</w:t>
      </w:r>
      <w:r>
        <w:rPr>
          <w:b/>
          <w:color w:val="auto"/>
          <w:spacing w:val="10"/>
          <w:kern w:val="2"/>
          <w:sz w:val="15"/>
          <w:szCs w:val="15"/>
        </w:rPr>
        <w:t xml:space="preserve"> </w:t>
      </w:r>
      <w:r>
        <w:rPr>
          <w:rFonts w:hint="eastAsia"/>
          <w:b/>
          <w:color w:val="auto"/>
          <w:spacing w:val="10"/>
          <w:kern w:val="2"/>
          <w:sz w:val="15"/>
          <w:szCs w:val="15"/>
        </w:rPr>
        <w:t>理财产品风险等级说明</w:t>
      </w:r>
    </w:p>
    <w:p w:rsidR="0074075C" w:rsidRDefault="0074075C" w:rsidP="0074075C">
      <w:pPr>
        <w:pStyle w:val="a5"/>
        <w:spacing w:before="0" w:after="0" w:line="240" w:lineRule="auto"/>
        <w:ind w:firstLineChars="199" w:firstLine="338"/>
        <w:jc w:val="both"/>
        <w:rPr>
          <w:color w:val="auto"/>
          <w:spacing w:val="10"/>
          <w:kern w:val="2"/>
          <w:sz w:val="15"/>
          <w:szCs w:val="15"/>
        </w:rPr>
      </w:pPr>
      <w:r>
        <w:rPr>
          <w:rFonts w:hint="eastAsia"/>
          <w:color w:val="auto"/>
          <w:spacing w:val="10"/>
          <w:kern w:val="2"/>
          <w:sz w:val="15"/>
          <w:szCs w:val="15"/>
        </w:rPr>
        <w:t>由于理财产品的运行方式和投资范围等不同，其承担的风险程度各有不同，南银理财将其风险等级分为五级，分别为：</w:t>
      </w:r>
      <w:r>
        <w:rPr>
          <w:rFonts w:hint="eastAsia"/>
          <w:color w:val="auto"/>
          <w:spacing w:val="10"/>
          <w:kern w:val="2"/>
          <w:sz w:val="15"/>
          <w:szCs w:val="15"/>
        </w:rPr>
        <w:t>PR1</w:t>
      </w:r>
      <w:r>
        <w:rPr>
          <w:rFonts w:hint="eastAsia"/>
          <w:color w:val="auto"/>
          <w:spacing w:val="10"/>
          <w:kern w:val="2"/>
          <w:sz w:val="15"/>
          <w:szCs w:val="15"/>
        </w:rPr>
        <w:t>级（低风险）、</w:t>
      </w:r>
      <w:r>
        <w:rPr>
          <w:rFonts w:hint="eastAsia"/>
          <w:color w:val="auto"/>
          <w:spacing w:val="10"/>
          <w:kern w:val="2"/>
          <w:sz w:val="15"/>
          <w:szCs w:val="15"/>
        </w:rPr>
        <w:t>PR2</w:t>
      </w:r>
      <w:r>
        <w:rPr>
          <w:rFonts w:hint="eastAsia"/>
          <w:color w:val="auto"/>
          <w:spacing w:val="10"/>
          <w:kern w:val="2"/>
          <w:sz w:val="15"/>
          <w:szCs w:val="15"/>
        </w:rPr>
        <w:t>级（中低风险）、</w:t>
      </w:r>
      <w:r>
        <w:rPr>
          <w:rFonts w:hint="eastAsia"/>
          <w:color w:val="auto"/>
          <w:spacing w:val="10"/>
          <w:kern w:val="2"/>
          <w:sz w:val="15"/>
          <w:szCs w:val="15"/>
        </w:rPr>
        <w:t>PR3</w:t>
      </w:r>
      <w:r>
        <w:rPr>
          <w:rFonts w:hint="eastAsia"/>
          <w:color w:val="auto"/>
          <w:spacing w:val="10"/>
          <w:kern w:val="2"/>
          <w:sz w:val="15"/>
          <w:szCs w:val="15"/>
        </w:rPr>
        <w:t>级（中等风险）、</w:t>
      </w:r>
      <w:r>
        <w:rPr>
          <w:color w:val="auto"/>
          <w:spacing w:val="10"/>
          <w:kern w:val="2"/>
          <w:sz w:val="15"/>
          <w:szCs w:val="15"/>
        </w:rPr>
        <w:t>PR4</w:t>
      </w:r>
      <w:r>
        <w:rPr>
          <w:rFonts w:hint="eastAsia"/>
          <w:color w:val="auto"/>
          <w:spacing w:val="10"/>
          <w:kern w:val="2"/>
          <w:sz w:val="15"/>
          <w:szCs w:val="15"/>
        </w:rPr>
        <w:t>级（中高风险）、</w:t>
      </w:r>
      <w:r>
        <w:rPr>
          <w:color w:val="auto"/>
          <w:spacing w:val="10"/>
          <w:kern w:val="2"/>
          <w:sz w:val="15"/>
          <w:szCs w:val="15"/>
        </w:rPr>
        <w:t>PR5</w:t>
      </w:r>
      <w:r>
        <w:rPr>
          <w:rFonts w:hint="eastAsia"/>
          <w:color w:val="auto"/>
          <w:spacing w:val="10"/>
          <w:kern w:val="2"/>
          <w:sz w:val="15"/>
          <w:szCs w:val="15"/>
        </w:rPr>
        <w:t>级（高风险）。</w:t>
      </w:r>
    </w:p>
    <w:p w:rsidR="0074075C" w:rsidRDefault="0074075C" w:rsidP="0074075C">
      <w:pPr>
        <w:pStyle w:val="a5"/>
        <w:spacing w:before="0" w:after="0" w:line="240" w:lineRule="auto"/>
        <w:ind w:firstLineChars="199" w:firstLine="338"/>
        <w:jc w:val="both"/>
        <w:rPr>
          <w:color w:val="auto"/>
          <w:spacing w:val="10"/>
          <w:kern w:val="2"/>
          <w:sz w:val="15"/>
          <w:szCs w:val="15"/>
        </w:rPr>
      </w:pPr>
      <w:r>
        <w:rPr>
          <w:color w:val="auto"/>
          <w:spacing w:val="10"/>
          <w:kern w:val="2"/>
          <w:sz w:val="15"/>
          <w:szCs w:val="15"/>
        </w:rPr>
        <w:t>PR1</w:t>
      </w:r>
      <w:r>
        <w:rPr>
          <w:rFonts w:hint="eastAsia"/>
          <w:color w:val="auto"/>
          <w:spacing w:val="10"/>
          <w:kern w:val="2"/>
          <w:sz w:val="15"/>
          <w:szCs w:val="15"/>
        </w:rPr>
        <w:t>级（低风险）：管理人不承诺本金保障，产品收益随投资表现变动，产品存在极低的本金损失风险。</w:t>
      </w:r>
    </w:p>
    <w:p w:rsidR="0074075C" w:rsidRDefault="0074075C" w:rsidP="0074075C">
      <w:pPr>
        <w:pStyle w:val="a5"/>
        <w:spacing w:before="0" w:after="0" w:line="240" w:lineRule="auto"/>
        <w:ind w:firstLineChars="199" w:firstLine="338"/>
        <w:jc w:val="both"/>
        <w:rPr>
          <w:color w:val="auto"/>
          <w:spacing w:val="10"/>
          <w:kern w:val="2"/>
          <w:sz w:val="15"/>
          <w:szCs w:val="15"/>
        </w:rPr>
      </w:pPr>
      <w:r>
        <w:rPr>
          <w:color w:val="auto"/>
          <w:spacing w:val="10"/>
          <w:kern w:val="2"/>
          <w:sz w:val="15"/>
          <w:szCs w:val="15"/>
        </w:rPr>
        <w:t>PR2</w:t>
      </w:r>
      <w:r>
        <w:rPr>
          <w:rFonts w:hint="eastAsia"/>
          <w:color w:val="auto"/>
          <w:spacing w:val="10"/>
          <w:kern w:val="2"/>
          <w:sz w:val="15"/>
          <w:szCs w:val="15"/>
        </w:rPr>
        <w:t>级（中低风险）：管理人不承诺本金保障，产品收益随投资表现变动，产品存在较低的本金损失风险。</w:t>
      </w:r>
    </w:p>
    <w:p w:rsidR="0074075C" w:rsidRDefault="0074075C" w:rsidP="0074075C">
      <w:pPr>
        <w:pStyle w:val="a5"/>
        <w:spacing w:before="0" w:after="0" w:line="240" w:lineRule="auto"/>
        <w:ind w:firstLineChars="199" w:firstLine="338"/>
        <w:jc w:val="both"/>
        <w:rPr>
          <w:color w:val="auto"/>
          <w:spacing w:val="10"/>
          <w:kern w:val="2"/>
          <w:sz w:val="15"/>
          <w:szCs w:val="15"/>
        </w:rPr>
      </w:pPr>
      <w:r>
        <w:rPr>
          <w:color w:val="auto"/>
          <w:spacing w:val="10"/>
          <w:kern w:val="2"/>
          <w:sz w:val="15"/>
          <w:szCs w:val="15"/>
        </w:rPr>
        <w:t>PR3</w:t>
      </w:r>
      <w:r>
        <w:rPr>
          <w:rFonts w:hint="eastAsia"/>
          <w:color w:val="auto"/>
          <w:spacing w:val="10"/>
          <w:kern w:val="2"/>
          <w:sz w:val="15"/>
          <w:szCs w:val="15"/>
        </w:rPr>
        <w:t>级（中等风险）：管理人不承诺本金保障，产品收益随投资表现变动，产品存在一定的本金损失风险。</w:t>
      </w:r>
    </w:p>
    <w:p w:rsidR="0074075C" w:rsidRDefault="0074075C" w:rsidP="0074075C">
      <w:pPr>
        <w:pStyle w:val="a5"/>
        <w:spacing w:before="0" w:after="0" w:line="240" w:lineRule="auto"/>
        <w:ind w:firstLineChars="199" w:firstLine="338"/>
        <w:jc w:val="both"/>
        <w:rPr>
          <w:color w:val="auto"/>
          <w:spacing w:val="10"/>
          <w:kern w:val="2"/>
          <w:sz w:val="15"/>
          <w:szCs w:val="15"/>
        </w:rPr>
      </w:pPr>
      <w:r>
        <w:rPr>
          <w:color w:val="auto"/>
          <w:spacing w:val="10"/>
          <w:kern w:val="2"/>
          <w:sz w:val="15"/>
          <w:szCs w:val="15"/>
        </w:rPr>
        <w:t>PR4</w:t>
      </w:r>
      <w:r>
        <w:rPr>
          <w:rFonts w:hint="eastAsia"/>
          <w:color w:val="auto"/>
          <w:spacing w:val="10"/>
          <w:kern w:val="2"/>
          <w:sz w:val="15"/>
          <w:szCs w:val="15"/>
        </w:rPr>
        <w:t>级（中高风险）：管理人不承诺本金保障，产品收益随投资表现变动，产品存在较高的本金损失风险。</w:t>
      </w:r>
    </w:p>
    <w:p w:rsidR="0074075C" w:rsidRDefault="0074075C" w:rsidP="0074075C">
      <w:pPr>
        <w:pStyle w:val="a5"/>
        <w:ind w:firstLineChars="198" w:firstLine="337"/>
      </w:pPr>
      <w:r>
        <w:rPr>
          <w:color w:val="auto"/>
          <w:spacing w:val="10"/>
          <w:kern w:val="2"/>
          <w:sz w:val="15"/>
          <w:szCs w:val="15"/>
        </w:rPr>
        <w:t>PR5</w:t>
      </w:r>
      <w:r>
        <w:rPr>
          <w:rFonts w:hint="eastAsia"/>
          <w:color w:val="auto"/>
          <w:spacing w:val="10"/>
          <w:kern w:val="2"/>
          <w:sz w:val="15"/>
          <w:szCs w:val="15"/>
        </w:rPr>
        <w:t>级（高风险）：管理人不承诺本金保障，产品收益随投资表现变动，产品存在极高的本金损失风险，产品本金蒙受全部损失的可能性不容忽视。</w:t>
      </w:r>
    </w:p>
    <w:p w:rsidR="0074075C" w:rsidRDefault="0074075C" w:rsidP="0074075C">
      <w:pPr>
        <w:pStyle w:val="a5"/>
        <w:spacing w:before="0" w:after="0" w:line="240" w:lineRule="auto"/>
        <w:ind w:firstLineChars="199" w:firstLine="338"/>
        <w:jc w:val="both"/>
        <w:rPr>
          <w:color w:val="auto"/>
          <w:spacing w:val="10"/>
          <w:kern w:val="2"/>
          <w:sz w:val="15"/>
          <w:szCs w:val="15"/>
        </w:rPr>
      </w:pPr>
      <w:r>
        <w:rPr>
          <w:rFonts w:hint="eastAsia"/>
          <w:color w:val="auto"/>
          <w:spacing w:val="10"/>
          <w:kern w:val="2"/>
          <w:sz w:val="15"/>
          <w:szCs w:val="15"/>
        </w:rPr>
        <w:t>本风险等级为南银理财风险评级结果，该产品通过代理销售机构渠道销售的，理财产品评级应当以代理销售机构最终披露的评级结果为准。您需充分认识投资风险，谨慎投资。</w:t>
      </w:r>
    </w:p>
    <w:p w:rsidR="0074075C" w:rsidRDefault="0074075C" w:rsidP="0074075C">
      <w:pPr>
        <w:pStyle w:val="a5"/>
        <w:ind w:firstLineChars="200" w:firstLine="341"/>
        <w:rPr>
          <w:rFonts w:hint="eastAsia"/>
        </w:rPr>
      </w:pPr>
      <w:r>
        <w:rPr>
          <w:rFonts w:hint="eastAsia"/>
          <w:b/>
          <w:color w:val="auto"/>
          <w:spacing w:val="10"/>
          <w:kern w:val="2"/>
          <w:sz w:val="15"/>
          <w:szCs w:val="15"/>
        </w:rPr>
        <w:t>【代理销售机构在开展代理销售业务前应对理财产品进行尽职调查并根据理财产品的投资范围、投资资产、投资比例和风险状况等因素对理财产品进行风险等级评估，当南银理财对理财产品的风险等级评估结果与代理销售机构不一致时，代理销售机构应当采用较高风险等级评估结果，按较高的风险等级评估结果向投资者进行充分的风险提示并推介理财产品，确保个人投资者的风险承受能力等级不低于本理财产品风险等级。】</w:t>
      </w:r>
    </w:p>
    <w:p w:rsidR="0074075C" w:rsidRDefault="0074075C" w:rsidP="0074075C">
      <w:pPr>
        <w:pStyle w:val="a5"/>
        <w:ind w:firstLineChars="198" w:firstLine="338"/>
        <w:rPr>
          <w:b/>
          <w:bCs/>
          <w:color w:val="auto"/>
          <w:spacing w:val="10"/>
          <w:kern w:val="2"/>
          <w:sz w:val="15"/>
          <w:szCs w:val="15"/>
        </w:rPr>
      </w:pPr>
      <w:r>
        <w:rPr>
          <w:rFonts w:hint="eastAsia"/>
          <w:b/>
          <w:bCs/>
          <w:color w:val="auto"/>
          <w:spacing w:val="10"/>
          <w:kern w:val="2"/>
          <w:sz w:val="15"/>
          <w:szCs w:val="15"/>
        </w:rPr>
        <w:lastRenderedPageBreak/>
        <w:t>第四条</w:t>
      </w:r>
      <w:r>
        <w:rPr>
          <w:b/>
          <w:bCs/>
          <w:color w:val="auto"/>
          <w:spacing w:val="10"/>
          <w:kern w:val="2"/>
          <w:sz w:val="15"/>
          <w:szCs w:val="15"/>
        </w:rPr>
        <w:t xml:space="preserve"> </w:t>
      </w:r>
      <w:r>
        <w:rPr>
          <w:rFonts w:hint="eastAsia"/>
          <w:b/>
          <w:bCs/>
          <w:color w:val="auto"/>
          <w:spacing w:val="10"/>
          <w:kern w:val="2"/>
          <w:sz w:val="15"/>
          <w:szCs w:val="15"/>
        </w:rPr>
        <w:t>个人投资者风险承受能力等级与适合购买的理财产品说明</w:t>
      </w:r>
    </w:p>
    <w:tbl>
      <w:tblPr>
        <w:tblW w:w="5796" w:type="dxa"/>
        <w:jc w:val="center"/>
        <w:tblLayout w:type="fixed"/>
        <w:tblLook w:val="0000"/>
      </w:tblPr>
      <w:tblGrid>
        <w:gridCol w:w="1866"/>
        <w:gridCol w:w="741"/>
        <w:gridCol w:w="816"/>
        <w:gridCol w:w="816"/>
        <w:gridCol w:w="816"/>
        <w:gridCol w:w="741"/>
      </w:tblGrid>
      <w:tr w:rsidR="0074075C" w:rsidTr="00E8742B">
        <w:trPr>
          <w:trHeight w:val="178"/>
          <w:jc w:val="center"/>
        </w:trPr>
        <w:tc>
          <w:tcPr>
            <w:tcW w:w="1866" w:type="dxa"/>
            <w:vMerge w:val="restart"/>
            <w:tcBorders>
              <w:top w:val="single" w:sz="4" w:space="0" w:color="auto"/>
              <w:left w:val="single" w:sz="4" w:space="0" w:color="auto"/>
              <w:right w:val="single" w:sz="4" w:space="0" w:color="auto"/>
            </w:tcBorders>
            <w:vAlign w:val="center"/>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个人投资者风险承受能力</w:t>
            </w:r>
          </w:p>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等级</w:t>
            </w:r>
          </w:p>
        </w:tc>
        <w:tc>
          <w:tcPr>
            <w:tcW w:w="3930" w:type="dxa"/>
            <w:gridSpan w:val="5"/>
            <w:tcBorders>
              <w:top w:val="single" w:sz="4" w:space="0" w:color="auto"/>
              <w:left w:val="nil"/>
              <w:bottom w:val="single" w:sz="4" w:space="0" w:color="auto"/>
              <w:right w:val="single" w:sz="4" w:space="0" w:color="auto"/>
            </w:tcBorders>
            <w:vAlign w:val="center"/>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南银理财理财产品风险等级</w:t>
            </w:r>
          </w:p>
        </w:tc>
      </w:tr>
      <w:tr w:rsidR="0074075C" w:rsidTr="00E8742B">
        <w:trPr>
          <w:trHeight w:val="735"/>
          <w:jc w:val="center"/>
        </w:trPr>
        <w:tc>
          <w:tcPr>
            <w:tcW w:w="1866" w:type="dxa"/>
            <w:vMerge/>
            <w:tcBorders>
              <w:left w:val="single" w:sz="4" w:space="0" w:color="auto"/>
              <w:bottom w:val="single" w:sz="4" w:space="0" w:color="auto"/>
              <w:right w:val="single" w:sz="4" w:space="0" w:color="auto"/>
            </w:tcBorders>
            <w:vAlign w:val="center"/>
          </w:tcPr>
          <w:p w:rsidR="0074075C" w:rsidRDefault="0074075C" w:rsidP="00E8742B">
            <w:pPr>
              <w:widowControl/>
              <w:snapToGrid w:val="0"/>
              <w:jc w:val="center"/>
              <w:rPr>
                <w:rFonts w:ascii="宋体" w:hAnsi="宋体" w:cs="宋体"/>
                <w:kern w:val="0"/>
                <w:sz w:val="15"/>
                <w:szCs w:val="15"/>
              </w:rPr>
            </w:pPr>
          </w:p>
        </w:tc>
        <w:tc>
          <w:tcPr>
            <w:tcW w:w="741" w:type="dxa"/>
            <w:tcBorders>
              <w:top w:val="single" w:sz="4" w:space="0" w:color="auto"/>
              <w:left w:val="nil"/>
              <w:bottom w:val="single" w:sz="4" w:space="0" w:color="auto"/>
              <w:right w:val="single" w:sz="4" w:space="0" w:color="auto"/>
            </w:tcBorders>
            <w:vAlign w:val="center"/>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低风险</w:t>
            </w:r>
            <w:r>
              <w:rPr>
                <w:rFonts w:ascii="宋体" w:hAnsi="宋体" w:cs="宋体"/>
                <w:kern w:val="0"/>
                <w:sz w:val="15"/>
                <w:szCs w:val="15"/>
              </w:rPr>
              <w:br/>
            </w:r>
            <w:r>
              <w:rPr>
                <w:rFonts w:ascii="宋体" w:hAnsi="宋体" w:cs="宋体" w:hint="eastAsia"/>
                <w:kern w:val="0"/>
                <w:sz w:val="15"/>
                <w:szCs w:val="15"/>
              </w:rPr>
              <w:t>（</w:t>
            </w:r>
            <w:r>
              <w:rPr>
                <w:rFonts w:ascii="宋体" w:hAnsi="宋体" w:cs="宋体"/>
                <w:kern w:val="0"/>
                <w:sz w:val="15"/>
                <w:szCs w:val="15"/>
              </w:rPr>
              <w:t>PR1</w:t>
            </w:r>
            <w:r>
              <w:rPr>
                <w:rFonts w:ascii="宋体" w:hAnsi="宋体" w:cs="宋体" w:hint="eastAsia"/>
                <w:kern w:val="0"/>
                <w:sz w:val="15"/>
                <w:szCs w:val="15"/>
              </w:rPr>
              <w:t>）</w:t>
            </w:r>
          </w:p>
        </w:tc>
        <w:tc>
          <w:tcPr>
            <w:tcW w:w="816" w:type="dxa"/>
            <w:tcBorders>
              <w:top w:val="single" w:sz="4" w:space="0" w:color="auto"/>
              <w:left w:val="nil"/>
              <w:bottom w:val="single" w:sz="4" w:space="0" w:color="auto"/>
              <w:right w:val="single" w:sz="4" w:space="0" w:color="auto"/>
            </w:tcBorders>
            <w:vAlign w:val="center"/>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中低风险</w:t>
            </w:r>
            <w:r>
              <w:rPr>
                <w:rFonts w:ascii="宋体" w:hAnsi="宋体" w:cs="宋体"/>
                <w:kern w:val="0"/>
                <w:sz w:val="15"/>
                <w:szCs w:val="15"/>
              </w:rPr>
              <w:br/>
            </w:r>
            <w:r>
              <w:rPr>
                <w:rFonts w:ascii="宋体" w:hAnsi="宋体" w:cs="宋体" w:hint="eastAsia"/>
                <w:kern w:val="0"/>
                <w:sz w:val="15"/>
                <w:szCs w:val="15"/>
              </w:rPr>
              <w:t>（</w:t>
            </w:r>
            <w:r>
              <w:rPr>
                <w:rFonts w:ascii="宋体" w:hAnsi="宋体" w:cs="宋体"/>
                <w:kern w:val="0"/>
                <w:sz w:val="15"/>
                <w:szCs w:val="15"/>
              </w:rPr>
              <w:t>PR2</w:t>
            </w:r>
            <w:r>
              <w:rPr>
                <w:rFonts w:ascii="宋体" w:hAnsi="宋体" w:cs="宋体" w:hint="eastAsia"/>
                <w:kern w:val="0"/>
                <w:sz w:val="15"/>
                <w:szCs w:val="15"/>
              </w:rPr>
              <w:t>）</w:t>
            </w:r>
          </w:p>
        </w:tc>
        <w:tc>
          <w:tcPr>
            <w:tcW w:w="816" w:type="dxa"/>
            <w:tcBorders>
              <w:top w:val="single" w:sz="4" w:space="0" w:color="auto"/>
              <w:left w:val="nil"/>
              <w:bottom w:val="single" w:sz="4" w:space="0" w:color="auto"/>
              <w:right w:val="single" w:sz="4" w:space="0" w:color="auto"/>
            </w:tcBorders>
            <w:vAlign w:val="center"/>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中等风险</w:t>
            </w:r>
            <w:r>
              <w:rPr>
                <w:rFonts w:ascii="宋体" w:hAnsi="宋体" w:cs="宋体"/>
                <w:kern w:val="0"/>
                <w:sz w:val="15"/>
                <w:szCs w:val="15"/>
              </w:rPr>
              <w:br/>
            </w:r>
            <w:r>
              <w:rPr>
                <w:rFonts w:ascii="宋体" w:hAnsi="宋体" w:cs="宋体" w:hint="eastAsia"/>
                <w:kern w:val="0"/>
                <w:sz w:val="15"/>
                <w:szCs w:val="15"/>
              </w:rPr>
              <w:t>（</w:t>
            </w:r>
            <w:r>
              <w:rPr>
                <w:rFonts w:ascii="宋体" w:hAnsi="宋体" w:cs="宋体"/>
                <w:kern w:val="0"/>
                <w:sz w:val="15"/>
                <w:szCs w:val="15"/>
              </w:rPr>
              <w:t>PR3</w:t>
            </w:r>
            <w:r>
              <w:rPr>
                <w:rFonts w:ascii="宋体" w:hAnsi="宋体" w:cs="宋体" w:hint="eastAsia"/>
                <w:kern w:val="0"/>
                <w:sz w:val="15"/>
                <w:szCs w:val="15"/>
              </w:rPr>
              <w:t>）</w:t>
            </w:r>
          </w:p>
        </w:tc>
        <w:tc>
          <w:tcPr>
            <w:tcW w:w="816" w:type="dxa"/>
            <w:tcBorders>
              <w:top w:val="single" w:sz="4" w:space="0" w:color="auto"/>
              <w:left w:val="nil"/>
              <w:bottom w:val="single" w:sz="4" w:space="0" w:color="auto"/>
              <w:right w:val="single" w:sz="4" w:space="0" w:color="auto"/>
            </w:tcBorders>
            <w:vAlign w:val="center"/>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中高风险</w:t>
            </w:r>
            <w:r>
              <w:rPr>
                <w:rFonts w:ascii="宋体" w:hAnsi="宋体" w:cs="宋体"/>
                <w:kern w:val="0"/>
                <w:sz w:val="15"/>
                <w:szCs w:val="15"/>
              </w:rPr>
              <w:br/>
            </w:r>
            <w:r>
              <w:rPr>
                <w:rFonts w:ascii="宋体" w:hAnsi="宋体" w:cs="宋体" w:hint="eastAsia"/>
                <w:kern w:val="0"/>
                <w:sz w:val="15"/>
                <w:szCs w:val="15"/>
              </w:rPr>
              <w:t>（</w:t>
            </w:r>
            <w:r>
              <w:rPr>
                <w:rFonts w:ascii="宋体" w:hAnsi="宋体" w:cs="宋体"/>
                <w:kern w:val="0"/>
                <w:sz w:val="15"/>
                <w:szCs w:val="15"/>
              </w:rPr>
              <w:t>PR4</w:t>
            </w:r>
            <w:r>
              <w:rPr>
                <w:rFonts w:ascii="宋体" w:hAnsi="宋体" w:cs="宋体" w:hint="eastAsia"/>
                <w:kern w:val="0"/>
                <w:sz w:val="15"/>
                <w:szCs w:val="15"/>
              </w:rPr>
              <w:t>）</w:t>
            </w:r>
          </w:p>
        </w:tc>
        <w:tc>
          <w:tcPr>
            <w:tcW w:w="741" w:type="dxa"/>
            <w:tcBorders>
              <w:top w:val="single" w:sz="4" w:space="0" w:color="auto"/>
              <w:left w:val="nil"/>
              <w:bottom w:val="single" w:sz="4" w:space="0" w:color="auto"/>
              <w:right w:val="single" w:sz="4" w:space="0" w:color="auto"/>
            </w:tcBorders>
            <w:vAlign w:val="center"/>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高风险</w:t>
            </w:r>
            <w:r>
              <w:rPr>
                <w:rFonts w:ascii="宋体" w:hAnsi="宋体" w:cs="宋体"/>
                <w:kern w:val="0"/>
                <w:sz w:val="15"/>
                <w:szCs w:val="15"/>
              </w:rPr>
              <w:br/>
            </w:r>
            <w:r>
              <w:rPr>
                <w:rFonts w:ascii="宋体" w:hAnsi="宋体" w:cs="宋体" w:hint="eastAsia"/>
                <w:kern w:val="0"/>
                <w:sz w:val="15"/>
                <w:szCs w:val="15"/>
              </w:rPr>
              <w:t>（</w:t>
            </w:r>
            <w:r>
              <w:rPr>
                <w:rFonts w:ascii="宋体" w:hAnsi="宋体" w:cs="宋体"/>
                <w:kern w:val="0"/>
                <w:sz w:val="15"/>
                <w:szCs w:val="15"/>
              </w:rPr>
              <w:t>PR5</w:t>
            </w:r>
            <w:r>
              <w:rPr>
                <w:rFonts w:ascii="宋体" w:hAnsi="宋体" w:cs="宋体" w:hint="eastAsia"/>
                <w:kern w:val="0"/>
                <w:sz w:val="15"/>
                <w:szCs w:val="15"/>
              </w:rPr>
              <w:t>）</w:t>
            </w:r>
          </w:p>
        </w:tc>
      </w:tr>
      <w:tr w:rsidR="0074075C" w:rsidTr="00E8742B">
        <w:trPr>
          <w:trHeight w:val="270"/>
          <w:jc w:val="center"/>
        </w:trPr>
        <w:tc>
          <w:tcPr>
            <w:tcW w:w="1866" w:type="dxa"/>
            <w:tcBorders>
              <w:top w:val="nil"/>
              <w:left w:val="single" w:sz="4" w:space="0" w:color="auto"/>
              <w:bottom w:val="single" w:sz="4" w:space="0" w:color="auto"/>
              <w:right w:val="single" w:sz="4" w:space="0" w:color="auto"/>
            </w:tcBorders>
            <w:vAlign w:val="center"/>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低风险 </w:t>
            </w:r>
          </w:p>
        </w:tc>
        <w:tc>
          <w:tcPr>
            <w:tcW w:w="741" w:type="dxa"/>
            <w:tcBorders>
              <w:top w:val="nil"/>
              <w:left w:val="nil"/>
              <w:bottom w:val="single" w:sz="4" w:space="0" w:color="auto"/>
              <w:right w:val="single" w:sz="4" w:space="0" w:color="auto"/>
            </w:tcBorders>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w:t>
            </w:r>
            <w:r>
              <w:rPr>
                <w:rFonts w:hint="eastAsia"/>
                <w:spacing w:val="10"/>
                <w:sz w:val="15"/>
                <w:szCs w:val="15"/>
              </w:rPr>
              <w:t>√</w:t>
            </w:r>
            <w:r>
              <w:rPr>
                <w:rFonts w:ascii="宋体" w:hAnsi="宋体" w:cs="宋体" w:hint="eastAsia"/>
                <w:kern w:val="0"/>
                <w:sz w:val="15"/>
                <w:szCs w:val="15"/>
              </w:rPr>
              <w:t xml:space="preserve"> </w:t>
            </w:r>
          </w:p>
        </w:tc>
        <w:tc>
          <w:tcPr>
            <w:tcW w:w="816" w:type="dxa"/>
            <w:tcBorders>
              <w:top w:val="nil"/>
              <w:left w:val="nil"/>
              <w:bottom w:val="single" w:sz="4" w:space="0" w:color="auto"/>
              <w:right w:val="single" w:sz="4" w:space="0" w:color="auto"/>
            </w:tcBorders>
          </w:tcPr>
          <w:p w:rsidR="0074075C" w:rsidRDefault="0074075C" w:rsidP="00E8742B">
            <w:pPr>
              <w:widowControl/>
              <w:snapToGrid w:val="0"/>
              <w:jc w:val="center"/>
              <w:rPr>
                <w:rFonts w:ascii="宋体" w:hAnsi="宋体" w:cs="宋体"/>
                <w:kern w:val="0"/>
                <w:sz w:val="15"/>
                <w:szCs w:val="15"/>
              </w:rPr>
            </w:pPr>
            <w:r>
              <w:rPr>
                <w:rFonts w:hint="eastAsia"/>
                <w:spacing w:val="10"/>
                <w:sz w:val="15"/>
                <w:szCs w:val="15"/>
              </w:rPr>
              <w:t>×</w:t>
            </w:r>
            <w:r>
              <w:rPr>
                <w:rFonts w:ascii="宋体" w:hAnsi="宋体" w:cs="宋体" w:hint="eastAsia"/>
                <w:kern w:val="0"/>
                <w:sz w:val="15"/>
                <w:szCs w:val="15"/>
              </w:rPr>
              <w:t xml:space="preserve"> </w:t>
            </w:r>
          </w:p>
        </w:tc>
        <w:tc>
          <w:tcPr>
            <w:tcW w:w="816" w:type="dxa"/>
            <w:tcBorders>
              <w:top w:val="nil"/>
              <w:left w:val="nil"/>
              <w:bottom w:val="single" w:sz="4" w:space="0" w:color="auto"/>
              <w:right w:val="single" w:sz="4" w:space="0" w:color="auto"/>
            </w:tcBorders>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w:t>
            </w:r>
            <w:r>
              <w:rPr>
                <w:rFonts w:hint="eastAsia"/>
                <w:spacing w:val="10"/>
                <w:sz w:val="15"/>
                <w:szCs w:val="15"/>
              </w:rPr>
              <w:t>×</w:t>
            </w:r>
            <w:r>
              <w:rPr>
                <w:rFonts w:ascii="宋体" w:hAnsi="宋体" w:cs="宋体" w:hint="eastAsia"/>
                <w:kern w:val="0"/>
                <w:sz w:val="15"/>
                <w:szCs w:val="15"/>
              </w:rPr>
              <w:t xml:space="preserve"> </w:t>
            </w:r>
          </w:p>
        </w:tc>
        <w:tc>
          <w:tcPr>
            <w:tcW w:w="816" w:type="dxa"/>
            <w:tcBorders>
              <w:top w:val="nil"/>
              <w:left w:val="nil"/>
              <w:bottom w:val="single" w:sz="4" w:space="0" w:color="auto"/>
              <w:right w:val="single" w:sz="4" w:space="0" w:color="auto"/>
            </w:tcBorders>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w:t>
            </w:r>
            <w:r>
              <w:rPr>
                <w:rFonts w:hint="eastAsia"/>
                <w:spacing w:val="10"/>
                <w:sz w:val="15"/>
                <w:szCs w:val="15"/>
              </w:rPr>
              <w:t>×</w:t>
            </w:r>
            <w:r>
              <w:rPr>
                <w:rFonts w:ascii="宋体" w:hAnsi="宋体" w:cs="宋体" w:hint="eastAsia"/>
                <w:kern w:val="0"/>
                <w:sz w:val="15"/>
                <w:szCs w:val="15"/>
              </w:rPr>
              <w:t xml:space="preserve"> </w:t>
            </w:r>
          </w:p>
        </w:tc>
        <w:tc>
          <w:tcPr>
            <w:tcW w:w="741" w:type="dxa"/>
            <w:tcBorders>
              <w:top w:val="nil"/>
              <w:left w:val="nil"/>
              <w:bottom w:val="single" w:sz="4" w:space="0" w:color="auto"/>
              <w:right w:val="single" w:sz="4" w:space="0" w:color="auto"/>
            </w:tcBorders>
            <w:vAlign w:val="center"/>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w:t>
            </w:r>
            <w:r>
              <w:rPr>
                <w:rFonts w:hint="eastAsia"/>
                <w:spacing w:val="10"/>
                <w:sz w:val="15"/>
                <w:szCs w:val="15"/>
              </w:rPr>
              <w:t>×</w:t>
            </w:r>
            <w:r>
              <w:rPr>
                <w:rFonts w:ascii="宋体" w:hAnsi="宋体" w:cs="宋体" w:hint="eastAsia"/>
                <w:kern w:val="0"/>
                <w:sz w:val="15"/>
                <w:szCs w:val="15"/>
              </w:rPr>
              <w:t xml:space="preserve"> </w:t>
            </w:r>
          </w:p>
        </w:tc>
      </w:tr>
      <w:tr w:rsidR="0074075C" w:rsidTr="00E8742B">
        <w:trPr>
          <w:trHeight w:val="270"/>
          <w:jc w:val="center"/>
        </w:trPr>
        <w:tc>
          <w:tcPr>
            <w:tcW w:w="1866" w:type="dxa"/>
            <w:tcBorders>
              <w:top w:val="nil"/>
              <w:left w:val="single" w:sz="4" w:space="0" w:color="auto"/>
              <w:bottom w:val="single" w:sz="4" w:space="0" w:color="auto"/>
              <w:right w:val="single" w:sz="4" w:space="0" w:color="auto"/>
            </w:tcBorders>
            <w:vAlign w:val="center"/>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中低风险  </w:t>
            </w:r>
          </w:p>
        </w:tc>
        <w:tc>
          <w:tcPr>
            <w:tcW w:w="741" w:type="dxa"/>
            <w:tcBorders>
              <w:top w:val="nil"/>
              <w:left w:val="nil"/>
              <w:bottom w:val="single" w:sz="4" w:space="0" w:color="auto"/>
              <w:right w:val="single" w:sz="4" w:space="0" w:color="auto"/>
            </w:tcBorders>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w:t>
            </w:r>
            <w:r>
              <w:rPr>
                <w:rFonts w:hint="eastAsia"/>
                <w:spacing w:val="10"/>
                <w:sz w:val="15"/>
                <w:szCs w:val="15"/>
              </w:rPr>
              <w:t>√</w:t>
            </w:r>
            <w:r>
              <w:rPr>
                <w:rFonts w:ascii="宋体" w:hAnsi="宋体" w:cs="宋体" w:hint="eastAsia"/>
                <w:kern w:val="0"/>
                <w:sz w:val="15"/>
                <w:szCs w:val="15"/>
              </w:rPr>
              <w:t xml:space="preserve"> </w:t>
            </w:r>
          </w:p>
        </w:tc>
        <w:tc>
          <w:tcPr>
            <w:tcW w:w="816" w:type="dxa"/>
            <w:tcBorders>
              <w:top w:val="nil"/>
              <w:left w:val="nil"/>
              <w:bottom w:val="single" w:sz="4" w:space="0" w:color="auto"/>
              <w:right w:val="single" w:sz="4" w:space="0" w:color="auto"/>
            </w:tcBorders>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w:t>
            </w:r>
            <w:r>
              <w:rPr>
                <w:rFonts w:hint="eastAsia"/>
                <w:spacing w:val="10"/>
                <w:sz w:val="15"/>
                <w:szCs w:val="15"/>
              </w:rPr>
              <w:t>√</w:t>
            </w:r>
            <w:r>
              <w:rPr>
                <w:rFonts w:ascii="宋体" w:hAnsi="宋体" w:cs="宋体" w:hint="eastAsia"/>
                <w:kern w:val="0"/>
                <w:sz w:val="15"/>
                <w:szCs w:val="15"/>
              </w:rPr>
              <w:t xml:space="preserve"> </w:t>
            </w:r>
          </w:p>
        </w:tc>
        <w:tc>
          <w:tcPr>
            <w:tcW w:w="816" w:type="dxa"/>
            <w:tcBorders>
              <w:top w:val="nil"/>
              <w:left w:val="nil"/>
              <w:bottom w:val="single" w:sz="4" w:space="0" w:color="auto"/>
              <w:right w:val="single" w:sz="4" w:space="0" w:color="auto"/>
            </w:tcBorders>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w:t>
            </w:r>
            <w:r>
              <w:rPr>
                <w:rFonts w:hint="eastAsia"/>
                <w:spacing w:val="10"/>
                <w:sz w:val="15"/>
                <w:szCs w:val="15"/>
              </w:rPr>
              <w:t>×</w:t>
            </w:r>
            <w:r>
              <w:rPr>
                <w:rFonts w:ascii="宋体" w:hAnsi="宋体" w:cs="宋体" w:hint="eastAsia"/>
                <w:kern w:val="0"/>
                <w:sz w:val="15"/>
                <w:szCs w:val="15"/>
              </w:rPr>
              <w:t xml:space="preserve"> </w:t>
            </w:r>
          </w:p>
        </w:tc>
        <w:tc>
          <w:tcPr>
            <w:tcW w:w="816" w:type="dxa"/>
            <w:tcBorders>
              <w:top w:val="nil"/>
              <w:left w:val="nil"/>
              <w:bottom w:val="single" w:sz="4" w:space="0" w:color="auto"/>
              <w:right w:val="single" w:sz="4" w:space="0" w:color="auto"/>
            </w:tcBorders>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w:t>
            </w:r>
            <w:r>
              <w:rPr>
                <w:rFonts w:hint="eastAsia"/>
                <w:spacing w:val="10"/>
                <w:sz w:val="15"/>
                <w:szCs w:val="15"/>
              </w:rPr>
              <w:t>×</w:t>
            </w:r>
            <w:r>
              <w:rPr>
                <w:rFonts w:ascii="宋体" w:hAnsi="宋体" w:cs="宋体" w:hint="eastAsia"/>
                <w:kern w:val="0"/>
                <w:sz w:val="15"/>
                <w:szCs w:val="15"/>
              </w:rPr>
              <w:t xml:space="preserve"> </w:t>
            </w:r>
          </w:p>
        </w:tc>
        <w:tc>
          <w:tcPr>
            <w:tcW w:w="741" w:type="dxa"/>
            <w:tcBorders>
              <w:top w:val="nil"/>
              <w:left w:val="nil"/>
              <w:bottom w:val="single" w:sz="4" w:space="0" w:color="auto"/>
              <w:right w:val="single" w:sz="4" w:space="0" w:color="auto"/>
            </w:tcBorders>
            <w:vAlign w:val="center"/>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w:t>
            </w:r>
            <w:r>
              <w:rPr>
                <w:rFonts w:hint="eastAsia"/>
                <w:spacing w:val="10"/>
                <w:sz w:val="15"/>
                <w:szCs w:val="15"/>
              </w:rPr>
              <w:t>×</w:t>
            </w:r>
            <w:r>
              <w:rPr>
                <w:rFonts w:ascii="宋体" w:hAnsi="宋体" w:cs="宋体" w:hint="eastAsia"/>
                <w:kern w:val="0"/>
                <w:sz w:val="15"/>
                <w:szCs w:val="15"/>
              </w:rPr>
              <w:t xml:space="preserve"> </w:t>
            </w:r>
          </w:p>
        </w:tc>
      </w:tr>
      <w:tr w:rsidR="0074075C" w:rsidTr="00E8742B">
        <w:trPr>
          <w:trHeight w:val="270"/>
          <w:jc w:val="center"/>
        </w:trPr>
        <w:tc>
          <w:tcPr>
            <w:tcW w:w="1866" w:type="dxa"/>
            <w:tcBorders>
              <w:top w:val="nil"/>
              <w:left w:val="single" w:sz="4" w:space="0" w:color="auto"/>
              <w:bottom w:val="single" w:sz="4" w:space="0" w:color="auto"/>
              <w:right w:val="single" w:sz="4" w:space="0" w:color="auto"/>
            </w:tcBorders>
            <w:vAlign w:val="center"/>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中风险 </w:t>
            </w:r>
          </w:p>
        </w:tc>
        <w:tc>
          <w:tcPr>
            <w:tcW w:w="741" w:type="dxa"/>
            <w:tcBorders>
              <w:top w:val="nil"/>
              <w:left w:val="nil"/>
              <w:bottom w:val="single" w:sz="4" w:space="0" w:color="auto"/>
              <w:right w:val="single" w:sz="4" w:space="0" w:color="auto"/>
            </w:tcBorders>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w:t>
            </w:r>
            <w:r>
              <w:rPr>
                <w:rFonts w:hint="eastAsia"/>
                <w:spacing w:val="10"/>
                <w:sz w:val="15"/>
                <w:szCs w:val="15"/>
              </w:rPr>
              <w:t>√</w:t>
            </w:r>
            <w:r>
              <w:rPr>
                <w:rFonts w:ascii="宋体" w:hAnsi="宋体" w:cs="宋体" w:hint="eastAsia"/>
                <w:kern w:val="0"/>
                <w:sz w:val="15"/>
                <w:szCs w:val="15"/>
              </w:rPr>
              <w:t xml:space="preserve"> </w:t>
            </w:r>
          </w:p>
        </w:tc>
        <w:tc>
          <w:tcPr>
            <w:tcW w:w="816" w:type="dxa"/>
            <w:tcBorders>
              <w:top w:val="nil"/>
              <w:left w:val="nil"/>
              <w:bottom w:val="single" w:sz="4" w:space="0" w:color="auto"/>
              <w:right w:val="single" w:sz="4" w:space="0" w:color="auto"/>
            </w:tcBorders>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w:t>
            </w:r>
            <w:r>
              <w:rPr>
                <w:rFonts w:hint="eastAsia"/>
                <w:spacing w:val="10"/>
                <w:sz w:val="15"/>
                <w:szCs w:val="15"/>
              </w:rPr>
              <w:t>√</w:t>
            </w:r>
            <w:r>
              <w:rPr>
                <w:rFonts w:ascii="宋体" w:hAnsi="宋体" w:cs="宋体" w:hint="eastAsia"/>
                <w:kern w:val="0"/>
                <w:sz w:val="15"/>
                <w:szCs w:val="15"/>
              </w:rPr>
              <w:t xml:space="preserve"> </w:t>
            </w:r>
          </w:p>
        </w:tc>
        <w:tc>
          <w:tcPr>
            <w:tcW w:w="816" w:type="dxa"/>
            <w:tcBorders>
              <w:top w:val="nil"/>
              <w:left w:val="nil"/>
              <w:bottom w:val="single" w:sz="4" w:space="0" w:color="auto"/>
              <w:right w:val="single" w:sz="4" w:space="0" w:color="auto"/>
            </w:tcBorders>
          </w:tcPr>
          <w:p w:rsidR="0074075C" w:rsidRDefault="0074075C" w:rsidP="00E8742B">
            <w:pPr>
              <w:widowControl/>
              <w:snapToGrid w:val="0"/>
              <w:jc w:val="center"/>
              <w:rPr>
                <w:rFonts w:ascii="宋体" w:hAnsi="宋体" w:cs="宋体"/>
                <w:kern w:val="0"/>
                <w:sz w:val="15"/>
                <w:szCs w:val="15"/>
              </w:rPr>
            </w:pPr>
            <w:r>
              <w:rPr>
                <w:rFonts w:hint="eastAsia"/>
                <w:spacing w:val="10"/>
                <w:sz w:val="15"/>
                <w:szCs w:val="15"/>
              </w:rPr>
              <w:t>√</w:t>
            </w:r>
            <w:r>
              <w:rPr>
                <w:rFonts w:ascii="宋体" w:hAnsi="宋体" w:cs="宋体" w:hint="eastAsia"/>
                <w:kern w:val="0"/>
                <w:sz w:val="15"/>
                <w:szCs w:val="15"/>
              </w:rPr>
              <w:t xml:space="preserve">  </w:t>
            </w:r>
          </w:p>
        </w:tc>
        <w:tc>
          <w:tcPr>
            <w:tcW w:w="816" w:type="dxa"/>
            <w:tcBorders>
              <w:top w:val="nil"/>
              <w:left w:val="nil"/>
              <w:bottom w:val="single" w:sz="4" w:space="0" w:color="auto"/>
              <w:right w:val="single" w:sz="4" w:space="0" w:color="auto"/>
            </w:tcBorders>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w:t>
            </w:r>
            <w:r>
              <w:rPr>
                <w:rFonts w:hint="eastAsia"/>
                <w:spacing w:val="10"/>
                <w:sz w:val="15"/>
                <w:szCs w:val="15"/>
              </w:rPr>
              <w:t>×</w:t>
            </w:r>
            <w:r>
              <w:rPr>
                <w:rFonts w:ascii="宋体" w:hAnsi="宋体" w:cs="宋体" w:hint="eastAsia"/>
                <w:kern w:val="0"/>
                <w:sz w:val="15"/>
                <w:szCs w:val="15"/>
              </w:rPr>
              <w:t xml:space="preserve"> </w:t>
            </w:r>
          </w:p>
        </w:tc>
        <w:tc>
          <w:tcPr>
            <w:tcW w:w="741" w:type="dxa"/>
            <w:tcBorders>
              <w:top w:val="nil"/>
              <w:left w:val="nil"/>
              <w:bottom w:val="single" w:sz="4" w:space="0" w:color="auto"/>
              <w:right w:val="single" w:sz="4" w:space="0" w:color="auto"/>
            </w:tcBorders>
            <w:vAlign w:val="center"/>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w:t>
            </w:r>
            <w:r>
              <w:rPr>
                <w:rFonts w:hint="eastAsia"/>
                <w:spacing w:val="10"/>
                <w:sz w:val="15"/>
                <w:szCs w:val="15"/>
              </w:rPr>
              <w:t>×</w:t>
            </w:r>
            <w:r>
              <w:rPr>
                <w:rFonts w:ascii="宋体" w:hAnsi="宋体" w:cs="宋体" w:hint="eastAsia"/>
                <w:kern w:val="0"/>
                <w:sz w:val="15"/>
                <w:szCs w:val="15"/>
              </w:rPr>
              <w:t xml:space="preserve"> </w:t>
            </w:r>
          </w:p>
        </w:tc>
      </w:tr>
      <w:tr w:rsidR="0074075C" w:rsidTr="00E8742B">
        <w:trPr>
          <w:trHeight w:val="270"/>
          <w:jc w:val="center"/>
        </w:trPr>
        <w:tc>
          <w:tcPr>
            <w:tcW w:w="1866" w:type="dxa"/>
            <w:tcBorders>
              <w:top w:val="single" w:sz="4" w:space="0" w:color="auto"/>
              <w:left w:val="single" w:sz="4" w:space="0" w:color="auto"/>
              <w:bottom w:val="single" w:sz="4" w:space="0" w:color="auto"/>
              <w:right w:val="single" w:sz="4" w:space="0" w:color="auto"/>
            </w:tcBorders>
            <w:vAlign w:val="center"/>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中高风险  </w:t>
            </w:r>
          </w:p>
        </w:tc>
        <w:tc>
          <w:tcPr>
            <w:tcW w:w="741" w:type="dxa"/>
            <w:tcBorders>
              <w:top w:val="single" w:sz="4" w:space="0" w:color="auto"/>
              <w:left w:val="single" w:sz="4" w:space="0" w:color="auto"/>
              <w:bottom w:val="single" w:sz="4" w:space="0" w:color="auto"/>
              <w:right w:val="single" w:sz="4" w:space="0" w:color="auto"/>
            </w:tcBorders>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w:t>
            </w:r>
            <w:r>
              <w:rPr>
                <w:rFonts w:hint="eastAsia"/>
                <w:spacing w:val="10"/>
                <w:sz w:val="15"/>
                <w:szCs w:val="15"/>
              </w:rPr>
              <w:t>√</w:t>
            </w:r>
            <w:r>
              <w:rPr>
                <w:rFonts w:ascii="宋体" w:hAnsi="宋体" w:cs="宋体" w:hint="eastAsia"/>
                <w:kern w:val="0"/>
                <w:sz w:val="15"/>
                <w:szCs w:val="15"/>
              </w:rPr>
              <w:t xml:space="preserve"> </w:t>
            </w:r>
          </w:p>
        </w:tc>
        <w:tc>
          <w:tcPr>
            <w:tcW w:w="816" w:type="dxa"/>
            <w:tcBorders>
              <w:top w:val="single" w:sz="4" w:space="0" w:color="auto"/>
              <w:left w:val="single" w:sz="4" w:space="0" w:color="auto"/>
              <w:bottom w:val="single" w:sz="4" w:space="0" w:color="auto"/>
              <w:right w:val="single" w:sz="4" w:space="0" w:color="auto"/>
            </w:tcBorders>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w:t>
            </w:r>
            <w:r>
              <w:rPr>
                <w:rFonts w:hint="eastAsia"/>
                <w:spacing w:val="10"/>
                <w:sz w:val="15"/>
                <w:szCs w:val="15"/>
              </w:rPr>
              <w:t>√</w:t>
            </w:r>
            <w:r>
              <w:rPr>
                <w:rFonts w:ascii="宋体" w:hAnsi="宋体" w:cs="宋体" w:hint="eastAsia"/>
                <w:kern w:val="0"/>
                <w:sz w:val="15"/>
                <w:szCs w:val="15"/>
              </w:rPr>
              <w:t xml:space="preserve"> </w:t>
            </w:r>
          </w:p>
        </w:tc>
        <w:tc>
          <w:tcPr>
            <w:tcW w:w="816" w:type="dxa"/>
            <w:tcBorders>
              <w:top w:val="single" w:sz="4" w:space="0" w:color="auto"/>
              <w:left w:val="single" w:sz="4" w:space="0" w:color="auto"/>
              <w:bottom w:val="single" w:sz="4" w:space="0" w:color="auto"/>
              <w:right w:val="single" w:sz="4" w:space="0" w:color="auto"/>
            </w:tcBorders>
          </w:tcPr>
          <w:p w:rsidR="0074075C" w:rsidRDefault="0074075C" w:rsidP="00E8742B">
            <w:pPr>
              <w:widowControl/>
              <w:snapToGrid w:val="0"/>
              <w:jc w:val="center"/>
              <w:rPr>
                <w:rFonts w:ascii="宋体" w:hAnsi="宋体" w:cs="宋体"/>
                <w:kern w:val="0"/>
                <w:sz w:val="15"/>
                <w:szCs w:val="15"/>
              </w:rPr>
            </w:pPr>
            <w:r>
              <w:rPr>
                <w:rFonts w:hint="eastAsia"/>
                <w:spacing w:val="10"/>
                <w:sz w:val="15"/>
                <w:szCs w:val="15"/>
              </w:rPr>
              <w:t>√</w:t>
            </w:r>
            <w:r>
              <w:rPr>
                <w:rFonts w:ascii="宋体" w:hAnsi="宋体" w:cs="宋体" w:hint="eastAsia"/>
                <w:kern w:val="0"/>
                <w:sz w:val="15"/>
                <w:szCs w:val="15"/>
              </w:rPr>
              <w:t xml:space="preserve">  </w:t>
            </w:r>
          </w:p>
        </w:tc>
        <w:tc>
          <w:tcPr>
            <w:tcW w:w="816" w:type="dxa"/>
            <w:tcBorders>
              <w:top w:val="single" w:sz="4" w:space="0" w:color="auto"/>
              <w:left w:val="single" w:sz="4" w:space="0" w:color="auto"/>
              <w:bottom w:val="single" w:sz="4" w:space="0" w:color="auto"/>
              <w:right w:val="single" w:sz="4" w:space="0" w:color="auto"/>
            </w:tcBorders>
          </w:tcPr>
          <w:p w:rsidR="0074075C" w:rsidRDefault="0074075C" w:rsidP="00E8742B">
            <w:pPr>
              <w:widowControl/>
              <w:snapToGrid w:val="0"/>
              <w:jc w:val="center"/>
              <w:rPr>
                <w:rFonts w:ascii="宋体" w:hAnsi="宋体" w:cs="宋体"/>
                <w:kern w:val="0"/>
                <w:sz w:val="15"/>
                <w:szCs w:val="15"/>
              </w:rPr>
            </w:pPr>
            <w:r>
              <w:rPr>
                <w:rFonts w:hint="eastAsia"/>
                <w:spacing w:val="10"/>
                <w:sz w:val="15"/>
                <w:szCs w:val="15"/>
              </w:rPr>
              <w:t>√</w:t>
            </w:r>
            <w:r>
              <w:rPr>
                <w:rFonts w:ascii="宋体" w:hAnsi="宋体" w:cs="宋体" w:hint="eastAsia"/>
                <w:kern w:val="0"/>
                <w:sz w:val="15"/>
                <w:szCs w:val="15"/>
              </w:rPr>
              <w:t xml:space="preserve">  </w:t>
            </w:r>
          </w:p>
        </w:tc>
        <w:tc>
          <w:tcPr>
            <w:tcW w:w="741" w:type="dxa"/>
            <w:tcBorders>
              <w:top w:val="single" w:sz="4" w:space="0" w:color="auto"/>
              <w:left w:val="single" w:sz="4" w:space="0" w:color="auto"/>
              <w:bottom w:val="single" w:sz="4" w:space="0" w:color="auto"/>
              <w:right w:val="single" w:sz="4" w:space="0" w:color="auto"/>
            </w:tcBorders>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w:t>
            </w:r>
            <w:r>
              <w:rPr>
                <w:rFonts w:hint="eastAsia"/>
                <w:spacing w:val="10"/>
                <w:sz w:val="15"/>
                <w:szCs w:val="15"/>
              </w:rPr>
              <w:t>×</w:t>
            </w:r>
            <w:r>
              <w:rPr>
                <w:rFonts w:ascii="宋体" w:hAnsi="宋体" w:cs="宋体" w:hint="eastAsia"/>
                <w:kern w:val="0"/>
                <w:sz w:val="15"/>
                <w:szCs w:val="15"/>
              </w:rPr>
              <w:t xml:space="preserve"> </w:t>
            </w:r>
          </w:p>
        </w:tc>
      </w:tr>
      <w:tr w:rsidR="0074075C" w:rsidTr="00E8742B">
        <w:trPr>
          <w:trHeight w:val="270"/>
          <w:jc w:val="center"/>
        </w:trPr>
        <w:tc>
          <w:tcPr>
            <w:tcW w:w="1866" w:type="dxa"/>
            <w:tcBorders>
              <w:top w:val="single" w:sz="4" w:space="0" w:color="auto"/>
              <w:left w:val="single" w:sz="4" w:space="0" w:color="auto"/>
              <w:bottom w:val="single" w:sz="4" w:space="0" w:color="auto"/>
              <w:right w:val="single" w:sz="4" w:space="0" w:color="auto"/>
            </w:tcBorders>
            <w:vAlign w:val="center"/>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高风险</w:t>
            </w:r>
          </w:p>
        </w:tc>
        <w:tc>
          <w:tcPr>
            <w:tcW w:w="741" w:type="dxa"/>
            <w:tcBorders>
              <w:top w:val="single" w:sz="4" w:space="0" w:color="auto"/>
              <w:left w:val="single" w:sz="4" w:space="0" w:color="auto"/>
              <w:bottom w:val="single" w:sz="4" w:space="0" w:color="auto"/>
              <w:right w:val="single" w:sz="4" w:space="0" w:color="auto"/>
            </w:tcBorders>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w:t>
            </w:r>
            <w:r>
              <w:rPr>
                <w:rFonts w:hint="eastAsia"/>
                <w:spacing w:val="10"/>
                <w:sz w:val="15"/>
                <w:szCs w:val="15"/>
              </w:rPr>
              <w:t>√</w:t>
            </w:r>
            <w:r>
              <w:rPr>
                <w:rFonts w:ascii="宋体" w:hAnsi="宋体" w:cs="宋体" w:hint="eastAsia"/>
                <w:kern w:val="0"/>
                <w:sz w:val="15"/>
                <w:szCs w:val="15"/>
              </w:rPr>
              <w:t xml:space="preserve"> </w:t>
            </w:r>
          </w:p>
        </w:tc>
        <w:tc>
          <w:tcPr>
            <w:tcW w:w="816" w:type="dxa"/>
            <w:tcBorders>
              <w:top w:val="single" w:sz="4" w:space="0" w:color="auto"/>
              <w:left w:val="single" w:sz="4" w:space="0" w:color="auto"/>
              <w:bottom w:val="single" w:sz="4" w:space="0" w:color="auto"/>
              <w:right w:val="single" w:sz="4" w:space="0" w:color="auto"/>
            </w:tcBorders>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w:t>
            </w:r>
            <w:r>
              <w:rPr>
                <w:rFonts w:hint="eastAsia"/>
                <w:spacing w:val="10"/>
                <w:sz w:val="15"/>
                <w:szCs w:val="15"/>
              </w:rPr>
              <w:t>√</w:t>
            </w:r>
            <w:r>
              <w:rPr>
                <w:rFonts w:ascii="宋体" w:hAnsi="宋体" w:cs="宋体" w:hint="eastAsia"/>
                <w:kern w:val="0"/>
                <w:sz w:val="15"/>
                <w:szCs w:val="15"/>
              </w:rPr>
              <w:t xml:space="preserve"> </w:t>
            </w:r>
          </w:p>
        </w:tc>
        <w:tc>
          <w:tcPr>
            <w:tcW w:w="816" w:type="dxa"/>
            <w:tcBorders>
              <w:top w:val="single" w:sz="4" w:space="0" w:color="auto"/>
              <w:left w:val="single" w:sz="4" w:space="0" w:color="auto"/>
              <w:bottom w:val="single" w:sz="4" w:space="0" w:color="auto"/>
              <w:right w:val="single" w:sz="4" w:space="0" w:color="auto"/>
            </w:tcBorders>
          </w:tcPr>
          <w:p w:rsidR="0074075C" w:rsidRDefault="0074075C" w:rsidP="00E8742B">
            <w:pPr>
              <w:widowControl/>
              <w:snapToGrid w:val="0"/>
              <w:jc w:val="center"/>
              <w:rPr>
                <w:rFonts w:ascii="宋体" w:hAnsi="宋体" w:cs="宋体"/>
                <w:kern w:val="0"/>
                <w:sz w:val="15"/>
                <w:szCs w:val="15"/>
              </w:rPr>
            </w:pPr>
            <w:r>
              <w:rPr>
                <w:rFonts w:hint="eastAsia"/>
                <w:spacing w:val="10"/>
                <w:sz w:val="15"/>
                <w:szCs w:val="15"/>
              </w:rPr>
              <w:t>√</w:t>
            </w:r>
            <w:r>
              <w:rPr>
                <w:rFonts w:ascii="宋体" w:hAnsi="宋体" w:cs="宋体" w:hint="eastAsia"/>
                <w:kern w:val="0"/>
                <w:sz w:val="15"/>
                <w:szCs w:val="15"/>
              </w:rPr>
              <w:t xml:space="preserve">  </w:t>
            </w:r>
          </w:p>
        </w:tc>
        <w:tc>
          <w:tcPr>
            <w:tcW w:w="816" w:type="dxa"/>
            <w:tcBorders>
              <w:top w:val="single" w:sz="4" w:space="0" w:color="auto"/>
              <w:left w:val="single" w:sz="4" w:space="0" w:color="auto"/>
              <w:bottom w:val="single" w:sz="4" w:space="0" w:color="auto"/>
              <w:right w:val="single" w:sz="4" w:space="0" w:color="auto"/>
            </w:tcBorders>
          </w:tcPr>
          <w:p w:rsidR="0074075C" w:rsidRDefault="0074075C" w:rsidP="00E8742B">
            <w:pPr>
              <w:widowControl/>
              <w:snapToGrid w:val="0"/>
              <w:jc w:val="center"/>
              <w:rPr>
                <w:rFonts w:ascii="宋体" w:hAnsi="宋体" w:cs="宋体"/>
                <w:kern w:val="0"/>
                <w:sz w:val="15"/>
                <w:szCs w:val="15"/>
              </w:rPr>
            </w:pPr>
            <w:r>
              <w:rPr>
                <w:rFonts w:hint="eastAsia"/>
                <w:spacing w:val="10"/>
                <w:sz w:val="15"/>
                <w:szCs w:val="15"/>
              </w:rPr>
              <w:t>√</w:t>
            </w:r>
            <w:r>
              <w:rPr>
                <w:rFonts w:ascii="宋体" w:hAnsi="宋体" w:cs="宋体" w:hint="eastAsia"/>
                <w:kern w:val="0"/>
                <w:sz w:val="15"/>
                <w:szCs w:val="15"/>
              </w:rPr>
              <w:t xml:space="preserve">  </w:t>
            </w:r>
          </w:p>
        </w:tc>
        <w:tc>
          <w:tcPr>
            <w:tcW w:w="741" w:type="dxa"/>
            <w:tcBorders>
              <w:top w:val="single" w:sz="4" w:space="0" w:color="auto"/>
              <w:left w:val="single" w:sz="4" w:space="0" w:color="auto"/>
              <w:bottom w:val="single" w:sz="4" w:space="0" w:color="auto"/>
              <w:right w:val="single" w:sz="4" w:space="0" w:color="auto"/>
            </w:tcBorders>
          </w:tcPr>
          <w:p w:rsidR="0074075C" w:rsidRDefault="0074075C" w:rsidP="00E8742B">
            <w:pPr>
              <w:widowControl/>
              <w:snapToGrid w:val="0"/>
              <w:jc w:val="center"/>
              <w:rPr>
                <w:rFonts w:ascii="宋体" w:hAnsi="宋体" w:cs="宋体"/>
                <w:kern w:val="0"/>
                <w:sz w:val="15"/>
                <w:szCs w:val="15"/>
              </w:rPr>
            </w:pPr>
            <w:r>
              <w:rPr>
                <w:rFonts w:ascii="宋体" w:hAnsi="宋体" w:cs="宋体" w:hint="eastAsia"/>
                <w:kern w:val="0"/>
                <w:sz w:val="15"/>
                <w:szCs w:val="15"/>
              </w:rPr>
              <w:t xml:space="preserve"> </w:t>
            </w:r>
            <w:r>
              <w:rPr>
                <w:rFonts w:hint="eastAsia"/>
                <w:spacing w:val="10"/>
                <w:sz w:val="15"/>
                <w:szCs w:val="15"/>
              </w:rPr>
              <w:t>√</w:t>
            </w:r>
            <w:r>
              <w:rPr>
                <w:rFonts w:ascii="宋体" w:hAnsi="宋体" w:cs="宋体" w:hint="eastAsia"/>
                <w:kern w:val="0"/>
                <w:sz w:val="15"/>
                <w:szCs w:val="15"/>
              </w:rPr>
              <w:t xml:space="preserve"> </w:t>
            </w:r>
          </w:p>
        </w:tc>
      </w:tr>
    </w:tbl>
    <w:p w:rsidR="0074075C" w:rsidRDefault="0074075C" w:rsidP="0074075C">
      <w:pPr>
        <w:pStyle w:val="a5"/>
        <w:spacing w:before="0" w:after="0" w:line="240" w:lineRule="auto"/>
        <w:ind w:firstLineChars="200" w:firstLine="340"/>
        <w:jc w:val="center"/>
        <w:rPr>
          <w:b/>
          <w:color w:val="auto"/>
          <w:spacing w:val="10"/>
          <w:kern w:val="2"/>
          <w:sz w:val="15"/>
          <w:szCs w:val="15"/>
        </w:rPr>
      </w:pPr>
      <w:r>
        <w:rPr>
          <w:rFonts w:hint="eastAsia"/>
          <w:color w:val="auto"/>
          <w:spacing w:val="10"/>
          <w:kern w:val="2"/>
          <w:sz w:val="15"/>
          <w:szCs w:val="15"/>
        </w:rPr>
        <w:t>备注：√代表可以购买；×代表不能购买。</w:t>
      </w:r>
    </w:p>
    <w:p w:rsidR="0074075C" w:rsidRDefault="0074075C" w:rsidP="0074075C">
      <w:pPr>
        <w:pStyle w:val="a5"/>
        <w:ind w:firstLineChars="200" w:firstLine="341"/>
        <w:rPr>
          <w:b/>
          <w:color w:val="auto"/>
          <w:spacing w:val="10"/>
          <w:kern w:val="2"/>
          <w:sz w:val="15"/>
          <w:szCs w:val="15"/>
        </w:rPr>
      </w:pPr>
      <w:r>
        <w:rPr>
          <w:rFonts w:hint="eastAsia"/>
          <w:b/>
          <w:color w:val="auto"/>
          <w:spacing w:val="10"/>
          <w:kern w:val="2"/>
          <w:sz w:val="15"/>
          <w:szCs w:val="15"/>
        </w:rPr>
        <w:t>第五条</w:t>
      </w:r>
      <w:r>
        <w:rPr>
          <w:rFonts w:hint="eastAsia"/>
          <w:b/>
          <w:color w:val="auto"/>
          <w:spacing w:val="10"/>
          <w:kern w:val="2"/>
          <w:sz w:val="15"/>
          <w:szCs w:val="15"/>
        </w:rPr>
        <w:t xml:space="preserve"> </w:t>
      </w:r>
      <w:r>
        <w:rPr>
          <w:rFonts w:hint="eastAsia"/>
          <w:b/>
          <w:color w:val="auto"/>
          <w:spacing w:val="10"/>
          <w:kern w:val="2"/>
          <w:sz w:val="15"/>
          <w:szCs w:val="15"/>
        </w:rPr>
        <w:t>理财产品信息披露的方式、渠道和频率说明</w:t>
      </w:r>
    </w:p>
    <w:p w:rsidR="0074075C" w:rsidRDefault="0074075C" w:rsidP="0074075C">
      <w:pPr>
        <w:pStyle w:val="a5"/>
        <w:spacing w:before="0" w:after="0" w:line="240" w:lineRule="auto"/>
        <w:ind w:firstLineChars="200" w:firstLine="340"/>
        <w:rPr>
          <w:bCs/>
          <w:color w:val="auto"/>
          <w:spacing w:val="10"/>
          <w:kern w:val="2"/>
          <w:sz w:val="15"/>
          <w:szCs w:val="15"/>
        </w:rPr>
      </w:pPr>
      <w:r>
        <w:rPr>
          <w:rFonts w:hint="eastAsia"/>
          <w:bCs/>
          <w:color w:val="auto"/>
          <w:spacing w:val="10"/>
          <w:kern w:val="2"/>
          <w:sz w:val="15"/>
          <w:szCs w:val="15"/>
        </w:rPr>
        <w:t>南银理财按照对应期次《理财产品说明书》约定的方式、渠道和频率进行信息披露。投资者应密切关注与本理财产品有关的信息披露，以免造成不必要的损失。</w:t>
      </w:r>
    </w:p>
    <w:p w:rsidR="0074075C" w:rsidRDefault="0074075C" w:rsidP="0074075C">
      <w:pPr>
        <w:pStyle w:val="a5"/>
        <w:spacing w:before="0" w:after="0" w:line="240" w:lineRule="auto"/>
        <w:ind w:firstLineChars="200" w:firstLine="340"/>
        <w:rPr>
          <w:bCs/>
          <w:color w:val="auto"/>
          <w:spacing w:val="10"/>
          <w:kern w:val="2"/>
          <w:sz w:val="15"/>
          <w:szCs w:val="15"/>
        </w:rPr>
      </w:pPr>
      <w:r>
        <w:rPr>
          <w:rFonts w:hint="eastAsia"/>
          <w:bCs/>
          <w:color w:val="auto"/>
          <w:spacing w:val="10"/>
          <w:kern w:val="2"/>
          <w:sz w:val="15"/>
          <w:szCs w:val="15"/>
        </w:rPr>
        <w:t>投资者预留在南银理财或销售机构的有效联系方式变更的，应及时通知南银理财或销售机构。</w:t>
      </w:r>
      <w:r>
        <w:rPr>
          <w:rFonts w:hint="eastAsia"/>
          <w:b/>
          <w:color w:val="auto"/>
          <w:spacing w:val="10"/>
          <w:kern w:val="2"/>
          <w:sz w:val="15"/>
          <w:szCs w:val="15"/>
        </w:rPr>
        <w:t>如投资者未及时告知南银理财或销售机构联系方式变更，造成南银理财或销售机构在需要时无法联系投资者，并由此影响投资者的投资决策，因此而产生的责任和风险由投资者自行承担。</w:t>
      </w:r>
    </w:p>
    <w:p w:rsidR="0074075C" w:rsidRDefault="0074075C" w:rsidP="0074075C">
      <w:pPr>
        <w:pStyle w:val="a5"/>
        <w:ind w:firstLineChars="200" w:firstLine="341"/>
        <w:rPr>
          <w:bCs/>
          <w:color w:val="auto"/>
          <w:spacing w:val="10"/>
          <w:kern w:val="2"/>
          <w:sz w:val="15"/>
          <w:szCs w:val="15"/>
        </w:rPr>
      </w:pPr>
      <w:r>
        <w:rPr>
          <w:rFonts w:hint="eastAsia"/>
          <w:b/>
          <w:color w:val="auto"/>
          <w:spacing w:val="10"/>
          <w:kern w:val="2"/>
          <w:sz w:val="15"/>
          <w:szCs w:val="15"/>
        </w:rPr>
        <w:t>第六条</w:t>
      </w:r>
      <w:r>
        <w:rPr>
          <w:rFonts w:hint="eastAsia"/>
          <w:b/>
          <w:color w:val="auto"/>
          <w:spacing w:val="10"/>
          <w:kern w:val="2"/>
          <w:sz w:val="15"/>
          <w:szCs w:val="15"/>
        </w:rPr>
        <w:t xml:space="preserve"> </w:t>
      </w:r>
      <w:r>
        <w:rPr>
          <w:rFonts w:hint="eastAsia"/>
          <w:b/>
          <w:color w:val="auto"/>
          <w:spacing w:val="10"/>
          <w:kern w:val="2"/>
          <w:sz w:val="15"/>
          <w:szCs w:val="15"/>
        </w:rPr>
        <w:t>投资者信息保护</w:t>
      </w:r>
    </w:p>
    <w:p w:rsidR="0074075C" w:rsidRDefault="0074075C" w:rsidP="0074075C">
      <w:pPr>
        <w:pStyle w:val="a5"/>
        <w:spacing w:before="0" w:after="0" w:line="240" w:lineRule="auto"/>
        <w:ind w:firstLineChars="200" w:firstLine="340"/>
        <w:rPr>
          <w:bCs/>
          <w:color w:val="auto"/>
          <w:spacing w:val="10"/>
          <w:kern w:val="2"/>
          <w:sz w:val="15"/>
          <w:szCs w:val="15"/>
        </w:rPr>
      </w:pPr>
      <w:r>
        <w:rPr>
          <w:rFonts w:hint="eastAsia"/>
          <w:bCs/>
          <w:color w:val="auto"/>
          <w:spacing w:val="10"/>
          <w:kern w:val="2"/>
          <w:sz w:val="15"/>
          <w:szCs w:val="15"/>
        </w:rPr>
        <w:t>南银理财及销售机构承诺依法履行投资者信息保密义务，防范投资者信息被不当采集、使用、传输和泄露，保护投资者的信息安全，法律法规另有规定，或有权机关另有要求的情形除外。</w:t>
      </w:r>
    </w:p>
    <w:p w:rsidR="0074075C" w:rsidRDefault="0074075C" w:rsidP="0074075C">
      <w:pPr>
        <w:pStyle w:val="a5"/>
        <w:ind w:firstLineChars="200" w:firstLine="341"/>
        <w:rPr>
          <w:b/>
          <w:color w:val="auto"/>
          <w:spacing w:val="10"/>
          <w:kern w:val="2"/>
          <w:sz w:val="15"/>
          <w:szCs w:val="15"/>
        </w:rPr>
      </w:pPr>
      <w:r>
        <w:rPr>
          <w:rFonts w:hint="eastAsia"/>
          <w:b/>
          <w:color w:val="auto"/>
          <w:spacing w:val="10"/>
          <w:kern w:val="2"/>
          <w:sz w:val="15"/>
          <w:szCs w:val="15"/>
        </w:rPr>
        <w:t>第七条</w:t>
      </w:r>
      <w:r>
        <w:rPr>
          <w:rFonts w:hint="eastAsia"/>
          <w:b/>
          <w:color w:val="auto"/>
          <w:spacing w:val="10"/>
          <w:kern w:val="2"/>
          <w:sz w:val="15"/>
          <w:szCs w:val="15"/>
        </w:rPr>
        <w:t xml:space="preserve"> </w:t>
      </w:r>
      <w:r>
        <w:rPr>
          <w:rFonts w:hint="eastAsia"/>
          <w:b/>
          <w:color w:val="auto"/>
          <w:spacing w:val="10"/>
          <w:kern w:val="2"/>
          <w:sz w:val="15"/>
          <w:szCs w:val="15"/>
        </w:rPr>
        <w:t>投资者投诉的方式和程序</w:t>
      </w:r>
    </w:p>
    <w:p w:rsidR="0074075C" w:rsidRDefault="0074075C" w:rsidP="0074075C">
      <w:pPr>
        <w:pStyle w:val="a5"/>
        <w:spacing w:before="0" w:after="0" w:line="240" w:lineRule="auto"/>
        <w:ind w:firstLineChars="200" w:firstLine="340"/>
        <w:rPr>
          <w:bCs/>
          <w:color w:val="auto"/>
          <w:spacing w:val="10"/>
          <w:kern w:val="2"/>
          <w:sz w:val="15"/>
          <w:szCs w:val="15"/>
        </w:rPr>
      </w:pPr>
      <w:r>
        <w:rPr>
          <w:rFonts w:hint="eastAsia"/>
          <w:bCs/>
          <w:color w:val="auto"/>
          <w:spacing w:val="10"/>
          <w:kern w:val="2"/>
          <w:sz w:val="15"/>
          <w:szCs w:val="15"/>
        </w:rPr>
        <w:t>投资者若需针对产品的设计、成立、运作、到期清算或提前终止等事项进行投诉，</w:t>
      </w:r>
      <w:r>
        <w:rPr>
          <w:rFonts w:hint="eastAsia"/>
          <w:b/>
          <w:color w:val="auto"/>
          <w:spacing w:val="10"/>
          <w:kern w:val="2"/>
          <w:sz w:val="15"/>
          <w:szCs w:val="15"/>
        </w:rPr>
        <w:t>可与管理人或销售机构联系，管理人或销售机构将及时接听、记录投资者的意见或建议，并与投资者协商共同解决</w:t>
      </w:r>
      <w:r>
        <w:rPr>
          <w:rFonts w:hint="eastAsia"/>
          <w:bCs/>
          <w:color w:val="auto"/>
          <w:spacing w:val="10"/>
          <w:kern w:val="2"/>
          <w:sz w:val="15"/>
          <w:szCs w:val="15"/>
        </w:rPr>
        <w:t>。</w:t>
      </w:r>
    </w:p>
    <w:p w:rsidR="0074075C" w:rsidRDefault="0074075C" w:rsidP="0074075C">
      <w:pPr>
        <w:pStyle w:val="a5"/>
        <w:ind w:firstLineChars="200" w:firstLine="341"/>
        <w:rPr>
          <w:b/>
          <w:color w:val="auto"/>
          <w:spacing w:val="10"/>
          <w:kern w:val="2"/>
          <w:sz w:val="15"/>
          <w:szCs w:val="15"/>
        </w:rPr>
      </w:pPr>
      <w:r>
        <w:rPr>
          <w:rFonts w:hint="eastAsia"/>
          <w:b/>
          <w:color w:val="auto"/>
          <w:spacing w:val="10"/>
          <w:kern w:val="2"/>
          <w:sz w:val="15"/>
          <w:szCs w:val="15"/>
        </w:rPr>
        <w:t>第八条</w:t>
      </w:r>
      <w:r>
        <w:rPr>
          <w:rFonts w:hint="eastAsia"/>
          <w:b/>
          <w:color w:val="auto"/>
          <w:spacing w:val="10"/>
          <w:kern w:val="2"/>
          <w:sz w:val="15"/>
          <w:szCs w:val="15"/>
        </w:rPr>
        <w:t xml:space="preserve"> </w:t>
      </w:r>
      <w:r>
        <w:rPr>
          <w:rFonts w:hint="eastAsia"/>
          <w:b/>
          <w:color w:val="auto"/>
          <w:spacing w:val="10"/>
          <w:kern w:val="2"/>
          <w:sz w:val="15"/>
          <w:szCs w:val="15"/>
        </w:rPr>
        <w:t>联系方式</w:t>
      </w:r>
    </w:p>
    <w:p w:rsidR="0074075C" w:rsidRDefault="0074075C" w:rsidP="0074075C">
      <w:pPr>
        <w:pStyle w:val="a5"/>
        <w:ind w:firstLineChars="200" w:firstLine="341"/>
        <w:rPr>
          <w:b/>
          <w:color w:val="auto"/>
          <w:spacing w:val="10"/>
          <w:kern w:val="2"/>
          <w:sz w:val="15"/>
          <w:szCs w:val="15"/>
        </w:rPr>
      </w:pPr>
      <w:r>
        <w:rPr>
          <w:rFonts w:hint="eastAsia"/>
          <w:b/>
          <w:color w:val="auto"/>
          <w:spacing w:val="10"/>
          <w:kern w:val="2"/>
          <w:sz w:val="15"/>
          <w:szCs w:val="15"/>
        </w:rPr>
        <w:lastRenderedPageBreak/>
        <w:t>在购买本理财产品前，请投资者确保完全明白本理财产品的性质、其中涉及的风险以及投资者的自身情况。投资者若对理财产品销售文件的内容有任何疑问，请向南银理财或销售机构各营业场所或营业网点咨询。联系方式分别如下：</w:t>
      </w:r>
    </w:p>
    <w:p w:rsidR="0074075C" w:rsidRDefault="0074075C" w:rsidP="0074075C">
      <w:pPr>
        <w:pStyle w:val="a5"/>
        <w:spacing w:before="0" w:after="0" w:line="240" w:lineRule="auto"/>
        <w:ind w:firstLineChars="200" w:firstLine="340"/>
        <w:rPr>
          <w:bCs/>
          <w:color w:val="auto"/>
          <w:spacing w:val="10"/>
          <w:kern w:val="2"/>
          <w:sz w:val="15"/>
          <w:szCs w:val="15"/>
        </w:rPr>
      </w:pPr>
      <w:r>
        <w:rPr>
          <w:rFonts w:hint="eastAsia"/>
          <w:bCs/>
          <w:color w:val="auto"/>
          <w:spacing w:val="10"/>
          <w:kern w:val="2"/>
          <w:sz w:val="15"/>
          <w:szCs w:val="15"/>
        </w:rPr>
        <w:t>（一）南银理财联系方式</w:t>
      </w:r>
    </w:p>
    <w:p w:rsidR="0074075C" w:rsidRDefault="0074075C" w:rsidP="0074075C">
      <w:pPr>
        <w:pStyle w:val="a5"/>
        <w:spacing w:before="0" w:after="0" w:line="240" w:lineRule="auto"/>
        <w:ind w:firstLineChars="200" w:firstLine="340"/>
        <w:rPr>
          <w:rFonts w:hint="eastAsia"/>
          <w:bCs/>
          <w:color w:val="auto"/>
          <w:spacing w:val="10"/>
          <w:kern w:val="2"/>
          <w:sz w:val="15"/>
          <w:szCs w:val="15"/>
        </w:rPr>
      </w:pPr>
      <w:permStart w:id="3" w:edGrp="everyone"/>
      <w:r>
        <w:rPr>
          <w:rFonts w:hint="eastAsia"/>
          <w:bCs/>
          <w:color w:val="auto"/>
          <w:spacing w:val="10"/>
          <w:kern w:val="2"/>
          <w:sz w:val="15"/>
          <w:szCs w:val="15"/>
          <w:highlight w:val="yellow"/>
        </w:rPr>
        <w:t xml:space="preserve"> </w:t>
      </w:r>
      <w:r>
        <w:rPr>
          <w:rFonts w:hint="eastAsia"/>
          <w:bCs/>
          <w:color w:val="auto"/>
          <w:spacing w:val="10"/>
          <w:kern w:val="2"/>
          <w:sz w:val="15"/>
          <w:szCs w:val="15"/>
          <w:highlight w:val="yellow"/>
        </w:rPr>
        <w:t>地址：</w:t>
      </w:r>
      <w:r>
        <w:rPr>
          <w:rFonts w:hint="eastAsia"/>
          <w:bCs/>
          <w:color w:val="auto"/>
          <w:spacing w:val="10"/>
          <w:kern w:val="2"/>
          <w:sz w:val="15"/>
          <w:szCs w:val="15"/>
        </w:rPr>
        <w:t>南京市建邺区奥体大街</w:t>
      </w:r>
      <w:r>
        <w:rPr>
          <w:rFonts w:hint="eastAsia"/>
          <w:bCs/>
          <w:color w:val="auto"/>
          <w:spacing w:val="10"/>
          <w:kern w:val="2"/>
          <w:sz w:val="15"/>
          <w:szCs w:val="15"/>
        </w:rPr>
        <w:t>68</w:t>
      </w:r>
      <w:r>
        <w:rPr>
          <w:rFonts w:hint="eastAsia"/>
          <w:bCs/>
          <w:color w:val="auto"/>
          <w:spacing w:val="10"/>
          <w:kern w:val="2"/>
          <w:sz w:val="15"/>
          <w:szCs w:val="15"/>
        </w:rPr>
        <w:t>号国际研发总部园</w:t>
      </w:r>
      <w:r>
        <w:rPr>
          <w:rFonts w:hint="eastAsia"/>
          <w:bCs/>
          <w:color w:val="auto"/>
          <w:spacing w:val="10"/>
          <w:kern w:val="2"/>
          <w:sz w:val="15"/>
          <w:szCs w:val="15"/>
        </w:rPr>
        <w:t>2</w:t>
      </w:r>
      <w:r>
        <w:rPr>
          <w:rFonts w:hint="eastAsia"/>
          <w:bCs/>
          <w:color w:val="auto"/>
          <w:spacing w:val="10"/>
          <w:kern w:val="2"/>
          <w:sz w:val="15"/>
          <w:szCs w:val="15"/>
        </w:rPr>
        <w:t>栋</w:t>
      </w:r>
      <w:r>
        <w:rPr>
          <w:rFonts w:hint="eastAsia"/>
          <w:bCs/>
          <w:color w:val="auto"/>
          <w:spacing w:val="10"/>
          <w:kern w:val="2"/>
          <w:sz w:val="15"/>
          <w:szCs w:val="15"/>
        </w:rPr>
        <w:t>13</w:t>
      </w:r>
      <w:r>
        <w:rPr>
          <w:rFonts w:hint="eastAsia"/>
          <w:bCs/>
          <w:color w:val="auto"/>
          <w:spacing w:val="10"/>
          <w:kern w:val="2"/>
          <w:sz w:val="15"/>
          <w:szCs w:val="15"/>
        </w:rPr>
        <w:t>、</w:t>
      </w:r>
      <w:r>
        <w:rPr>
          <w:rFonts w:hint="eastAsia"/>
          <w:bCs/>
          <w:color w:val="auto"/>
          <w:spacing w:val="10"/>
          <w:kern w:val="2"/>
          <w:sz w:val="15"/>
          <w:szCs w:val="15"/>
        </w:rPr>
        <w:t>14</w:t>
      </w:r>
      <w:r>
        <w:rPr>
          <w:rFonts w:hint="eastAsia"/>
          <w:bCs/>
          <w:color w:val="auto"/>
          <w:spacing w:val="10"/>
          <w:kern w:val="2"/>
          <w:sz w:val="15"/>
          <w:szCs w:val="15"/>
        </w:rPr>
        <w:t>楼</w:t>
      </w:r>
    </w:p>
    <w:p w:rsidR="0074075C" w:rsidRDefault="0074075C" w:rsidP="0074075C">
      <w:pPr>
        <w:pStyle w:val="a5"/>
        <w:spacing w:before="0" w:after="0" w:line="240" w:lineRule="auto"/>
        <w:ind w:firstLineChars="250" w:firstLine="425"/>
        <w:rPr>
          <w:rFonts w:hint="eastAsia"/>
          <w:bCs/>
          <w:color w:val="auto"/>
          <w:spacing w:val="10"/>
          <w:kern w:val="2"/>
          <w:sz w:val="15"/>
          <w:szCs w:val="15"/>
        </w:rPr>
      </w:pPr>
      <w:r>
        <w:rPr>
          <w:rFonts w:hint="eastAsia"/>
          <w:bCs/>
          <w:color w:val="auto"/>
          <w:spacing w:val="10"/>
          <w:kern w:val="2"/>
          <w:sz w:val="15"/>
          <w:szCs w:val="15"/>
        </w:rPr>
        <w:t>电话：</w:t>
      </w:r>
      <w:r>
        <w:rPr>
          <w:rFonts w:hint="eastAsia"/>
          <w:bCs/>
          <w:color w:val="auto"/>
          <w:spacing w:val="10"/>
          <w:kern w:val="2"/>
          <w:sz w:val="15"/>
          <w:szCs w:val="15"/>
        </w:rPr>
        <w:t xml:space="preserve">025-83642065 </w:t>
      </w:r>
    </w:p>
    <w:p w:rsidR="0074075C" w:rsidRDefault="0074075C" w:rsidP="0074075C">
      <w:pPr>
        <w:pStyle w:val="a5"/>
        <w:spacing w:before="0" w:after="0" w:line="240" w:lineRule="auto"/>
        <w:ind w:firstLineChars="250" w:firstLine="425"/>
        <w:rPr>
          <w:bCs/>
          <w:color w:val="auto"/>
          <w:spacing w:val="10"/>
          <w:kern w:val="2"/>
          <w:sz w:val="15"/>
          <w:szCs w:val="15"/>
        </w:rPr>
      </w:pPr>
      <w:r>
        <w:rPr>
          <w:rFonts w:hint="eastAsia"/>
          <w:bCs/>
          <w:color w:val="auto"/>
          <w:spacing w:val="10"/>
          <w:kern w:val="2"/>
          <w:sz w:val="15"/>
          <w:szCs w:val="15"/>
          <w:lang/>
        </w:rPr>
        <w:t>官网</w:t>
      </w:r>
      <w:r>
        <w:rPr>
          <w:bCs/>
          <w:color w:val="auto"/>
          <w:spacing w:val="10"/>
          <w:kern w:val="2"/>
          <w:sz w:val="15"/>
          <w:szCs w:val="15"/>
          <w:lang/>
        </w:rPr>
        <w:t>：</w:t>
      </w:r>
      <w:r>
        <w:rPr>
          <w:bCs/>
          <w:color w:val="auto"/>
          <w:spacing w:val="10"/>
          <w:kern w:val="2"/>
          <w:sz w:val="15"/>
          <w:szCs w:val="15"/>
          <w:lang/>
        </w:rPr>
        <w:t>https://www.nanyinwealth.com</w:t>
      </w:r>
      <w:r>
        <w:rPr>
          <w:rFonts w:hint="eastAsia"/>
          <w:bCs/>
          <w:color w:val="auto"/>
          <w:spacing w:val="10"/>
          <w:kern w:val="2"/>
          <w:sz w:val="15"/>
          <w:szCs w:val="15"/>
        </w:rPr>
        <w:t xml:space="preserve"> </w:t>
      </w:r>
      <w:permEnd w:id="3"/>
    </w:p>
    <w:p w:rsidR="0074075C" w:rsidRDefault="0074075C" w:rsidP="0074075C">
      <w:pPr>
        <w:pStyle w:val="a5"/>
        <w:spacing w:before="0" w:after="0" w:line="240" w:lineRule="auto"/>
        <w:ind w:firstLineChars="200" w:firstLine="340"/>
        <w:rPr>
          <w:bCs/>
          <w:color w:val="auto"/>
          <w:spacing w:val="10"/>
          <w:kern w:val="2"/>
          <w:sz w:val="15"/>
          <w:szCs w:val="15"/>
        </w:rPr>
      </w:pPr>
      <w:r>
        <w:rPr>
          <w:rFonts w:hint="eastAsia"/>
          <w:bCs/>
          <w:color w:val="auto"/>
          <w:spacing w:val="10"/>
          <w:kern w:val="2"/>
          <w:sz w:val="15"/>
          <w:szCs w:val="15"/>
        </w:rPr>
        <w:t>（二）销售机构联系方式</w:t>
      </w:r>
    </w:p>
    <w:p w:rsidR="0074075C" w:rsidRDefault="0074075C" w:rsidP="0074075C">
      <w:pPr>
        <w:pStyle w:val="a5"/>
        <w:spacing w:before="0" w:after="0" w:line="240" w:lineRule="auto"/>
        <w:ind w:firstLineChars="200" w:firstLine="340"/>
        <w:rPr>
          <w:rFonts w:hint="eastAsia"/>
          <w:bCs/>
          <w:color w:val="auto"/>
          <w:spacing w:val="10"/>
          <w:kern w:val="2"/>
          <w:sz w:val="15"/>
          <w:szCs w:val="15"/>
        </w:rPr>
      </w:pPr>
      <w:permStart w:id="4" w:edGrp="everyone"/>
      <w:r>
        <w:rPr>
          <w:rFonts w:hint="eastAsia"/>
          <w:bCs/>
          <w:color w:val="auto"/>
          <w:spacing w:val="10"/>
          <w:kern w:val="2"/>
          <w:sz w:val="15"/>
          <w:szCs w:val="15"/>
        </w:rPr>
        <w:t xml:space="preserve"> </w:t>
      </w:r>
      <w:r>
        <w:rPr>
          <w:rFonts w:hint="eastAsia"/>
          <w:bCs/>
          <w:color w:val="auto"/>
          <w:spacing w:val="10"/>
          <w:kern w:val="2"/>
          <w:sz w:val="15"/>
          <w:szCs w:val="15"/>
        </w:rPr>
        <w:t>地址：江苏省南京市建邺区江东中路</w:t>
      </w:r>
      <w:r>
        <w:rPr>
          <w:rFonts w:hint="eastAsia"/>
          <w:bCs/>
          <w:color w:val="auto"/>
          <w:spacing w:val="10"/>
          <w:kern w:val="2"/>
          <w:sz w:val="15"/>
          <w:szCs w:val="15"/>
        </w:rPr>
        <w:t>381</w:t>
      </w:r>
      <w:r>
        <w:rPr>
          <w:rFonts w:hint="eastAsia"/>
          <w:bCs/>
          <w:color w:val="auto"/>
          <w:spacing w:val="10"/>
          <w:kern w:val="2"/>
          <w:sz w:val="15"/>
          <w:szCs w:val="15"/>
        </w:rPr>
        <w:t>号</w:t>
      </w:r>
    </w:p>
    <w:p w:rsidR="0074075C" w:rsidRDefault="0074075C" w:rsidP="0074075C">
      <w:pPr>
        <w:pStyle w:val="a5"/>
        <w:spacing w:before="0" w:after="0" w:line="240" w:lineRule="auto"/>
        <w:ind w:firstLineChars="200" w:firstLine="340"/>
        <w:rPr>
          <w:rFonts w:hint="eastAsia"/>
          <w:bCs/>
          <w:color w:val="auto"/>
          <w:spacing w:val="10"/>
          <w:kern w:val="2"/>
          <w:sz w:val="15"/>
          <w:szCs w:val="15"/>
        </w:rPr>
      </w:pPr>
      <w:r>
        <w:rPr>
          <w:rFonts w:hint="eastAsia"/>
          <w:bCs/>
          <w:color w:val="auto"/>
          <w:spacing w:val="10"/>
          <w:kern w:val="2"/>
          <w:sz w:val="15"/>
          <w:szCs w:val="15"/>
        </w:rPr>
        <w:t>电话：</w:t>
      </w:r>
      <w:r>
        <w:rPr>
          <w:rFonts w:hint="eastAsia"/>
          <w:bCs/>
          <w:color w:val="auto"/>
          <w:spacing w:val="10"/>
          <w:kern w:val="2"/>
          <w:sz w:val="15"/>
          <w:szCs w:val="15"/>
        </w:rPr>
        <w:t xml:space="preserve">96008 </w:t>
      </w:r>
    </w:p>
    <w:p w:rsidR="0074075C" w:rsidRDefault="0074075C" w:rsidP="0074075C">
      <w:pPr>
        <w:pStyle w:val="a5"/>
        <w:spacing w:before="0" w:after="0" w:line="240" w:lineRule="auto"/>
        <w:ind w:firstLineChars="200" w:firstLine="340"/>
        <w:rPr>
          <w:rFonts w:hint="eastAsia"/>
          <w:bCs/>
          <w:color w:val="auto"/>
          <w:spacing w:val="10"/>
          <w:kern w:val="2"/>
          <w:sz w:val="15"/>
          <w:szCs w:val="15"/>
        </w:rPr>
      </w:pPr>
      <w:r>
        <w:rPr>
          <w:rFonts w:hint="eastAsia"/>
          <w:bCs/>
          <w:color w:val="auto"/>
          <w:spacing w:val="10"/>
          <w:kern w:val="2"/>
          <w:sz w:val="15"/>
          <w:szCs w:val="15"/>
          <w:lang/>
        </w:rPr>
        <w:t>官网：</w:t>
      </w:r>
      <w:hyperlink r:id="rId6" w:tgtFrame="https://180.96.8.44/EquitySalesF9Web/F9/_blank" w:history="1">
        <w:r>
          <w:rPr>
            <w:rStyle w:val="a6"/>
            <w:rFonts w:hint="eastAsia"/>
            <w:bCs/>
            <w:color w:val="auto"/>
            <w:spacing w:val="10"/>
            <w:kern w:val="2"/>
            <w:sz w:val="15"/>
            <w:szCs w:val="15"/>
          </w:rPr>
          <w:t>www.zjrcbank.com</w:t>
        </w:r>
      </w:hyperlink>
      <w:r>
        <w:rPr>
          <w:rFonts w:hint="eastAsia"/>
          <w:bCs/>
          <w:color w:val="auto"/>
          <w:spacing w:val="10"/>
          <w:kern w:val="2"/>
          <w:sz w:val="15"/>
          <w:szCs w:val="15"/>
        </w:rPr>
        <w:t xml:space="preserve"> </w:t>
      </w:r>
      <w:permEnd w:id="4"/>
    </w:p>
    <w:p w:rsidR="0074075C" w:rsidRDefault="0074075C" w:rsidP="0074075C">
      <w:pPr>
        <w:pStyle w:val="a5"/>
        <w:spacing w:before="0" w:after="0" w:line="240" w:lineRule="auto"/>
        <w:ind w:firstLine="0"/>
        <w:jc w:val="center"/>
        <w:rPr>
          <w:b/>
          <w:color w:val="auto"/>
          <w:spacing w:val="10"/>
          <w:kern w:val="2"/>
          <w:sz w:val="15"/>
          <w:szCs w:val="15"/>
          <w:u w:val="single"/>
        </w:rPr>
      </w:pPr>
      <w:r>
        <w:rPr>
          <w:rFonts w:hint="eastAsia"/>
          <w:b/>
          <w:color w:val="auto"/>
          <w:spacing w:val="10"/>
          <w:kern w:val="2"/>
          <w:sz w:val="15"/>
          <w:szCs w:val="15"/>
          <w:u w:val="single"/>
        </w:rPr>
        <w:t>仔细阅读提示</w:t>
      </w:r>
    </w:p>
    <w:p w:rsidR="0074075C" w:rsidRDefault="0074075C" w:rsidP="0074075C">
      <w:pPr>
        <w:ind w:firstLineChars="200" w:firstLine="341"/>
        <w:rPr>
          <w:b/>
          <w:spacing w:val="10"/>
          <w:sz w:val="15"/>
          <w:szCs w:val="15"/>
          <w:u w:val="single"/>
        </w:rPr>
      </w:pPr>
      <w:r>
        <w:rPr>
          <w:rFonts w:hint="eastAsia"/>
          <w:b/>
          <w:spacing w:val="10"/>
          <w:sz w:val="15"/>
          <w:szCs w:val="15"/>
          <w:u w:val="single"/>
        </w:rPr>
        <w:t>请投资者务必仔细阅读本理财产品销售文件，包括但不限于本理财产品对应的《理财产品销售协议书》《理财产品说明书》《理财产品风险揭示书》《投资者权益须知》《理财产品投资协议书》等，了解理财产品具体情况，关注投资风险，自主决定是否投资。</w:t>
      </w:r>
    </w:p>
    <w:p w:rsidR="0074075C" w:rsidRDefault="0074075C" w:rsidP="0074075C">
      <w:pPr>
        <w:ind w:firstLineChars="200" w:firstLine="341"/>
        <w:rPr>
          <w:b/>
          <w:spacing w:val="10"/>
          <w:sz w:val="15"/>
          <w:szCs w:val="15"/>
          <w:u w:val="single"/>
        </w:rPr>
      </w:pPr>
    </w:p>
    <w:p w:rsidR="00CB5A3D" w:rsidRDefault="00CB5A3D" w:rsidP="0074075C"/>
    <w:sectPr w:rsidR="00CB5A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5A3D" w:rsidRDefault="00CB5A3D" w:rsidP="0074075C">
      <w:r>
        <w:separator/>
      </w:r>
    </w:p>
  </w:endnote>
  <w:endnote w:type="continuationSeparator" w:id="1">
    <w:p w:rsidR="00CB5A3D" w:rsidRDefault="00CB5A3D" w:rsidP="0074075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5A3D" w:rsidRDefault="00CB5A3D" w:rsidP="0074075C">
      <w:r>
        <w:separator/>
      </w:r>
    </w:p>
  </w:footnote>
  <w:footnote w:type="continuationSeparator" w:id="1">
    <w:p w:rsidR="00CB5A3D" w:rsidRDefault="00CB5A3D" w:rsidP="0074075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4075C"/>
    <w:rsid w:val="0074075C"/>
    <w:rsid w:val="00CB5A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75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4075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4075C"/>
    <w:rPr>
      <w:sz w:val="18"/>
      <w:szCs w:val="18"/>
    </w:rPr>
  </w:style>
  <w:style w:type="paragraph" w:styleId="a4">
    <w:name w:val="footer"/>
    <w:basedOn w:val="a"/>
    <w:link w:val="Char0"/>
    <w:uiPriority w:val="99"/>
    <w:semiHidden/>
    <w:unhideWhenUsed/>
    <w:rsid w:val="0074075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74075C"/>
    <w:rPr>
      <w:sz w:val="18"/>
      <w:szCs w:val="18"/>
    </w:rPr>
  </w:style>
  <w:style w:type="paragraph" w:styleId="a5">
    <w:name w:val="Normal (Web)"/>
    <w:basedOn w:val="a"/>
    <w:qFormat/>
    <w:rsid w:val="0074075C"/>
    <w:pPr>
      <w:widowControl/>
      <w:spacing w:before="102" w:after="102" w:line="1099" w:lineRule="atLeast"/>
      <w:ind w:firstLine="419"/>
      <w:jc w:val="left"/>
      <w:textAlignment w:val="baseline"/>
    </w:pPr>
    <w:rPr>
      <w:rFonts w:ascii="Times New Roman" w:hAnsi="Times New Roman"/>
      <w:color w:val="000000"/>
      <w:kern w:val="0"/>
      <w:sz w:val="24"/>
      <w:szCs w:val="20"/>
    </w:rPr>
  </w:style>
  <w:style w:type="character" w:styleId="a6">
    <w:name w:val="Hyperlink"/>
    <w:basedOn w:val="a0"/>
    <w:uiPriority w:val="99"/>
    <w:unhideWhenUsed/>
    <w:qFormat/>
    <w:rsid w:val="0074075C"/>
    <w:rPr>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zjrcbank.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695</Words>
  <Characters>3967</Characters>
  <Application>Microsoft Office Word</Application>
  <DocSecurity>0</DocSecurity>
  <Lines>33</Lines>
  <Paragraphs>9</Paragraphs>
  <ScaleCrop>false</ScaleCrop>
  <Company>Microsoft</Company>
  <LinksUpToDate>false</LinksUpToDate>
  <CharactersWithSpaces>4653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2022-11-17T03:42:00Z</dcterms:created>
  <dcterms:modified xsi:type="dcterms:W3CDTF">2022-11-17T03:43:00Z</dcterms:modified>
</cp:coreProperties>
</file>