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2E061" w14:textId="0BD44F7A" w:rsidR="009A7B3C" w:rsidRPr="00362CE7" w:rsidRDefault="009A7B3C" w:rsidP="00952C69">
      <w:pPr>
        <w:autoSpaceDE w:val="0"/>
        <w:autoSpaceDN w:val="0"/>
        <w:adjustRightInd w:val="0"/>
        <w:jc w:val="center"/>
        <w:rPr>
          <w:rFonts w:ascii="黑体" w:eastAsia="黑体" w:hAnsi="宋体"/>
          <w:b/>
          <w:sz w:val="44"/>
          <w:szCs w:val="44"/>
        </w:rPr>
      </w:pPr>
      <w:r w:rsidRPr="00362CE7">
        <w:rPr>
          <w:rFonts w:ascii="黑体" w:eastAsia="黑体" w:hAnsi="宋体" w:hint="eastAsia"/>
          <w:b/>
          <w:sz w:val="44"/>
          <w:szCs w:val="44"/>
        </w:rPr>
        <w:t>宁银理财</w:t>
      </w:r>
      <w:r w:rsidR="004A7B47" w:rsidRPr="00362CE7">
        <w:rPr>
          <w:rFonts w:ascii="黑体" w:eastAsia="黑体" w:hAnsi="宋体" w:hint="eastAsia"/>
          <w:b/>
          <w:sz w:val="44"/>
          <w:szCs w:val="44"/>
        </w:rPr>
        <w:t>固定收益类周期型试运行</w:t>
      </w:r>
      <w:r w:rsidR="004A7B47" w:rsidRPr="00362CE7">
        <w:rPr>
          <w:rFonts w:ascii="黑体" w:eastAsia="黑体" w:hAnsi="宋体"/>
          <w:b/>
          <w:sz w:val="44"/>
          <w:szCs w:val="44"/>
        </w:rPr>
        <w:t>1</w:t>
      </w:r>
      <w:r w:rsidR="004A7B47" w:rsidRPr="00362CE7">
        <w:rPr>
          <w:rFonts w:ascii="黑体" w:eastAsia="黑体" w:hAnsi="宋体" w:hint="eastAsia"/>
          <w:b/>
          <w:sz w:val="44"/>
          <w:szCs w:val="44"/>
        </w:rPr>
        <w:t>号</w:t>
      </w:r>
      <w:r w:rsidRPr="00362CE7">
        <w:rPr>
          <w:rFonts w:ascii="黑体" w:eastAsia="黑体" w:hAnsi="宋体" w:hint="eastAsia"/>
          <w:b/>
          <w:sz w:val="44"/>
          <w:szCs w:val="44"/>
        </w:rPr>
        <w:t>产品说明书</w:t>
      </w:r>
    </w:p>
    <w:p w14:paraId="15C70426" w14:textId="65981149" w:rsidR="009A7B3C" w:rsidRPr="00362CE7" w:rsidRDefault="009A7B3C" w:rsidP="009A7B3C">
      <w:pPr>
        <w:spacing w:line="312" w:lineRule="auto"/>
        <w:jc w:val="center"/>
        <w:rPr>
          <w:rFonts w:ascii="黑体" w:eastAsia="黑体" w:hAnsi="黑体"/>
          <w:sz w:val="44"/>
          <w:szCs w:val="44"/>
        </w:rPr>
      </w:pPr>
      <w:r w:rsidRPr="00362CE7">
        <w:rPr>
          <w:rFonts w:ascii="黑体" w:eastAsia="黑体" w:hAnsi="黑体" w:hint="eastAsia"/>
          <w:sz w:val="24"/>
        </w:rPr>
        <w:t>（</w:t>
      </w:r>
      <w:r w:rsidR="005172FF" w:rsidRPr="00362CE7">
        <w:rPr>
          <w:rFonts w:ascii="黑体" w:eastAsia="黑体" w:hAnsi="黑体"/>
          <w:sz w:val="24"/>
        </w:rPr>
        <w:t>202</w:t>
      </w:r>
      <w:r w:rsidR="00B6306B" w:rsidRPr="00362CE7">
        <w:rPr>
          <w:rFonts w:ascii="黑体" w:eastAsia="黑体" w:hAnsi="黑体" w:hint="eastAsia"/>
          <w:sz w:val="24"/>
        </w:rPr>
        <w:t>2</w:t>
      </w:r>
      <w:r w:rsidR="005172FF" w:rsidRPr="00362CE7">
        <w:rPr>
          <w:rFonts w:ascii="黑体" w:eastAsia="黑体" w:hAnsi="黑体"/>
          <w:sz w:val="24"/>
        </w:rPr>
        <w:t>0</w:t>
      </w:r>
      <w:r w:rsidR="00207684" w:rsidRPr="00362CE7">
        <w:rPr>
          <w:rFonts w:ascii="黑体" w:eastAsia="黑体" w:hAnsi="黑体"/>
          <w:sz w:val="24"/>
        </w:rPr>
        <w:t>3</w:t>
      </w:r>
      <w:r w:rsidR="000C69AD" w:rsidRPr="00362CE7">
        <w:rPr>
          <w:rFonts w:ascii="黑体" w:eastAsia="黑体" w:hAnsi="黑体" w:hint="eastAsia"/>
          <w:sz w:val="24"/>
        </w:rPr>
        <w:t>版</w:t>
      </w:r>
      <w:r w:rsidR="000C69AD" w:rsidRPr="00362CE7">
        <w:rPr>
          <w:rFonts w:ascii="黑体" w:eastAsia="黑体" w:hAnsi="黑体"/>
          <w:sz w:val="24"/>
        </w:rPr>
        <w:t>/</w:t>
      </w:r>
      <w:r w:rsidR="000C69AD" w:rsidRPr="00362CE7">
        <w:rPr>
          <w:rFonts w:ascii="黑体" w:eastAsia="黑体" w:hAnsi="黑体" w:hint="eastAsia"/>
          <w:sz w:val="24"/>
        </w:rPr>
        <w:t>适用于</w:t>
      </w:r>
      <w:r w:rsidR="0019684B" w:rsidRPr="00362CE7">
        <w:rPr>
          <w:rFonts w:ascii="黑体" w:eastAsia="黑体" w:hAnsi="黑体" w:hint="eastAsia"/>
          <w:sz w:val="24"/>
        </w:rPr>
        <w:t>周期</w:t>
      </w:r>
      <w:r w:rsidR="00DF2318" w:rsidRPr="00362CE7">
        <w:rPr>
          <w:rFonts w:ascii="黑体" w:eastAsia="黑体" w:hAnsi="黑体"/>
          <w:sz w:val="24"/>
        </w:rPr>
        <w:t>净值型理财</w:t>
      </w:r>
      <w:r w:rsidR="00116FC4" w:rsidRPr="00362CE7">
        <w:rPr>
          <w:rFonts w:ascii="黑体" w:eastAsia="黑体" w:hAnsi="黑体" w:hint="eastAsia"/>
          <w:sz w:val="24"/>
        </w:rPr>
        <w:t>产品</w:t>
      </w:r>
      <w:r w:rsidRPr="00362CE7">
        <w:rPr>
          <w:rFonts w:ascii="黑体" w:eastAsia="黑体" w:hAnsi="黑体" w:hint="eastAsia"/>
          <w:sz w:val="24"/>
        </w:rPr>
        <w:t>）</w:t>
      </w:r>
    </w:p>
    <w:p w14:paraId="29D38882" w14:textId="2DA79439" w:rsidR="00F77943" w:rsidRPr="00362CE7" w:rsidRDefault="00716AC6" w:rsidP="00716AC6">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一、</w:t>
      </w:r>
      <w:r w:rsidR="00F77943" w:rsidRPr="00362CE7">
        <w:rPr>
          <w:rFonts w:ascii="黑体" w:eastAsia="黑体" w:hAnsi="黑体" w:cs="黑体" w:hint="eastAsia"/>
          <w:b/>
          <w:kern w:val="0"/>
          <w:szCs w:val="21"/>
        </w:rPr>
        <w:t>重要</w:t>
      </w:r>
      <w:r w:rsidR="00EC57A1" w:rsidRPr="00362CE7">
        <w:rPr>
          <w:rFonts w:ascii="黑体" w:eastAsia="黑体" w:hAnsi="黑体" w:cs="黑体" w:hint="eastAsia"/>
          <w:b/>
          <w:kern w:val="0"/>
          <w:szCs w:val="21"/>
        </w:rPr>
        <w:t>说明</w:t>
      </w:r>
    </w:p>
    <w:p w14:paraId="3328A8C3" w14:textId="0609DA52" w:rsidR="00F77943" w:rsidRPr="00362CE7" w:rsidRDefault="00731559" w:rsidP="00902A1A">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1</w:t>
      </w:r>
      <w:r w:rsidRPr="00362CE7">
        <w:rPr>
          <w:rFonts w:ascii="黑体" w:eastAsia="黑体" w:hAnsi="黑体" w:cs="黑体" w:hint="eastAsia"/>
          <w:kern w:val="0"/>
          <w:szCs w:val="21"/>
        </w:rPr>
        <w:t>、</w:t>
      </w:r>
      <w:r w:rsidR="007231B5" w:rsidRPr="00362CE7">
        <w:rPr>
          <w:rFonts w:ascii="黑体" w:eastAsia="黑体" w:hAnsi="黑体" w:cs="黑体" w:hint="eastAsia"/>
          <w:kern w:val="0"/>
          <w:szCs w:val="21"/>
        </w:rPr>
        <w:t>《宁银</w:t>
      </w:r>
      <w:r w:rsidR="007231B5" w:rsidRPr="00362CE7">
        <w:rPr>
          <w:rFonts w:ascii="黑体" w:eastAsia="黑体" w:hAnsi="黑体" w:cs="黑体"/>
          <w:kern w:val="0"/>
          <w:szCs w:val="21"/>
        </w:rPr>
        <w:t>理财</w:t>
      </w:r>
      <w:r w:rsidR="000A4CD3" w:rsidRPr="00362CE7">
        <w:rPr>
          <w:rFonts w:ascii="黑体" w:eastAsia="黑体" w:hAnsi="黑体" w:cs="黑体" w:hint="eastAsia"/>
          <w:kern w:val="0"/>
          <w:szCs w:val="21"/>
        </w:rPr>
        <w:t>固定收益类周期型试运行</w:t>
      </w:r>
      <w:r w:rsidR="000A4CD3" w:rsidRPr="00362CE7">
        <w:rPr>
          <w:rFonts w:ascii="黑体" w:eastAsia="黑体" w:hAnsi="黑体" w:cs="黑体"/>
          <w:kern w:val="0"/>
          <w:szCs w:val="21"/>
        </w:rPr>
        <w:t>1</w:t>
      </w:r>
      <w:r w:rsidR="000A4CD3" w:rsidRPr="00362CE7">
        <w:rPr>
          <w:rFonts w:ascii="黑体" w:eastAsia="黑体" w:hAnsi="黑体" w:cs="黑体" w:hint="eastAsia"/>
          <w:kern w:val="0"/>
          <w:szCs w:val="21"/>
        </w:rPr>
        <w:t>号</w:t>
      </w:r>
      <w:r w:rsidR="007231B5" w:rsidRPr="00362CE7">
        <w:rPr>
          <w:rFonts w:ascii="黑体" w:eastAsia="黑体" w:hAnsi="黑体" w:cs="黑体"/>
          <w:kern w:val="0"/>
          <w:szCs w:val="21"/>
        </w:rPr>
        <w:t>产品说明书</w:t>
      </w:r>
      <w:r w:rsidR="007231B5" w:rsidRPr="00362CE7">
        <w:rPr>
          <w:rFonts w:ascii="黑体" w:eastAsia="黑体" w:hAnsi="黑体" w:cs="黑体" w:hint="eastAsia"/>
          <w:kern w:val="0"/>
          <w:szCs w:val="21"/>
        </w:rPr>
        <w:t>》（下称</w:t>
      </w:r>
      <w:r w:rsidR="007231B5" w:rsidRPr="00362CE7">
        <w:rPr>
          <w:rFonts w:ascii="黑体" w:eastAsia="黑体" w:hAnsi="黑体" w:cs="黑体"/>
          <w:kern w:val="0"/>
          <w:szCs w:val="21"/>
        </w:rPr>
        <w:t>“</w:t>
      </w:r>
      <w:r w:rsidR="007231B5" w:rsidRPr="00362CE7">
        <w:rPr>
          <w:rFonts w:ascii="黑体" w:eastAsia="黑体" w:hAnsi="黑体" w:cs="黑体" w:hint="eastAsia"/>
          <w:kern w:val="0"/>
          <w:szCs w:val="21"/>
        </w:rPr>
        <w:t>本</w:t>
      </w:r>
      <w:r w:rsidR="007231B5" w:rsidRPr="00362CE7">
        <w:rPr>
          <w:rFonts w:ascii="黑体" w:eastAsia="黑体" w:hAnsi="黑体" w:cs="黑体"/>
          <w:kern w:val="0"/>
          <w:szCs w:val="21"/>
        </w:rPr>
        <w:t>说明</w:t>
      </w:r>
      <w:r w:rsidR="007231B5" w:rsidRPr="00362CE7">
        <w:rPr>
          <w:rFonts w:ascii="黑体" w:eastAsia="黑体" w:hAnsi="黑体" w:cs="黑体" w:hint="eastAsia"/>
          <w:kern w:val="0"/>
          <w:szCs w:val="21"/>
        </w:rPr>
        <w:t>书</w:t>
      </w:r>
      <w:r w:rsidR="007231B5" w:rsidRPr="00362CE7">
        <w:rPr>
          <w:rFonts w:ascii="黑体" w:eastAsia="黑体" w:hAnsi="黑体" w:cs="黑体"/>
          <w:kern w:val="0"/>
          <w:szCs w:val="21"/>
        </w:rPr>
        <w:t>”</w:t>
      </w:r>
      <w:r w:rsidR="005172FF" w:rsidRPr="00362CE7">
        <w:rPr>
          <w:rFonts w:ascii="黑体" w:eastAsia="黑体" w:hAnsi="黑体" w:cs="黑体" w:hint="eastAsia"/>
          <w:kern w:val="0"/>
          <w:szCs w:val="21"/>
        </w:rPr>
        <w:t>或</w:t>
      </w:r>
      <w:r w:rsidR="00E04145" w:rsidRPr="00362CE7">
        <w:rPr>
          <w:rFonts w:ascii="黑体" w:eastAsia="黑体" w:hAnsi="黑体" w:cs="黑体" w:hint="eastAsia"/>
          <w:kern w:val="0"/>
          <w:szCs w:val="21"/>
        </w:rPr>
        <w:t>《理财产品说明书》）与本理财产品的《风险揭示书》、《销售（代理销售）协议书》、《投资协议书》、《投资者权益须知》等理财产品销售文件共同构成一份完整且不可分割的、关于甲方所投资乙方理财产品的全部协议。</w:t>
      </w:r>
      <w:r w:rsidR="009309DA" w:rsidRPr="00362CE7">
        <w:rPr>
          <w:rFonts w:ascii="黑体" w:eastAsia="黑体" w:hAnsi="黑体" w:cs="黑体" w:hint="eastAsia"/>
          <w:kern w:val="0"/>
          <w:szCs w:val="21"/>
        </w:rPr>
        <w:t>若本说明书与上述</w:t>
      </w:r>
      <w:r w:rsidR="009309DA" w:rsidRPr="00362CE7">
        <w:rPr>
          <w:rFonts w:ascii="黑体" w:eastAsia="黑体" w:hAnsi="黑体" w:cs="黑体"/>
          <w:kern w:val="0"/>
          <w:szCs w:val="21"/>
        </w:rPr>
        <w:t>其他文本</w:t>
      </w:r>
      <w:r w:rsidR="009309DA" w:rsidRPr="00362CE7">
        <w:rPr>
          <w:rFonts w:ascii="黑体" w:eastAsia="黑体" w:hAnsi="黑体" w:cs="黑体" w:hint="eastAsia"/>
          <w:kern w:val="0"/>
          <w:szCs w:val="21"/>
        </w:rPr>
        <w:t>有不一致之处，以本说明书为准。</w:t>
      </w:r>
    </w:p>
    <w:p w14:paraId="39DF09E5" w14:textId="323DA0B8" w:rsidR="00F77943" w:rsidRPr="00362CE7" w:rsidRDefault="00731559" w:rsidP="00E8441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w:t>
      </w:r>
      <w:r w:rsidR="00F77943" w:rsidRPr="00362CE7">
        <w:rPr>
          <w:rFonts w:ascii="黑体" w:eastAsia="黑体" w:hAnsi="黑体" w:cs="黑体" w:hint="eastAsia"/>
          <w:kern w:val="0"/>
          <w:szCs w:val="21"/>
        </w:rPr>
        <w:t>宁银理财</w:t>
      </w:r>
      <w:r w:rsidR="00F77943" w:rsidRPr="00362CE7">
        <w:rPr>
          <w:rFonts w:ascii="黑体" w:eastAsia="黑体" w:hAnsi="黑体" w:cs="黑体"/>
          <w:kern w:val="0"/>
          <w:szCs w:val="21"/>
        </w:rPr>
        <w:t>有限责任</w:t>
      </w:r>
      <w:r w:rsidR="00070DF8" w:rsidRPr="00362CE7">
        <w:rPr>
          <w:rFonts w:ascii="黑体" w:eastAsia="黑体" w:hAnsi="黑体" w:cs="黑体" w:hint="eastAsia"/>
          <w:kern w:val="0"/>
          <w:szCs w:val="21"/>
        </w:rPr>
        <w:t>公司（下</w:t>
      </w:r>
      <w:r w:rsidR="00F77943" w:rsidRPr="00362CE7">
        <w:rPr>
          <w:rFonts w:ascii="黑体" w:eastAsia="黑体" w:hAnsi="黑体" w:cs="黑体" w:hint="eastAsia"/>
          <w:kern w:val="0"/>
          <w:szCs w:val="21"/>
        </w:rPr>
        <w:t>称</w:t>
      </w:r>
      <w:r w:rsidR="00070DF8" w:rsidRPr="00362CE7">
        <w:rPr>
          <w:rFonts w:ascii="黑体" w:eastAsia="黑体" w:hAnsi="黑体" w:cs="黑体" w:hint="eastAsia"/>
          <w:kern w:val="0"/>
          <w:szCs w:val="21"/>
        </w:rPr>
        <w:t>“</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00070DF8" w:rsidRPr="00362CE7">
        <w:rPr>
          <w:rFonts w:ascii="黑体" w:eastAsia="黑体" w:hAnsi="黑体" w:cs="黑体"/>
          <w:kern w:val="0"/>
          <w:szCs w:val="21"/>
        </w:rPr>
        <w:t>”</w:t>
      </w:r>
      <w:r w:rsidR="00F77943" w:rsidRPr="00362CE7">
        <w:rPr>
          <w:rFonts w:ascii="黑体" w:eastAsia="黑体" w:hAnsi="黑体" w:cs="黑体" w:hint="eastAsia"/>
          <w:kern w:val="0"/>
          <w:szCs w:val="21"/>
        </w:rPr>
        <w:t>）代理</w:t>
      </w:r>
      <w:r w:rsidR="00A479CF" w:rsidRPr="00362CE7">
        <w:rPr>
          <w:rFonts w:ascii="黑体" w:eastAsia="黑体" w:hAnsi="黑体" w:cs="黑体" w:hint="eastAsia"/>
          <w:kern w:val="0"/>
          <w:szCs w:val="21"/>
        </w:rPr>
        <w:t>投资者</w:t>
      </w:r>
      <w:r w:rsidR="00F77943" w:rsidRPr="00362CE7">
        <w:rPr>
          <w:rFonts w:ascii="黑体" w:eastAsia="黑体" w:hAnsi="黑体" w:cs="黑体" w:hint="eastAsia"/>
          <w:kern w:val="0"/>
          <w:szCs w:val="21"/>
        </w:rPr>
        <w:t>进行理财</w:t>
      </w:r>
      <w:r w:rsidR="00A51221" w:rsidRPr="00362CE7">
        <w:rPr>
          <w:rFonts w:ascii="黑体" w:eastAsia="黑体" w:hAnsi="黑体" w:cs="黑体" w:hint="eastAsia"/>
          <w:kern w:val="0"/>
          <w:szCs w:val="21"/>
        </w:rPr>
        <w:t>资金的投资和管理</w:t>
      </w:r>
      <w:r w:rsidR="00F77943" w:rsidRPr="00362CE7">
        <w:rPr>
          <w:rFonts w:ascii="黑体" w:eastAsia="黑体" w:hAnsi="黑体" w:cs="黑体" w:hint="eastAsia"/>
          <w:kern w:val="0"/>
          <w:szCs w:val="21"/>
        </w:rPr>
        <w:t>，并严格遵照本说明书所载的内容进行操作。</w:t>
      </w:r>
    </w:p>
    <w:p w14:paraId="3C8B73DA" w14:textId="014B7502" w:rsidR="00F77943" w:rsidRPr="00362CE7" w:rsidRDefault="00731559" w:rsidP="00E8441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3、</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00F77943" w:rsidRPr="00362CE7">
        <w:rPr>
          <w:rFonts w:ascii="黑体" w:eastAsia="黑体" w:hAnsi="黑体" w:cs="黑体" w:hint="eastAsia"/>
          <w:kern w:val="0"/>
          <w:szCs w:val="21"/>
        </w:rPr>
        <w:t>对本说明书具有解释权。</w:t>
      </w:r>
    </w:p>
    <w:p w14:paraId="1C3104FB" w14:textId="77777777" w:rsidR="00B23C1D" w:rsidRPr="00362CE7" w:rsidRDefault="00B23C1D" w:rsidP="00857D8D">
      <w:pPr>
        <w:autoSpaceDE w:val="0"/>
        <w:autoSpaceDN w:val="0"/>
        <w:adjustRightInd w:val="0"/>
        <w:ind w:firstLineChars="213" w:firstLine="447"/>
        <w:jc w:val="left"/>
        <w:rPr>
          <w:rFonts w:ascii="黑体" w:eastAsia="黑体" w:hAnsi="黑体" w:cs="黑体"/>
          <w:kern w:val="0"/>
          <w:szCs w:val="21"/>
        </w:rPr>
      </w:pPr>
    </w:p>
    <w:p w14:paraId="4CE84DFB" w14:textId="4E6463C0" w:rsidR="00716AC6" w:rsidRPr="00362CE7" w:rsidRDefault="00F77943" w:rsidP="00716AC6">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二</w:t>
      </w:r>
      <w:r w:rsidRPr="00362CE7">
        <w:rPr>
          <w:rFonts w:ascii="黑体" w:eastAsia="黑体" w:hAnsi="黑体" w:cs="黑体"/>
          <w:b/>
          <w:kern w:val="0"/>
          <w:szCs w:val="21"/>
        </w:rPr>
        <w:t>、</w:t>
      </w:r>
      <w:r w:rsidR="002D45F6" w:rsidRPr="00362CE7">
        <w:rPr>
          <w:rFonts w:ascii="黑体" w:eastAsia="黑体" w:hAnsi="黑体" w:cs="黑体" w:hint="eastAsia"/>
          <w:b/>
          <w:kern w:val="0"/>
          <w:szCs w:val="21"/>
        </w:rPr>
        <w:t>产品要素</w:t>
      </w:r>
    </w:p>
    <w:tbl>
      <w:tblPr>
        <w:tblStyle w:val="a3"/>
        <w:tblW w:w="0" w:type="auto"/>
        <w:tblLook w:val="04A0" w:firstRow="1" w:lastRow="0" w:firstColumn="1" w:lastColumn="0" w:noHBand="0" w:noVBand="1"/>
      </w:tblPr>
      <w:tblGrid>
        <w:gridCol w:w="1838"/>
        <w:gridCol w:w="6458"/>
      </w:tblGrid>
      <w:tr w:rsidR="00716AC6" w:rsidRPr="00362CE7" w14:paraId="3F48E50C" w14:textId="77777777" w:rsidTr="00070DF8">
        <w:tc>
          <w:tcPr>
            <w:tcW w:w="1838" w:type="dxa"/>
          </w:tcPr>
          <w:p w14:paraId="07048395" w14:textId="77777777" w:rsidR="00716AC6" w:rsidRPr="00362CE7" w:rsidRDefault="000E7012" w:rsidP="00716AC6">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产品</w:t>
            </w:r>
            <w:r w:rsidR="00F77943" w:rsidRPr="00362CE7">
              <w:rPr>
                <w:rFonts w:ascii="黑体" w:eastAsia="黑体" w:hAnsi="黑体" w:cs="黑体" w:hint="eastAsia"/>
                <w:kern w:val="0"/>
                <w:szCs w:val="21"/>
              </w:rPr>
              <w:t>代码</w:t>
            </w:r>
          </w:p>
        </w:tc>
        <w:tc>
          <w:tcPr>
            <w:tcW w:w="6458" w:type="dxa"/>
          </w:tcPr>
          <w:p w14:paraId="5338A619" w14:textId="307F044B" w:rsidR="00716AC6" w:rsidRPr="00362CE7" w:rsidRDefault="000A4CD3" w:rsidP="00FF3E32">
            <w:pPr>
              <w:autoSpaceDE w:val="0"/>
              <w:autoSpaceDN w:val="0"/>
              <w:adjustRightInd w:val="0"/>
              <w:jc w:val="left"/>
              <w:rPr>
                <w:rFonts w:ascii="黑体" w:eastAsia="黑体" w:hAnsi="黑体" w:cs="黑体"/>
                <w:kern w:val="0"/>
                <w:szCs w:val="21"/>
              </w:rPr>
            </w:pPr>
            <w:r w:rsidRPr="00362CE7">
              <w:rPr>
                <w:rFonts w:ascii="黑体" w:eastAsia="黑体" w:hAnsi="黑体" w:cs="黑体"/>
                <w:kern w:val="0"/>
                <w:szCs w:val="21"/>
              </w:rPr>
              <w:t>SGN2240001</w:t>
            </w:r>
          </w:p>
        </w:tc>
      </w:tr>
      <w:tr w:rsidR="00716AC6" w:rsidRPr="00362CE7" w14:paraId="19124925" w14:textId="77777777" w:rsidTr="00643FED">
        <w:tc>
          <w:tcPr>
            <w:tcW w:w="1838" w:type="dxa"/>
            <w:vAlign w:val="center"/>
          </w:tcPr>
          <w:p w14:paraId="6A87E0A3" w14:textId="77777777" w:rsidR="00716AC6"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全国</w:t>
            </w:r>
            <w:r w:rsidRPr="00362CE7">
              <w:rPr>
                <w:rFonts w:ascii="黑体" w:eastAsia="黑体" w:hAnsi="黑体" w:cs="黑体"/>
                <w:kern w:val="0"/>
                <w:szCs w:val="21"/>
              </w:rPr>
              <w:t>银行业</w:t>
            </w:r>
            <w:r w:rsidRPr="00362CE7">
              <w:rPr>
                <w:rFonts w:ascii="黑体" w:eastAsia="黑体" w:hAnsi="黑体" w:cs="黑体" w:hint="eastAsia"/>
                <w:kern w:val="0"/>
                <w:szCs w:val="21"/>
              </w:rPr>
              <w:t>信息</w:t>
            </w:r>
            <w:r w:rsidRPr="00362CE7">
              <w:rPr>
                <w:rFonts w:ascii="黑体" w:eastAsia="黑体" w:hAnsi="黑体" w:cs="黑体"/>
                <w:kern w:val="0"/>
                <w:szCs w:val="21"/>
              </w:rPr>
              <w:t>登记系统编码</w:t>
            </w:r>
          </w:p>
        </w:tc>
        <w:tc>
          <w:tcPr>
            <w:tcW w:w="6458" w:type="dxa"/>
          </w:tcPr>
          <w:p w14:paraId="3E159973" w14:textId="77777777" w:rsidR="00477F70" w:rsidRPr="00362CE7" w:rsidRDefault="00477F70" w:rsidP="00477F70">
            <w:pPr>
              <w:widowControl/>
              <w:jc w:val="left"/>
              <w:rPr>
                <w:rFonts w:ascii="黑体" w:eastAsia="黑体" w:hAnsi="黑体" w:cs="黑体"/>
                <w:kern w:val="0"/>
                <w:szCs w:val="21"/>
              </w:rPr>
            </w:pPr>
            <w:r w:rsidRPr="00362CE7">
              <w:rPr>
                <w:rFonts w:ascii="黑体" w:eastAsia="黑体" w:hAnsi="黑体" w:cs="黑体"/>
                <w:kern w:val="0"/>
                <w:szCs w:val="21"/>
              </w:rPr>
              <w:t>Z7002122000076</w:t>
            </w:r>
          </w:p>
          <w:p w14:paraId="79C1C0E7" w14:textId="0A5C6ED0" w:rsidR="00716AC6" w:rsidRPr="00362CE7" w:rsidRDefault="00070DF8" w:rsidP="0072347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凭此编码可在“中国理财网（www.chinawealth.com.cn）”上查询</w:t>
            </w:r>
            <w:r w:rsidR="007231B5" w:rsidRPr="00362CE7">
              <w:rPr>
                <w:rFonts w:ascii="黑体" w:eastAsia="黑体" w:hAnsi="黑体" w:cs="黑体" w:hint="eastAsia"/>
                <w:kern w:val="0"/>
                <w:szCs w:val="21"/>
              </w:rPr>
              <w:t>本</w:t>
            </w:r>
            <w:r w:rsidRPr="00362CE7">
              <w:rPr>
                <w:rFonts w:ascii="黑体" w:eastAsia="黑体" w:hAnsi="黑体" w:cs="黑体" w:hint="eastAsia"/>
                <w:kern w:val="0"/>
                <w:szCs w:val="21"/>
              </w:rPr>
              <w:t>产品信息</w:t>
            </w:r>
          </w:p>
        </w:tc>
      </w:tr>
      <w:tr w:rsidR="00716AC6" w:rsidRPr="00362CE7" w14:paraId="076CFB7A" w14:textId="77777777" w:rsidTr="00643FED">
        <w:tc>
          <w:tcPr>
            <w:tcW w:w="1838" w:type="dxa"/>
            <w:vAlign w:val="center"/>
          </w:tcPr>
          <w:p w14:paraId="6D8CC138" w14:textId="77777777" w:rsidR="00716AC6"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名称</w:t>
            </w:r>
          </w:p>
        </w:tc>
        <w:tc>
          <w:tcPr>
            <w:tcW w:w="6458" w:type="dxa"/>
          </w:tcPr>
          <w:p w14:paraId="4BDD64B3" w14:textId="700966B2" w:rsidR="00716AC6" w:rsidRPr="00362CE7" w:rsidRDefault="000A4CD3" w:rsidP="00FF3E32">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宁银理财固定收益类周期型试运行</w:t>
            </w:r>
            <w:r w:rsidRPr="00362CE7">
              <w:rPr>
                <w:rFonts w:ascii="黑体" w:eastAsia="黑体" w:hAnsi="黑体" w:cs="黑体"/>
                <w:kern w:val="0"/>
                <w:szCs w:val="21"/>
              </w:rPr>
              <w:t>1</w:t>
            </w:r>
            <w:r w:rsidRPr="00362CE7">
              <w:rPr>
                <w:rFonts w:ascii="黑体" w:eastAsia="黑体" w:hAnsi="黑体" w:cs="黑体" w:hint="eastAsia"/>
                <w:kern w:val="0"/>
                <w:szCs w:val="21"/>
              </w:rPr>
              <w:t>号</w:t>
            </w:r>
          </w:p>
        </w:tc>
      </w:tr>
      <w:tr w:rsidR="000A4CD3" w:rsidRPr="00362CE7" w14:paraId="557F2169" w14:textId="77777777" w:rsidTr="00643FED">
        <w:tc>
          <w:tcPr>
            <w:tcW w:w="1838" w:type="dxa"/>
            <w:vAlign w:val="center"/>
          </w:tcPr>
          <w:p w14:paraId="7AF81FA1" w14:textId="77777777" w:rsidR="000A4CD3" w:rsidRPr="00362CE7" w:rsidRDefault="000A4CD3" w:rsidP="000A4CD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类型</w:t>
            </w:r>
          </w:p>
        </w:tc>
        <w:tc>
          <w:tcPr>
            <w:tcW w:w="6458" w:type="dxa"/>
          </w:tcPr>
          <w:p w14:paraId="1BE2590E" w14:textId="60A59428" w:rsidR="000A4CD3" w:rsidRPr="00362CE7" w:rsidRDefault="000A4CD3" w:rsidP="000A4CD3">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szCs w:val="21"/>
              </w:rPr>
              <w:t>固定收益类</w:t>
            </w:r>
            <w:r w:rsidR="00F97FC4" w:rsidRPr="00362CE7">
              <w:rPr>
                <w:rFonts w:ascii="黑体" w:eastAsia="黑体" w:hAnsi="黑体" w:cs="黑体" w:hint="eastAsia"/>
                <w:b/>
                <w:szCs w:val="21"/>
              </w:rPr>
              <w:t>、非保本浮动收益型</w:t>
            </w:r>
          </w:p>
        </w:tc>
      </w:tr>
      <w:tr w:rsidR="000A4CD3" w:rsidRPr="00362CE7" w14:paraId="36F8C302" w14:textId="77777777" w:rsidTr="00643FED">
        <w:tc>
          <w:tcPr>
            <w:tcW w:w="1838" w:type="dxa"/>
            <w:vAlign w:val="center"/>
          </w:tcPr>
          <w:p w14:paraId="0931A33F" w14:textId="77777777" w:rsidR="000A4CD3" w:rsidRPr="00362CE7" w:rsidRDefault="000A4CD3" w:rsidP="000A4CD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募集</w:t>
            </w:r>
            <w:r w:rsidRPr="00362CE7">
              <w:rPr>
                <w:rFonts w:ascii="黑体" w:eastAsia="黑体" w:hAnsi="黑体" w:cs="黑体"/>
                <w:kern w:val="0"/>
                <w:szCs w:val="21"/>
              </w:rPr>
              <w:t>方式</w:t>
            </w:r>
          </w:p>
        </w:tc>
        <w:tc>
          <w:tcPr>
            <w:tcW w:w="6458" w:type="dxa"/>
          </w:tcPr>
          <w:p w14:paraId="50506328" w14:textId="0D9C12D8" w:rsidR="000A4CD3" w:rsidRPr="00362CE7" w:rsidRDefault="000A4CD3" w:rsidP="000A4CD3">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公募</w:t>
            </w:r>
          </w:p>
        </w:tc>
      </w:tr>
      <w:tr w:rsidR="00716AC6" w:rsidRPr="00362CE7" w14:paraId="5A9A12C2" w14:textId="77777777" w:rsidTr="00643FED">
        <w:tc>
          <w:tcPr>
            <w:tcW w:w="1838" w:type="dxa"/>
            <w:vAlign w:val="center"/>
          </w:tcPr>
          <w:p w14:paraId="005DF687" w14:textId="26C70D0B" w:rsidR="00716AC6"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评级</w:t>
            </w:r>
          </w:p>
        </w:tc>
        <w:tc>
          <w:tcPr>
            <w:tcW w:w="6458" w:type="dxa"/>
          </w:tcPr>
          <w:p w14:paraId="630B28A6" w14:textId="2DB842DC" w:rsidR="00070DF8" w:rsidRPr="00362CE7" w:rsidRDefault="000A4CD3" w:rsidP="00716AC6">
            <w:pPr>
              <w:autoSpaceDE w:val="0"/>
              <w:autoSpaceDN w:val="0"/>
              <w:adjustRightInd w:val="0"/>
              <w:jc w:val="left"/>
              <w:rPr>
                <w:rFonts w:ascii="黑体" w:eastAsia="黑体" w:hAnsi="黑体" w:cs="黑体"/>
                <w:b/>
                <w:kern w:val="0"/>
                <w:szCs w:val="21"/>
              </w:rPr>
            </w:pPr>
            <w:r w:rsidRPr="00362CE7">
              <w:rPr>
                <w:rFonts w:ascii="黑体" w:eastAsia="黑体" w:hAnsi="黑体" w:cs="黑体"/>
                <w:b/>
                <w:kern w:val="0"/>
                <w:szCs w:val="21"/>
              </w:rPr>
              <w:t>PR1</w:t>
            </w:r>
          </w:p>
          <w:p w14:paraId="0A28CF01" w14:textId="75B6F8A8" w:rsidR="00F77943" w:rsidRPr="00362CE7" w:rsidRDefault="00F77943" w:rsidP="004A3460">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本评级</w:t>
            </w:r>
            <w:r w:rsidRPr="00362CE7">
              <w:rPr>
                <w:rFonts w:ascii="黑体" w:eastAsia="黑体" w:hAnsi="黑体" w:cs="黑体"/>
                <w:kern w:val="0"/>
                <w:szCs w:val="21"/>
              </w:rPr>
              <w:t>为</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Pr="00362CE7">
              <w:rPr>
                <w:rFonts w:ascii="黑体" w:eastAsia="黑体" w:hAnsi="黑体" w:cs="黑体"/>
                <w:kern w:val="0"/>
                <w:szCs w:val="21"/>
              </w:rPr>
              <w:t>内部评级，仅供参考</w:t>
            </w:r>
            <w:r w:rsidR="007B34DF" w:rsidRPr="00362CE7">
              <w:rPr>
                <w:rFonts w:ascii="黑体" w:eastAsia="黑体" w:hAnsi="黑体" w:cs="黑体" w:hint="eastAsia"/>
                <w:kern w:val="0"/>
                <w:szCs w:val="21"/>
              </w:rPr>
              <w:t>。该产品通过代理销售机构渠道销售的，理财产品评级应当以代理销售机构最终披露的评级结果为准。</w:t>
            </w:r>
          </w:p>
        </w:tc>
      </w:tr>
      <w:tr w:rsidR="00716AC6" w:rsidRPr="00362CE7" w14:paraId="22F933D2" w14:textId="77777777" w:rsidTr="00643FED">
        <w:tc>
          <w:tcPr>
            <w:tcW w:w="1838" w:type="dxa"/>
            <w:vAlign w:val="center"/>
          </w:tcPr>
          <w:p w14:paraId="63CE7B8F" w14:textId="1853412F" w:rsidR="00716AC6"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目标</w:t>
            </w:r>
            <w:r w:rsidR="00A479CF" w:rsidRPr="00362CE7">
              <w:rPr>
                <w:rFonts w:ascii="黑体" w:eastAsia="黑体" w:hAnsi="黑体" w:cs="黑体"/>
                <w:kern w:val="0"/>
                <w:szCs w:val="21"/>
              </w:rPr>
              <w:t>投资者</w:t>
            </w:r>
          </w:p>
        </w:tc>
        <w:tc>
          <w:tcPr>
            <w:tcW w:w="6458" w:type="dxa"/>
          </w:tcPr>
          <w:p w14:paraId="03670A0D" w14:textId="34E0BCBF" w:rsidR="00CF4DE6" w:rsidRPr="00362CE7" w:rsidRDefault="000A4CD3" w:rsidP="00AB4D15">
            <w:pPr>
              <w:autoSpaceDE w:val="0"/>
              <w:autoSpaceDN w:val="0"/>
              <w:adjustRightInd w:val="0"/>
              <w:jc w:val="left"/>
              <w:rPr>
                <w:rFonts w:ascii="黑体" w:eastAsia="黑体" w:hAnsi="黑体" w:cs="黑体"/>
                <w:b/>
                <w:szCs w:val="21"/>
              </w:rPr>
            </w:pPr>
            <w:r w:rsidRPr="00362CE7">
              <w:rPr>
                <w:rFonts w:ascii="黑体" w:eastAsia="黑体" w:hAnsi="黑体" w:cs="黑体" w:hint="eastAsia"/>
                <w:b/>
                <w:szCs w:val="21"/>
              </w:rPr>
              <w:t>风险评级为保守型，稳健型，平衡型，成长型，进取型的投资者</w:t>
            </w:r>
            <w:r w:rsidR="00CF4DE6" w:rsidRPr="00362CE7">
              <w:rPr>
                <w:rFonts w:ascii="黑体" w:eastAsia="黑体" w:hAnsi="黑体" w:cs="黑体" w:hint="eastAsia"/>
                <w:b/>
                <w:bCs/>
                <w:kern w:val="0"/>
                <w:szCs w:val="21"/>
              </w:rPr>
              <w:t>（具体以销售机构的规则为准）</w:t>
            </w:r>
          </w:p>
        </w:tc>
      </w:tr>
      <w:tr w:rsidR="00716AC6" w:rsidRPr="00362CE7" w14:paraId="2A674572" w14:textId="77777777" w:rsidTr="00643FED">
        <w:tc>
          <w:tcPr>
            <w:tcW w:w="1838" w:type="dxa"/>
            <w:vAlign w:val="center"/>
          </w:tcPr>
          <w:p w14:paraId="4D45C160" w14:textId="77777777" w:rsidR="00716AC6"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本金</w:t>
            </w:r>
            <w:r w:rsidRPr="00362CE7">
              <w:rPr>
                <w:rFonts w:ascii="黑体" w:eastAsia="黑体" w:hAnsi="黑体" w:cs="黑体"/>
                <w:kern w:val="0"/>
                <w:szCs w:val="21"/>
              </w:rPr>
              <w:t>及收益币种</w:t>
            </w:r>
          </w:p>
        </w:tc>
        <w:tc>
          <w:tcPr>
            <w:tcW w:w="6458" w:type="dxa"/>
          </w:tcPr>
          <w:p w14:paraId="081861A9" w14:textId="78266FE4" w:rsidR="00716AC6" w:rsidRPr="00362CE7" w:rsidRDefault="00CF4DE6" w:rsidP="00716AC6">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人民币</w:t>
            </w:r>
          </w:p>
        </w:tc>
      </w:tr>
      <w:tr w:rsidR="000E7012" w:rsidRPr="00362CE7" w14:paraId="4F3072D9" w14:textId="77777777" w:rsidTr="00643FED">
        <w:tc>
          <w:tcPr>
            <w:tcW w:w="1838" w:type="dxa"/>
            <w:vAlign w:val="center"/>
          </w:tcPr>
          <w:p w14:paraId="729EF3AD" w14:textId="77777777" w:rsidR="000E7012"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业绩</w:t>
            </w:r>
            <w:r w:rsidRPr="00362CE7">
              <w:rPr>
                <w:rFonts w:ascii="黑体" w:eastAsia="黑体" w:hAnsi="黑体" w:cs="黑体"/>
                <w:kern w:val="0"/>
                <w:szCs w:val="21"/>
              </w:rPr>
              <w:t>比较基准</w:t>
            </w:r>
          </w:p>
        </w:tc>
        <w:tc>
          <w:tcPr>
            <w:tcW w:w="6458" w:type="dxa"/>
          </w:tcPr>
          <w:p w14:paraId="602278B5" w14:textId="4F5BC96B" w:rsidR="00902A1A" w:rsidRPr="00362CE7" w:rsidRDefault="00CF4DE6" w:rsidP="004171DB">
            <w:pPr>
              <w:autoSpaceDE w:val="0"/>
              <w:autoSpaceDN w:val="0"/>
              <w:adjustRightInd w:val="0"/>
              <w:rPr>
                <w:rFonts w:ascii="黑体" w:eastAsia="黑体" w:hAnsi="黑体" w:cs="黑体"/>
                <w:b/>
                <w:kern w:val="0"/>
                <w:szCs w:val="21"/>
              </w:rPr>
            </w:pPr>
            <w:r w:rsidRPr="00362CE7">
              <w:rPr>
                <w:rFonts w:ascii="黑体" w:eastAsia="黑体" w:hAnsi="黑体" w:cs="黑体"/>
                <w:b/>
                <w:kern w:val="0"/>
                <w:szCs w:val="21"/>
              </w:rPr>
              <w:t>0.80</w:t>
            </w:r>
            <w:r w:rsidRPr="00362CE7">
              <w:rPr>
                <w:rFonts w:ascii="黑体" w:eastAsia="黑体" w:hAnsi="黑体" w:cs="黑体" w:hint="eastAsia"/>
                <w:b/>
                <w:kern w:val="0"/>
                <w:szCs w:val="21"/>
              </w:rPr>
              <w:t>%</w:t>
            </w:r>
            <w:r w:rsidR="009C510F" w:rsidRPr="00362CE7">
              <w:rPr>
                <w:rFonts w:ascii="黑体" w:eastAsia="黑体" w:hAnsi="黑体" w:cs="黑体" w:hint="eastAsia"/>
                <w:b/>
                <w:kern w:val="0"/>
                <w:szCs w:val="21"/>
              </w:rPr>
              <w:t>（业绩比较基准不代表产品的未来表现和实际收益）</w:t>
            </w:r>
          </w:p>
          <w:p w14:paraId="128270D8" w14:textId="3C32DEA5" w:rsidR="00F77AB1" w:rsidRPr="00362CE7" w:rsidRDefault="00F77AB1" w:rsidP="004171DB">
            <w:pPr>
              <w:autoSpaceDE w:val="0"/>
              <w:autoSpaceDN w:val="0"/>
              <w:adjustRightInd w:val="0"/>
              <w:rPr>
                <w:rFonts w:ascii="黑体" w:eastAsia="黑体" w:hAnsi="黑体" w:cs="黑体"/>
                <w:b/>
                <w:kern w:val="0"/>
                <w:szCs w:val="21"/>
              </w:rPr>
            </w:pPr>
            <w:r w:rsidRPr="00362CE7">
              <w:rPr>
                <w:rFonts w:ascii="黑体" w:eastAsia="黑体" w:hAnsi="黑体" w:cs="黑体" w:hint="eastAsia"/>
                <w:b/>
                <w:kern w:val="0"/>
                <w:szCs w:val="21"/>
              </w:rPr>
              <w:t>业绩比较基准是产品管理人基于产品性质、投资策略、过往经验等因素对产品</w:t>
            </w:r>
            <w:r w:rsidR="00AD67F1" w:rsidRPr="00362CE7">
              <w:rPr>
                <w:rFonts w:ascii="黑体" w:eastAsia="黑体" w:hAnsi="黑体" w:cs="黑体" w:hint="eastAsia"/>
                <w:b/>
                <w:kern w:val="0"/>
                <w:szCs w:val="21"/>
              </w:rPr>
              <w:t>测算得到的年化收益</w:t>
            </w:r>
            <w:r w:rsidRPr="00362CE7">
              <w:rPr>
                <w:rFonts w:ascii="黑体" w:eastAsia="黑体" w:hAnsi="黑体" w:cs="黑体" w:hint="eastAsia"/>
                <w:b/>
                <w:kern w:val="0"/>
                <w:szCs w:val="21"/>
              </w:rPr>
              <w:t>，不代表产品的未来表现和实际收益，不构成对产品</w:t>
            </w:r>
            <w:r w:rsidR="00AD67F1" w:rsidRPr="00362CE7">
              <w:rPr>
                <w:rFonts w:ascii="黑体" w:eastAsia="黑体" w:hAnsi="黑体" w:cs="黑体" w:hint="eastAsia"/>
                <w:b/>
                <w:kern w:val="0"/>
                <w:szCs w:val="21"/>
              </w:rPr>
              <w:t>本金的保证和</w:t>
            </w:r>
            <w:r w:rsidRPr="00362CE7">
              <w:rPr>
                <w:rFonts w:ascii="黑体" w:eastAsia="黑体" w:hAnsi="黑体" w:cs="黑体" w:hint="eastAsia"/>
                <w:b/>
                <w:kern w:val="0"/>
                <w:szCs w:val="21"/>
              </w:rPr>
              <w:t>收益的承诺，</w:t>
            </w:r>
            <w:r w:rsidR="00EC57A1" w:rsidRPr="00362CE7">
              <w:rPr>
                <w:rFonts w:ascii="黑体" w:eastAsia="黑体" w:hAnsi="黑体" w:cs="黑体" w:hint="eastAsia"/>
                <w:b/>
                <w:kern w:val="0"/>
                <w:szCs w:val="21"/>
              </w:rPr>
              <w:t>仅供投资者参考</w:t>
            </w:r>
            <w:r w:rsidR="00675977" w:rsidRPr="00362CE7">
              <w:rPr>
                <w:rFonts w:ascii="黑体" w:eastAsia="黑体" w:hAnsi="黑体" w:cs="黑体" w:hint="eastAsia"/>
                <w:b/>
                <w:kern w:val="0"/>
                <w:szCs w:val="21"/>
              </w:rPr>
              <w:t>。</w:t>
            </w:r>
          </w:p>
          <w:p w14:paraId="59D08268" w14:textId="23F1E8F3" w:rsidR="00EC57A1" w:rsidRPr="00362CE7" w:rsidRDefault="00861565" w:rsidP="004171DB">
            <w:pPr>
              <w:autoSpaceDE w:val="0"/>
              <w:autoSpaceDN w:val="0"/>
              <w:adjustRightInd w:val="0"/>
              <w:rPr>
                <w:rFonts w:ascii="黑体" w:eastAsia="黑体" w:hAnsi="黑体" w:cs="黑体"/>
                <w:b/>
                <w:kern w:val="0"/>
                <w:szCs w:val="21"/>
              </w:rPr>
            </w:pPr>
            <w:r w:rsidRPr="00362CE7">
              <w:rPr>
                <w:rFonts w:ascii="黑体" w:eastAsia="黑体" w:hAnsi="黑体" w:cs="黑体" w:hint="eastAsia"/>
                <w:b/>
                <w:kern w:val="0"/>
                <w:szCs w:val="21"/>
              </w:rPr>
              <w:t>业绩比较基准可用于确定产品管理人是否收取超额业绩报酬，投资者所能获得的最终收益以管理人实际支付为准，业绩比较基准</w:t>
            </w:r>
            <w:r w:rsidR="00EC57A1" w:rsidRPr="00362CE7">
              <w:rPr>
                <w:rFonts w:ascii="黑体" w:eastAsia="黑体" w:hAnsi="黑体" w:cs="黑体" w:hint="eastAsia"/>
                <w:b/>
                <w:kern w:val="0"/>
                <w:szCs w:val="21"/>
              </w:rPr>
              <w:t>并不作为</w:t>
            </w:r>
            <w:r w:rsidR="000853EA" w:rsidRPr="00362CE7">
              <w:rPr>
                <w:rFonts w:ascii="黑体" w:eastAsia="黑体" w:hAnsi="黑体" w:cs="黑体" w:hint="eastAsia"/>
                <w:b/>
                <w:kern w:val="0"/>
                <w:szCs w:val="21"/>
              </w:rPr>
              <w:t>产品</w:t>
            </w:r>
            <w:r w:rsidR="000853EA" w:rsidRPr="00362CE7">
              <w:rPr>
                <w:rFonts w:ascii="黑体" w:eastAsia="黑体" w:hAnsi="黑体" w:cs="黑体"/>
                <w:b/>
                <w:kern w:val="0"/>
                <w:szCs w:val="21"/>
              </w:rPr>
              <w:t>管理人</w:t>
            </w:r>
            <w:r w:rsidR="00EC57A1" w:rsidRPr="00362CE7">
              <w:rPr>
                <w:rFonts w:ascii="黑体" w:eastAsia="黑体" w:hAnsi="黑体" w:cs="黑体" w:hint="eastAsia"/>
                <w:b/>
                <w:kern w:val="0"/>
                <w:szCs w:val="21"/>
              </w:rPr>
              <w:t>向投资者支付本产品</w:t>
            </w:r>
            <w:r w:rsidR="00A51221" w:rsidRPr="00362CE7">
              <w:rPr>
                <w:rFonts w:ascii="黑体" w:eastAsia="黑体" w:hAnsi="黑体" w:cs="黑体" w:hint="eastAsia"/>
                <w:b/>
                <w:kern w:val="0"/>
                <w:szCs w:val="21"/>
              </w:rPr>
              <w:t>本金</w:t>
            </w:r>
            <w:r w:rsidR="00A51221" w:rsidRPr="00362CE7">
              <w:rPr>
                <w:rFonts w:ascii="黑体" w:eastAsia="黑体" w:hAnsi="黑体" w:cs="黑体"/>
                <w:b/>
                <w:kern w:val="0"/>
                <w:szCs w:val="21"/>
              </w:rPr>
              <w:t>或</w:t>
            </w:r>
            <w:r w:rsidR="00EC57A1" w:rsidRPr="00362CE7">
              <w:rPr>
                <w:rFonts w:ascii="黑体" w:eastAsia="黑体" w:hAnsi="黑体" w:cs="黑体" w:hint="eastAsia"/>
                <w:b/>
                <w:kern w:val="0"/>
                <w:szCs w:val="21"/>
              </w:rPr>
              <w:t>收益的承诺</w:t>
            </w:r>
            <w:r w:rsidR="007907B7" w:rsidRPr="00362CE7">
              <w:rPr>
                <w:rFonts w:ascii="黑体" w:eastAsia="黑体" w:hAnsi="黑体" w:cs="黑体" w:hint="eastAsia"/>
                <w:b/>
                <w:kern w:val="0"/>
                <w:szCs w:val="21"/>
              </w:rPr>
              <w:t>。</w:t>
            </w:r>
          </w:p>
          <w:p w14:paraId="2DD7E9C8" w14:textId="56A06441" w:rsidR="007907B7" w:rsidRPr="00362CE7" w:rsidRDefault="007907B7" w:rsidP="00CF4DE6">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本产品为</w:t>
            </w:r>
            <w:r w:rsidRPr="00362CE7">
              <w:rPr>
                <w:rFonts w:ascii="黑体" w:eastAsia="黑体" w:hAnsi="黑体" w:cs="黑体"/>
                <w:kern w:val="0"/>
                <w:szCs w:val="21"/>
              </w:rPr>
              <w:t>净值型产品，业绩表现将随市场情况波动，具有不确定性。</w:t>
            </w:r>
            <w:r w:rsidRPr="00362CE7">
              <w:rPr>
                <w:rFonts w:ascii="黑体" w:eastAsia="黑体" w:hAnsi="黑体" w:cs="黑体" w:hint="eastAsia"/>
                <w:kern w:val="0"/>
                <w:szCs w:val="21"/>
              </w:rPr>
              <w:t>产品</w:t>
            </w:r>
            <w:r w:rsidRPr="00362CE7">
              <w:rPr>
                <w:rFonts w:ascii="黑体" w:eastAsia="黑体" w:hAnsi="黑体" w:cs="黑体"/>
                <w:kern w:val="0"/>
                <w:szCs w:val="21"/>
              </w:rPr>
              <w:t>管理人可根据市场情况调整业绩比较基准，并至少于调整日之前</w:t>
            </w:r>
            <w:r w:rsidR="00CF4DE6" w:rsidRPr="00362CE7">
              <w:rPr>
                <w:rFonts w:ascii="黑体" w:eastAsia="黑体" w:hAnsi="黑体" w:cs="黑体"/>
                <w:kern w:val="0"/>
                <w:szCs w:val="21"/>
              </w:rPr>
              <w:t>3</w:t>
            </w:r>
            <w:r w:rsidR="00CF4DE6" w:rsidRPr="00362CE7">
              <w:rPr>
                <w:rFonts w:ascii="黑体" w:eastAsia="黑体" w:hAnsi="黑体" w:cs="黑体" w:hint="eastAsia"/>
                <w:kern w:val="0"/>
                <w:szCs w:val="21"/>
              </w:rPr>
              <w:t>个</w:t>
            </w:r>
            <w:r w:rsidRPr="00362CE7">
              <w:rPr>
                <w:rFonts w:ascii="黑体" w:eastAsia="黑体" w:hAnsi="黑体" w:cs="黑体"/>
                <w:kern w:val="0"/>
                <w:szCs w:val="21"/>
              </w:rPr>
              <w:t>工作日进行公告</w:t>
            </w:r>
            <w:r w:rsidRPr="00362CE7">
              <w:rPr>
                <w:rFonts w:ascii="黑体" w:eastAsia="黑体" w:hAnsi="黑体" w:cs="黑体" w:hint="eastAsia"/>
                <w:kern w:val="0"/>
                <w:szCs w:val="21"/>
              </w:rPr>
              <w:t>。</w:t>
            </w:r>
          </w:p>
        </w:tc>
      </w:tr>
      <w:tr w:rsidR="000E7012" w:rsidRPr="00362CE7" w14:paraId="4365CD81" w14:textId="77777777" w:rsidTr="00643FED">
        <w:tc>
          <w:tcPr>
            <w:tcW w:w="1838" w:type="dxa"/>
            <w:vAlign w:val="center"/>
          </w:tcPr>
          <w:p w14:paraId="10B2DCD4" w14:textId="77777777" w:rsidR="000E7012"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募集期</w:t>
            </w:r>
          </w:p>
        </w:tc>
        <w:tc>
          <w:tcPr>
            <w:tcW w:w="6458" w:type="dxa"/>
          </w:tcPr>
          <w:p w14:paraId="2BFF79F6" w14:textId="685140E1" w:rsidR="00CF4DE6" w:rsidRPr="00362CE7" w:rsidRDefault="00CF4DE6" w:rsidP="00CF4DE6">
            <w:pPr>
              <w:autoSpaceDE w:val="0"/>
              <w:autoSpaceDN w:val="0"/>
              <w:adjustRightInd w:val="0"/>
              <w:jc w:val="left"/>
              <w:rPr>
                <w:rFonts w:ascii="黑体" w:eastAsia="黑体" w:hAnsi="黑体" w:cs="黑体"/>
                <w:b/>
                <w:bCs/>
                <w:kern w:val="0"/>
                <w:szCs w:val="21"/>
              </w:rPr>
            </w:pPr>
            <w:r w:rsidRPr="00362CE7">
              <w:rPr>
                <w:rFonts w:ascii="黑体" w:eastAsia="黑体" w:hAnsi="黑体" w:cs="黑体"/>
                <w:b/>
                <w:bCs/>
                <w:kern w:val="0"/>
                <w:szCs w:val="21"/>
              </w:rPr>
              <w:t>202</w:t>
            </w:r>
            <w:r w:rsidR="007D311C" w:rsidRPr="00362CE7">
              <w:rPr>
                <w:rFonts w:ascii="黑体" w:eastAsia="黑体" w:hAnsi="黑体" w:cs="黑体"/>
                <w:b/>
                <w:bCs/>
                <w:kern w:val="0"/>
                <w:szCs w:val="21"/>
              </w:rPr>
              <w:t>3</w:t>
            </w:r>
            <w:r w:rsidRPr="00362CE7">
              <w:rPr>
                <w:rFonts w:ascii="黑体" w:eastAsia="黑体" w:hAnsi="黑体" w:cs="黑体"/>
                <w:b/>
                <w:bCs/>
                <w:kern w:val="0"/>
                <w:szCs w:val="21"/>
              </w:rPr>
              <w:t>/</w:t>
            </w:r>
            <w:r w:rsidR="007D311C" w:rsidRPr="00362CE7">
              <w:rPr>
                <w:rFonts w:ascii="黑体" w:eastAsia="黑体" w:hAnsi="黑体" w:cs="黑体"/>
                <w:b/>
                <w:bCs/>
                <w:kern w:val="0"/>
                <w:szCs w:val="21"/>
              </w:rPr>
              <w:t>3</w:t>
            </w:r>
            <w:r w:rsidRPr="00362CE7">
              <w:rPr>
                <w:rFonts w:ascii="黑体" w:eastAsia="黑体" w:hAnsi="黑体" w:cs="黑体"/>
                <w:b/>
                <w:bCs/>
                <w:kern w:val="0"/>
                <w:szCs w:val="21"/>
              </w:rPr>
              <w:t>/</w:t>
            </w:r>
            <w:r w:rsidR="007D311C" w:rsidRPr="00362CE7">
              <w:rPr>
                <w:rFonts w:ascii="黑体" w:eastAsia="黑体" w:hAnsi="黑体" w:cs="黑体"/>
                <w:b/>
                <w:bCs/>
                <w:kern w:val="0"/>
                <w:szCs w:val="21"/>
              </w:rPr>
              <w:t>31</w:t>
            </w:r>
            <w:r w:rsidRPr="00362CE7">
              <w:rPr>
                <w:rFonts w:ascii="黑体" w:eastAsia="黑体" w:hAnsi="黑体" w:cs="黑体"/>
                <w:b/>
                <w:bCs/>
                <w:kern w:val="0"/>
                <w:szCs w:val="21"/>
              </w:rPr>
              <w:t>-202</w:t>
            </w:r>
            <w:r w:rsidR="007D311C" w:rsidRPr="00362CE7">
              <w:rPr>
                <w:rFonts w:ascii="黑体" w:eastAsia="黑体" w:hAnsi="黑体" w:cs="黑体"/>
                <w:b/>
                <w:bCs/>
                <w:kern w:val="0"/>
                <w:szCs w:val="21"/>
              </w:rPr>
              <w:t>3</w:t>
            </w:r>
            <w:r w:rsidRPr="00362CE7">
              <w:rPr>
                <w:rFonts w:ascii="黑体" w:eastAsia="黑体" w:hAnsi="黑体" w:cs="黑体"/>
                <w:b/>
                <w:bCs/>
                <w:kern w:val="0"/>
                <w:szCs w:val="21"/>
              </w:rPr>
              <w:t>/</w:t>
            </w:r>
            <w:r w:rsidR="007D311C" w:rsidRPr="00362CE7">
              <w:rPr>
                <w:rFonts w:ascii="黑体" w:eastAsia="黑体" w:hAnsi="黑体" w:cs="黑体"/>
                <w:b/>
                <w:bCs/>
                <w:kern w:val="0"/>
                <w:szCs w:val="21"/>
              </w:rPr>
              <w:t>4</w:t>
            </w:r>
            <w:r w:rsidRPr="00362CE7">
              <w:rPr>
                <w:rFonts w:ascii="黑体" w:eastAsia="黑体" w:hAnsi="黑体" w:cs="黑体"/>
                <w:b/>
                <w:bCs/>
                <w:kern w:val="0"/>
                <w:szCs w:val="21"/>
              </w:rPr>
              <w:t>/</w:t>
            </w:r>
            <w:r w:rsidR="007D311C" w:rsidRPr="00362CE7">
              <w:rPr>
                <w:rFonts w:ascii="黑体" w:eastAsia="黑体" w:hAnsi="黑体" w:cs="黑体"/>
                <w:b/>
                <w:bCs/>
                <w:kern w:val="0"/>
                <w:szCs w:val="21"/>
              </w:rPr>
              <w:t>3</w:t>
            </w:r>
          </w:p>
          <w:p w14:paraId="64AC5C82" w14:textId="0BC02C9C" w:rsidR="008D3A11" w:rsidRPr="00362CE7" w:rsidRDefault="00CC475B" w:rsidP="00CC475B">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在</w:t>
            </w:r>
            <w:r w:rsidR="0072347F" w:rsidRPr="00362CE7">
              <w:rPr>
                <w:rFonts w:ascii="黑体" w:eastAsia="黑体" w:hAnsi="黑体" w:cs="黑体" w:hint="eastAsia"/>
                <w:kern w:val="0"/>
                <w:szCs w:val="21"/>
              </w:rPr>
              <w:t>本</w:t>
            </w:r>
            <w:r w:rsidRPr="00362CE7">
              <w:rPr>
                <w:rFonts w:ascii="黑体" w:eastAsia="黑体" w:hAnsi="黑体" w:cs="黑体" w:hint="eastAsia"/>
                <w:kern w:val="0"/>
                <w:szCs w:val="21"/>
              </w:rPr>
              <w:t>产品募集期内，</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008D3A11" w:rsidRPr="00362CE7">
              <w:rPr>
                <w:rFonts w:ascii="黑体" w:eastAsia="黑体" w:hAnsi="黑体" w:cs="黑体"/>
                <w:kern w:val="0"/>
                <w:szCs w:val="21"/>
              </w:rPr>
              <w:t>有权根据产品实际募集情况调整产品募集</w:t>
            </w:r>
            <w:r w:rsidR="008D3A11" w:rsidRPr="00362CE7">
              <w:rPr>
                <w:rFonts w:ascii="黑体" w:eastAsia="黑体" w:hAnsi="黑体" w:cs="黑体" w:hint="eastAsia"/>
                <w:kern w:val="0"/>
                <w:szCs w:val="21"/>
              </w:rPr>
              <w:t>结束日</w:t>
            </w:r>
            <w:r w:rsidRPr="00362CE7">
              <w:rPr>
                <w:rFonts w:ascii="黑体" w:eastAsia="黑体" w:hAnsi="黑体" w:cs="黑体" w:hint="eastAsia"/>
                <w:kern w:val="0"/>
                <w:szCs w:val="21"/>
              </w:rPr>
              <w:t>，</w:t>
            </w:r>
            <w:r w:rsidRPr="00362CE7">
              <w:rPr>
                <w:rFonts w:ascii="黑体" w:eastAsia="黑体" w:hAnsi="黑体" w:cs="黑体"/>
                <w:kern w:val="0"/>
                <w:szCs w:val="21"/>
              </w:rPr>
              <w:t>调整前将进行相关</w:t>
            </w:r>
            <w:r w:rsidRPr="00362CE7">
              <w:rPr>
                <w:rFonts w:ascii="黑体" w:eastAsia="黑体" w:hAnsi="黑体" w:cs="黑体" w:hint="eastAsia"/>
                <w:kern w:val="0"/>
                <w:szCs w:val="21"/>
              </w:rPr>
              <w:t>信息</w:t>
            </w:r>
            <w:r w:rsidRPr="00362CE7">
              <w:rPr>
                <w:rFonts w:ascii="黑体" w:eastAsia="黑体" w:hAnsi="黑体" w:cs="黑体"/>
                <w:kern w:val="0"/>
                <w:szCs w:val="21"/>
              </w:rPr>
              <w:t>披露</w:t>
            </w:r>
            <w:r w:rsidR="000A2DFC" w:rsidRPr="00362CE7">
              <w:rPr>
                <w:rFonts w:ascii="黑体" w:eastAsia="黑体" w:hAnsi="黑体" w:cs="黑体" w:hint="eastAsia"/>
                <w:kern w:val="0"/>
                <w:szCs w:val="21"/>
              </w:rPr>
              <w:t>。</w:t>
            </w:r>
          </w:p>
        </w:tc>
      </w:tr>
      <w:tr w:rsidR="000E7012" w:rsidRPr="00362CE7" w14:paraId="79359035" w14:textId="77777777" w:rsidTr="00643FED">
        <w:tc>
          <w:tcPr>
            <w:tcW w:w="1838" w:type="dxa"/>
            <w:vAlign w:val="center"/>
          </w:tcPr>
          <w:p w14:paraId="3389A561" w14:textId="77777777" w:rsidR="000E7012"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成立日</w:t>
            </w:r>
          </w:p>
        </w:tc>
        <w:tc>
          <w:tcPr>
            <w:tcW w:w="6458" w:type="dxa"/>
          </w:tcPr>
          <w:p w14:paraId="4E0814B2" w14:textId="459838C6" w:rsidR="00BA6929" w:rsidRPr="00362CE7" w:rsidRDefault="00BA6929" w:rsidP="00BA6929">
            <w:pPr>
              <w:autoSpaceDE w:val="0"/>
              <w:autoSpaceDN w:val="0"/>
              <w:adjustRightInd w:val="0"/>
              <w:jc w:val="left"/>
              <w:rPr>
                <w:rFonts w:ascii="黑体" w:eastAsia="黑体" w:hAnsi="黑体" w:cs="黑体"/>
                <w:b/>
                <w:kern w:val="0"/>
                <w:szCs w:val="21"/>
                <w:u w:val="single"/>
              </w:rPr>
            </w:pPr>
            <w:r w:rsidRPr="00362CE7">
              <w:rPr>
                <w:rFonts w:ascii="黑体" w:eastAsia="黑体" w:hAnsi="黑体" w:cs="黑体" w:hint="eastAsia"/>
                <w:b/>
                <w:kern w:val="0"/>
                <w:szCs w:val="21"/>
              </w:rPr>
              <w:t>本产品成立日为</w:t>
            </w:r>
            <w:r w:rsidR="00CF4DE6" w:rsidRPr="00362CE7">
              <w:rPr>
                <w:rFonts w:ascii="黑体" w:eastAsia="黑体" w:hAnsi="黑体" w:cs="黑体"/>
                <w:b/>
                <w:bCs/>
                <w:kern w:val="0"/>
                <w:szCs w:val="21"/>
              </w:rPr>
              <w:t>202</w:t>
            </w:r>
            <w:r w:rsidR="007D311C" w:rsidRPr="00362CE7">
              <w:rPr>
                <w:rFonts w:ascii="黑体" w:eastAsia="黑体" w:hAnsi="黑体" w:cs="黑体"/>
                <w:b/>
                <w:bCs/>
                <w:kern w:val="0"/>
                <w:szCs w:val="21"/>
              </w:rPr>
              <w:t>3</w:t>
            </w:r>
            <w:r w:rsidR="00CF4DE6" w:rsidRPr="00362CE7">
              <w:rPr>
                <w:rFonts w:ascii="黑体" w:eastAsia="黑体" w:hAnsi="黑体" w:cs="黑体"/>
                <w:b/>
                <w:bCs/>
                <w:kern w:val="0"/>
                <w:szCs w:val="21"/>
              </w:rPr>
              <w:t>/</w:t>
            </w:r>
            <w:r w:rsidR="007D311C" w:rsidRPr="00362CE7">
              <w:rPr>
                <w:rFonts w:ascii="黑体" w:eastAsia="黑体" w:hAnsi="黑体" w:cs="黑体"/>
                <w:b/>
                <w:bCs/>
                <w:kern w:val="0"/>
                <w:szCs w:val="21"/>
              </w:rPr>
              <w:t>4</w:t>
            </w:r>
            <w:r w:rsidR="00CF4DE6" w:rsidRPr="00362CE7">
              <w:rPr>
                <w:rFonts w:ascii="黑体" w:eastAsia="黑体" w:hAnsi="黑体" w:cs="黑体"/>
                <w:b/>
                <w:bCs/>
                <w:kern w:val="0"/>
                <w:szCs w:val="21"/>
              </w:rPr>
              <w:t>/</w:t>
            </w:r>
            <w:r w:rsidR="007D311C" w:rsidRPr="00362CE7">
              <w:rPr>
                <w:rFonts w:ascii="黑体" w:eastAsia="黑体" w:hAnsi="黑体" w:cs="黑体"/>
                <w:b/>
                <w:bCs/>
                <w:kern w:val="0"/>
                <w:szCs w:val="21"/>
              </w:rPr>
              <w:t>4</w:t>
            </w:r>
          </w:p>
          <w:p w14:paraId="4F6963F8" w14:textId="32F6A1FA" w:rsidR="000E7012" w:rsidRPr="00362CE7" w:rsidRDefault="00A93C14" w:rsidP="005F08B9">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lastRenderedPageBreak/>
              <w:t>1、</w:t>
            </w:r>
            <w:r w:rsidR="00BA6929" w:rsidRPr="00362CE7">
              <w:rPr>
                <w:rFonts w:ascii="黑体" w:eastAsia="黑体" w:hAnsi="黑体" w:cs="黑体" w:hint="eastAsia"/>
                <w:kern w:val="0"/>
                <w:szCs w:val="21"/>
              </w:rPr>
              <w:t>为保护</w:t>
            </w:r>
            <w:r w:rsidR="00EE3992" w:rsidRPr="00362CE7">
              <w:rPr>
                <w:rFonts w:ascii="黑体" w:eastAsia="黑体" w:hAnsi="黑体" w:cs="黑体" w:hint="eastAsia"/>
                <w:kern w:val="0"/>
                <w:szCs w:val="21"/>
              </w:rPr>
              <w:t>投资者</w:t>
            </w:r>
            <w:r w:rsidR="005F08B9" w:rsidRPr="00362CE7">
              <w:rPr>
                <w:rFonts w:ascii="黑体" w:eastAsia="黑体" w:hAnsi="黑体" w:cs="黑体" w:hint="eastAsia"/>
                <w:kern w:val="0"/>
                <w:szCs w:val="21"/>
              </w:rPr>
              <w:t>权益</w:t>
            </w:r>
            <w:r w:rsidR="00BA6929" w:rsidRPr="00362CE7">
              <w:rPr>
                <w:rFonts w:ascii="黑体" w:eastAsia="黑体" w:hAnsi="黑体" w:cs="黑体" w:hint="eastAsia"/>
                <w:kern w:val="0"/>
                <w:szCs w:val="21"/>
              </w:rPr>
              <w:t>，</w:t>
            </w:r>
            <w:r w:rsidR="007A60D4" w:rsidRPr="00362CE7">
              <w:rPr>
                <w:rFonts w:ascii="黑体" w:eastAsia="黑体" w:hAnsi="黑体" w:cs="黑体" w:hint="eastAsia"/>
                <w:kern w:val="0"/>
                <w:szCs w:val="21"/>
              </w:rPr>
              <w:t>产品</w:t>
            </w:r>
            <w:r w:rsidR="007A60D4" w:rsidRPr="00362CE7">
              <w:rPr>
                <w:rFonts w:ascii="黑体" w:eastAsia="黑体" w:hAnsi="黑体" w:cs="黑体"/>
                <w:kern w:val="0"/>
                <w:szCs w:val="21"/>
              </w:rPr>
              <w:t>管理人</w:t>
            </w:r>
            <w:r w:rsidR="00BA6929" w:rsidRPr="00362CE7">
              <w:rPr>
                <w:rFonts w:ascii="黑体" w:eastAsia="黑体" w:hAnsi="黑体" w:cs="黑体" w:hint="eastAsia"/>
                <w:kern w:val="0"/>
                <w:szCs w:val="21"/>
              </w:rPr>
              <w:t>可根据市场变化情况缩短或延长募集期并提前或推迟成立，</w:t>
            </w:r>
            <w:r w:rsidR="007A60D4" w:rsidRPr="00362CE7">
              <w:rPr>
                <w:rFonts w:ascii="黑体" w:eastAsia="黑体" w:hAnsi="黑体" w:cs="黑体" w:hint="eastAsia"/>
                <w:kern w:val="0"/>
                <w:szCs w:val="21"/>
              </w:rPr>
              <w:t>届时</w:t>
            </w:r>
            <w:r w:rsidR="007A60D4" w:rsidRPr="00362CE7">
              <w:rPr>
                <w:rFonts w:ascii="黑体" w:eastAsia="黑体" w:hAnsi="黑体" w:cs="黑体"/>
                <w:kern w:val="0"/>
                <w:szCs w:val="21"/>
              </w:rPr>
              <w:t>产品管理人</w:t>
            </w:r>
            <w:r w:rsidR="00BA6929" w:rsidRPr="00362CE7">
              <w:rPr>
                <w:rFonts w:ascii="黑体" w:eastAsia="黑体" w:hAnsi="黑体" w:cs="黑体" w:hint="eastAsia"/>
                <w:kern w:val="0"/>
                <w:szCs w:val="21"/>
              </w:rPr>
              <w:t>将调整相关日期并进行信息披露。</w:t>
            </w:r>
          </w:p>
          <w:p w14:paraId="26006BD5" w14:textId="4589CFAE" w:rsidR="009E4D88" w:rsidRPr="00362CE7" w:rsidRDefault="00A93C14" w:rsidP="005F08B9">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2、</w:t>
            </w:r>
            <w:r w:rsidR="00AA2EAD" w:rsidRPr="00362CE7">
              <w:rPr>
                <w:rFonts w:ascii="黑体" w:eastAsia="黑体" w:hAnsi="黑体" w:cs="黑体" w:hint="eastAsia"/>
                <w:kern w:val="0"/>
                <w:szCs w:val="21"/>
              </w:rPr>
              <w:t>若</w:t>
            </w:r>
            <w:r w:rsidR="00AA2EAD" w:rsidRPr="00362CE7">
              <w:rPr>
                <w:rFonts w:ascii="黑体" w:eastAsia="黑体" w:hAnsi="黑体" w:cs="黑体"/>
                <w:kern w:val="0"/>
                <w:szCs w:val="21"/>
              </w:rPr>
              <w:t>产品认购份额未达到最低成立规模，或</w:t>
            </w:r>
            <w:r w:rsidR="00BB3D66" w:rsidRPr="00362CE7">
              <w:rPr>
                <w:rFonts w:ascii="黑体" w:eastAsia="黑体" w:hAnsi="黑体" w:cs="宋体" w:hint="eastAsia"/>
                <w:kern w:val="0"/>
                <w:szCs w:val="21"/>
              </w:rPr>
              <w:t>遇到包括但不限于国家金融政策</w:t>
            </w:r>
            <w:r w:rsidR="00D6463A" w:rsidRPr="00362CE7">
              <w:rPr>
                <w:rFonts w:ascii="黑体" w:eastAsia="黑体" w:hAnsi="黑体" w:cs="宋体" w:hint="eastAsia"/>
                <w:kern w:val="0"/>
                <w:szCs w:val="21"/>
              </w:rPr>
              <w:t>发生</w:t>
            </w:r>
            <w:r w:rsidR="00BB3D66" w:rsidRPr="00362CE7">
              <w:rPr>
                <w:rFonts w:ascii="黑体" w:eastAsia="黑体" w:hAnsi="黑体" w:cs="宋体" w:hint="eastAsia"/>
                <w:kern w:val="0"/>
                <w:szCs w:val="21"/>
              </w:rPr>
              <w:t>重大调整、金融市场发生重大波动、</w:t>
            </w:r>
            <w:r w:rsidR="00BB3D66" w:rsidRPr="00362CE7">
              <w:rPr>
                <w:rFonts w:ascii="黑体" w:eastAsia="黑体" w:hAnsi="黑体" w:cs="黑体"/>
                <w:kern w:val="0"/>
                <w:szCs w:val="21"/>
              </w:rPr>
              <w:t>不可抗力</w:t>
            </w:r>
            <w:r w:rsidR="00BB3D66" w:rsidRPr="00362CE7">
              <w:rPr>
                <w:rFonts w:ascii="黑体" w:eastAsia="黑体" w:hAnsi="黑体" w:cs="宋体" w:hint="eastAsia"/>
                <w:kern w:val="0"/>
                <w:szCs w:val="21"/>
              </w:rPr>
              <w:t>或产品管理人</w:t>
            </w:r>
            <w:r w:rsidR="00BB3D66" w:rsidRPr="00362CE7">
              <w:rPr>
                <w:rFonts w:ascii="黑体" w:eastAsia="黑体" w:hAnsi="黑体" w:cs="黑体" w:hint="eastAsia"/>
                <w:kern w:val="0"/>
                <w:szCs w:val="21"/>
              </w:rPr>
              <w:t>认为会</w:t>
            </w:r>
            <w:r w:rsidR="00AA2EAD" w:rsidRPr="00362CE7">
              <w:rPr>
                <w:rFonts w:ascii="黑体" w:eastAsia="黑体" w:hAnsi="黑体" w:cs="黑体" w:hint="eastAsia"/>
                <w:kern w:val="0"/>
                <w:szCs w:val="21"/>
              </w:rPr>
              <w:t>影响</w:t>
            </w:r>
            <w:r w:rsidR="00AA2EAD" w:rsidRPr="00362CE7">
              <w:rPr>
                <w:rFonts w:ascii="黑体" w:eastAsia="黑体" w:hAnsi="黑体" w:cs="黑体"/>
                <w:kern w:val="0"/>
                <w:szCs w:val="21"/>
              </w:rPr>
              <w:t>产品成立</w:t>
            </w:r>
            <w:r w:rsidR="00BB3D66" w:rsidRPr="00362CE7">
              <w:rPr>
                <w:rFonts w:ascii="黑体" w:eastAsia="黑体" w:hAnsi="黑体" w:cs="黑体" w:hint="eastAsia"/>
                <w:kern w:val="0"/>
                <w:szCs w:val="21"/>
              </w:rPr>
              <w:t>的</w:t>
            </w:r>
            <w:r w:rsidR="005E3E65" w:rsidRPr="00362CE7">
              <w:rPr>
                <w:rFonts w:ascii="黑体" w:eastAsia="黑体" w:hAnsi="黑体" w:cs="黑体" w:hint="eastAsia"/>
                <w:kern w:val="0"/>
                <w:szCs w:val="21"/>
              </w:rPr>
              <w:t>其他</w:t>
            </w:r>
            <w:r w:rsidR="00BB3D66" w:rsidRPr="00362CE7">
              <w:rPr>
                <w:rFonts w:ascii="黑体" w:eastAsia="黑体" w:hAnsi="黑体" w:cs="黑体" w:hint="eastAsia"/>
                <w:kern w:val="0"/>
                <w:szCs w:val="21"/>
              </w:rPr>
              <w:t>因素时</w:t>
            </w:r>
            <w:r w:rsidR="00AA2EAD" w:rsidRPr="00362CE7">
              <w:rPr>
                <w:rFonts w:ascii="黑体" w:eastAsia="黑体" w:hAnsi="黑体" w:cs="黑体"/>
                <w:kern w:val="0"/>
                <w:szCs w:val="21"/>
              </w:rPr>
              <w:t>，</w:t>
            </w:r>
            <w:r w:rsidR="00AA2EAD" w:rsidRPr="00362CE7">
              <w:rPr>
                <w:rFonts w:ascii="黑体" w:eastAsia="黑体" w:hAnsi="黑体" w:cs="黑体" w:hint="eastAsia"/>
                <w:kern w:val="0"/>
                <w:szCs w:val="21"/>
              </w:rPr>
              <w:t>产品管理人可以</w:t>
            </w:r>
            <w:r w:rsidR="00AA2EAD" w:rsidRPr="00362CE7">
              <w:rPr>
                <w:rFonts w:ascii="黑体" w:eastAsia="黑体" w:hAnsi="黑体" w:cs="黑体"/>
                <w:kern w:val="0"/>
                <w:szCs w:val="21"/>
              </w:rPr>
              <w:t>宣布产品不成立，</w:t>
            </w:r>
            <w:r w:rsidR="00EE3992" w:rsidRPr="00362CE7">
              <w:rPr>
                <w:rFonts w:ascii="黑体" w:eastAsia="黑体" w:hAnsi="黑体" w:cs="黑体"/>
                <w:kern w:val="0"/>
                <w:szCs w:val="21"/>
              </w:rPr>
              <w:t>投资者</w:t>
            </w:r>
            <w:r w:rsidR="004A65C8" w:rsidRPr="00362CE7">
              <w:rPr>
                <w:rFonts w:ascii="黑体" w:eastAsia="黑体" w:hAnsi="黑体" w:cs="黑体"/>
                <w:kern w:val="0"/>
                <w:szCs w:val="21"/>
              </w:rPr>
              <w:t>认购资金</w:t>
            </w:r>
            <w:r w:rsidR="004A65C8" w:rsidRPr="00362CE7">
              <w:rPr>
                <w:rFonts w:ascii="黑体" w:eastAsia="黑体" w:hAnsi="黑体" w:cs="黑体" w:hint="eastAsia"/>
                <w:kern w:val="0"/>
                <w:szCs w:val="21"/>
              </w:rPr>
              <w:t>将</w:t>
            </w:r>
            <w:r w:rsidR="00AA2EAD" w:rsidRPr="00362CE7">
              <w:rPr>
                <w:rFonts w:ascii="黑体" w:eastAsia="黑体" w:hAnsi="黑体" w:cs="黑体"/>
                <w:kern w:val="0"/>
                <w:szCs w:val="21"/>
              </w:rPr>
              <w:t>于产品</w:t>
            </w:r>
            <w:r w:rsidR="00E84418" w:rsidRPr="00362CE7">
              <w:rPr>
                <w:rFonts w:ascii="黑体" w:eastAsia="黑体" w:hAnsi="黑体" w:cs="黑体" w:hint="eastAsia"/>
                <w:kern w:val="0"/>
                <w:szCs w:val="21"/>
              </w:rPr>
              <w:t>募集</w:t>
            </w:r>
            <w:r w:rsidR="00AA2EAD" w:rsidRPr="00362CE7">
              <w:rPr>
                <w:rFonts w:ascii="黑体" w:eastAsia="黑体" w:hAnsi="黑体" w:cs="黑体"/>
                <w:kern w:val="0"/>
                <w:szCs w:val="21"/>
              </w:rPr>
              <w:t>期结束后</w:t>
            </w:r>
            <w:r w:rsidR="00D53A34" w:rsidRPr="00362CE7">
              <w:rPr>
                <w:rFonts w:ascii="黑体" w:eastAsia="黑体" w:hAnsi="黑体" w:cs="黑体" w:hint="eastAsia"/>
                <w:kern w:val="0"/>
                <w:szCs w:val="21"/>
              </w:rPr>
              <w:t>5个</w:t>
            </w:r>
            <w:r w:rsidR="00AA2EAD" w:rsidRPr="00362CE7">
              <w:rPr>
                <w:rFonts w:ascii="黑体" w:eastAsia="黑体" w:hAnsi="黑体" w:cs="黑体"/>
                <w:kern w:val="0"/>
                <w:szCs w:val="21"/>
              </w:rPr>
              <w:t>工作日内</w:t>
            </w:r>
            <w:r w:rsidR="00AA2EAD" w:rsidRPr="00362CE7">
              <w:rPr>
                <w:rFonts w:ascii="黑体" w:eastAsia="黑体" w:hAnsi="黑体" w:cs="黑体" w:hint="eastAsia"/>
                <w:kern w:val="0"/>
                <w:szCs w:val="21"/>
              </w:rPr>
              <w:t>解冻</w:t>
            </w:r>
            <w:r w:rsidR="00AA2EAD" w:rsidRPr="00362CE7">
              <w:rPr>
                <w:rFonts w:ascii="黑体" w:eastAsia="黑体" w:hAnsi="黑体" w:cs="黑体"/>
                <w:kern w:val="0"/>
                <w:szCs w:val="21"/>
              </w:rPr>
              <w:t>或返还至</w:t>
            </w:r>
            <w:r w:rsidR="00EE3992" w:rsidRPr="00362CE7">
              <w:rPr>
                <w:rFonts w:ascii="黑体" w:eastAsia="黑体" w:hAnsi="黑体" w:cs="黑体"/>
                <w:kern w:val="0"/>
                <w:szCs w:val="21"/>
              </w:rPr>
              <w:t>投资者</w:t>
            </w:r>
            <w:r w:rsidR="00AA2EAD" w:rsidRPr="00362CE7">
              <w:rPr>
                <w:rFonts w:ascii="黑体" w:eastAsia="黑体" w:hAnsi="黑体" w:cs="黑体"/>
                <w:kern w:val="0"/>
                <w:szCs w:val="21"/>
              </w:rPr>
              <w:t>指定账户，在途期间</w:t>
            </w:r>
            <w:r w:rsidR="00EE3992" w:rsidRPr="00362CE7">
              <w:rPr>
                <w:rFonts w:ascii="黑体" w:eastAsia="黑体" w:hAnsi="黑体" w:cs="黑体"/>
                <w:kern w:val="0"/>
                <w:szCs w:val="21"/>
              </w:rPr>
              <w:t>投资者</w:t>
            </w:r>
            <w:r w:rsidR="00AA2EAD" w:rsidRPr="00362CE7">
              <w:rPr>
                <w:rFonts w:ascii="黑体" w:eastAsia="黑体" w:hAnsi="黑体" w:cs="黑体"/>
                <w:kern w:val="0"/>
                <w:szCs w:val="21"/>
              </w:rPr>
              <w:t>投资本金不计息。</w:t>
            </w:r>
          </w:p>
        </w:tc>
      </w:tr>
      <w:tr w:rsidR="000E7012" w:rsidRPr="00362CE7" w14:paraId="6C10D66F" w14:textId="77777777" w:rsidTr="00643FED">
        <w:tc>
          <w:tcPr>
            <w:tcW w:w="1838" w:type="dxa"/>
            <w:vAlign w:val="center"/>
          </w:tcPr>
          <w:p w14:paraId="4F52A508" w14:textId="77777777" w:rsidR="000E7012" w:rsidRPr="00362CE7" w:rsidRDefault="000E7012"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lastRenderedPageBreak/>
              <w:t>产品</w:t>
            </w:r>
            <w:r w:rsidRPr="00362CE7">
              <w:rPr>
                <w:rFonts w:ascii="黑体" w:eastAsia="黑体" w:hAnsi="黑体" w:cs="黑体"/>
                <w:kern w:val="0"/>
                <w:szCs w:val="21"/>
              </w:rPr>
              <w:t>到期</w:t>
            </w:r>
            <w:r w:rsidRPr="00362CE7">
              <w:rPr>
                <w:rFonts w:ascii="黑体" w:eastAsia="黑体" w:hAnsi="黑体" w:cs="黑体" w:hint="eastAsia"/>
                <w:kern w:val="0"/>
                <w:szCs w:val="21"/>
              </w:rPr>
              <w:t>日</w:t>
            </w:r>
          </w:p>
        </w:tc>
        <w:tc>
          <w:tcPr>
            <w:tcW w:w="6458" w:type="dxa"/>
          </w:tcPr>
          <w:p w14:paraId="54DEEBDA" w14:textId="77777777" w:rsidR="002E079E" w:rsidRPr="00362CE7" w:rsidRDefault="002E079E" w:rsidP="002E079E">
            <w:pPr>
              <w:autoSpaceDE w:val="0"/>
              <w:autoSpaceDN w:val="0"/>
              <w:adjustRightInd w:val="0"/>
              <w:jc w:val="left"/>
              <w:rPr>
                <w:rFonts w:ascii="黑体" w:eastAsia="黑体" w:hAnsi="黑体" w:cs="黑体"/>
                <w:b/>
                <w:kern w:val="0"/>
                <w:szCs w:val="21"/>
              </w:rPr>
            </w:pPr>
            <w:r w:rsidRPr="00362CE7">
              <w:rPr>
                <w:rFonts w:ascii="黑体" w:eastAsia="黑体" w:hAnsi="黑体" w:cs="黑体"/>
                <w:b/>
                <w:kern w:val="0"/>
                <w:szCs w:val="21"/>
              </w:rPr>
              <w:t>2050/12/31</w:t>
            </w:r>
          </w:p>
          <w:p w14:paraId="3091FFD8" w14:textId="36E40304" w:rsidR="000E7012" w:rsidRPr="00362CE7" w:rsidRDefault="00643FED" w:rsidP="00716AC6">
            <w:pPr>
              <w:autoSpaceDE w:val="0"/>
              <w:autoSpaceDN w:val="0"/>
              <w:adjustRightInd w:val="0"/>
              <w:jc w:val="left"/>
              <w:rPr>
                <w:rFonts w:ascii="黑体" w:eastAsia="黑体" w:hAnsi="黑体" w:cs="黑体"/>
                <w:kern w:val="0"/>
                <w:szCs w:val="21"/>
              </w:rPr>
            </w:pPr>
            <w:r w:rsidRPr="00362CE7">
              <w:rPr>
                <w:rFonts w:ascii="黑体" w:eastAsia="黑体" w:hAnsi="黑体" w:cs="黑体" w:hint="eastAsia"/>
                <w:b/>
                <w:kern w:val="0"/>
                <w:szCs w:val="21"/>
              </w:rPr>
              <w:t>产品</w:t>
            </w:r>
            <w:r w:rsidRPr="00362CE7">
              <w:rPr>
                <w:rFonts w:ascii="黑体" w:eastAsia="黑体" w:hAnsi="黑体" w:cs="黑体"/>
                <w:b/>
                <w:kern w:val="0"/>
                <w:szCs w:val="21"/>
              </w:rPr>
              <w:t>成立日</w:t>
            </w:r>
            <w:r w:rsidRPr="00362CE7">
              <w:rPr>
                <w:rFonts w:ascii="黑体" w:eastAsia="黑体" w:hAnsi="黑体" w:cs="黑体" w:hint="eastAsia"/>
                <w:b/>
                <w:kern w:val="0"/>
                <w:szCs w:val="21"/>
              </w:rPr>
              <w:t>至</w:t>
            </w:r>
            <w:r w:rsidRPr="00362CE7">
              <w:rPr>
                <w:rFonts w:ascii="黑体" w:eastAsia="黑体" w:hAnsi="黑体" w:cs="黑体"/>
                <w:b/>
                <w:kern w:val="0"/>
                <w:szCs w:val="21"/>
              </w:rPr>
              <w:t>产品到期日</w:t>
            </w:r>
            <w:r w:rsidRPr="00362CE7">
              <w:rPr>
                <w:rFonts w:ascii="黑体" w:eastAsia="黑体" w:hAnsi="黑体" w:cs="黑体" w:hint="eastAsia"/>
                <w:b/>
                <w:kern w:val="0"/>
                <w:szCs w:val="21"/>
              </w:rPr>
              <w:t>期</w:t>
            </w:r>
            <w:r w:rsidRPr="00362CE7">
              <w:rPr>
                <w:rFonts w:ascii="黑体" w:eastAsia="黑体" w:hAnsi="黑体" w:cs="黑体"/>
                <w:b/>
                <w:kern w:val="0"/>
                <w:szCs w:val="21"/>
              </w:rPr>
              <w:t>间为产品存续期。</w:t>
            </w:r>
            <w:r w:rsidR="00690119" w:rsidRPr="00362CE7">
              <w:rPr>
                <w:rFonts w:ascii="黑体" w:eastAsia="黑体" w:hAnsi="黑体" w:cs="黑体" w:hint="eastAsia"/>
                <w:b/>
                <w:kern w:val="0"/>
                <w:szCs w:val="21"/>
              </w:rPr>
              <w:t>详见</w:t>
            </w:r>
            <w:r w:rsidR="00690119" w:rsidRPr="00362CE7">
              <w:rPr>
                <w:rFonts w:ascii="黑体" w:eastAsia="黑体" w:hAnsi="黑体" w:cs="黑体"/>
                <w:b/>
                <w:kern w:val="0"/>
                <w:szCs w:val="21"/>
              </w:rPr>
              <w:t>本说明书第</w:t>
            </w:r>
            <w:r w:rsidR="00690119" w:rsidRPr="00362CE7">
              <w:rPr>
                <w:rFonts w:ascii="黑体" w:eastAsia="黑体" w:hAnsi="黑体" w:cs="黑体" w:hint="eastAsia"/>
                <w:b/>
                <w:kern w:val="0"/>
                <w:szCs w:val="21"/>
              </w:rPr>
              <w:t>七</w:t>
            </w:r>
            <w:r w:rsidR="00690119" w:rsidRPr="00362CE7">
              <w:rPr>
                <w:rFonts w:ascii="黑体" w:eastAsia="黑体" w:hAnsi="黑体" w:cs="黑体"/>
                <w:b/>
                <w:kern w:val="0"/>
                <w:szCs w:val="21"/>
              </w:rPr>
              <w:t>部分</w:t>
            </w:r>
            <w:r w:rsidR="0066564A" w:rsidRPr="00362CE7">
              <w:rPr>
                <w:rFonts w:ascii="黑体" w:eastAsia="黑体" w:hAnsi="黑体" w:cs="黑体" w:hint="eastAsia"/>
                <w:b/>
                <w:bCs/>
                <w:kern w:val="0"/>
                <w:szCs w:val="21"/>
              </w:rPr>
              <w:t>理财产品到期与</w:t>
            </w:r>
            <w:r w:rsidR="00690119" w:rsidRPr="00362CE7">
              <w:rPr>
                <w:rFonts w:ascii="黑体" w:eastAsia="黑体" w:hAnsi="黑体" w:cs="黑体" w:hint="eastAsia"/>
                <w:b/>
                <w:bCs/>
                <w:kern w:val="0"/>
                <w:szCs w:val="21"/>
              </w:rPr>
              <w:t>终止</w:t>
            </w:r>
            <w:r w:rsidR="00690119" w:rsidRPr="00362CE7">
              <w:rPr>
                <w:rFonts w:ascii="黑体" w:eastAsia="黑体" w:hAnsi="黑体" w:cs="黑体"/>
                <w:b/>
                <w:kern w:val="0"/>
                <w:szCs w:val="21"/>
              </w:rPr>
              <w:t>。</w:t>
            </w:r>
          </w:p>
        </w:tc>
      </w:tr>
      <w:tr w:rsidR="003D111E" w:rsidRPr="00362CE7" w14:paraId="5B23DE19" w14:textId="77777777" w:rsidTr="00643FED">
        <w:tc>
          <w:tcPr>
            <w:tcW w:w="1838" w:type="dxa"/>
            <w:vAlign w:val="center"/>
          </w:tcPr>
          <w:p w14:paraId="5CFF5FC7" w14:textId="784B7716" w:rsidR="003D111E" w:rsidRPr="00362CE7" w:rsidRDefault="00070DF8" w:rsidP="00B700E6">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00D1678C" w:rsidRPr="00362CE7">
              <w:rPr>
                <w:rFonts w:ascii="黑体" w:eastAsia="黑体" w:hAnsi="黑体" w:cs="黑体" w:hint="eastAsia"/>
                <w:kern w:val="0"/>
                <w:szCs w:val="21"/>
              </w:rPr>
              <w:t>申购</w:t>
            </w:r>
            <w:r w:rsidR="00D1678C" w:rsidRPr="00362CE7">
              <w:rPr>
                <w:rFonts w:ascii="黑体" w:eastAsia="黑体" w:hAnsi="黑体" w:cs="黑体"/>
                <w:kern w:val="0"/>
                <w:szCs w:val="21"/>
              </w:rPr>
              <w:t>开放日</w:t>
            </w:r>
          </w:p>
        </w:tc>
        <w:tc>
          <w:tcPr>
            <w:tcW w:w="6458" w:type="dxa"/>
          </w:tcPr>
          <w:p w14:paraId="1C3D5068" w14:textId="7D320E1B" w:rsidR="002E079E" w:rsidRPr="00362CE7" w:rsidRDefault="002E079E" w:rsidP="002E079E">
            <w:pPr>
              <w:autoSpaceDE w:val="0"/>
              <w:autoSpaceDN w:val="0"/>
              <w:adjustRightInd w:val="0"/>
              <w:jc w:val="left"/>
              <w:rPr>
                <w:rFonts w:ascii="黑体" w:eastAsia="黑体" w:hAnsi="黑体" w:cs="黑体"/>
                <w:b/>
                <w:bCs/>
                <w:color w:val="000000" w:themeColor="text1"/>
                <w:kern w:val="0"/>
                <w:szCs w:val="21"/>
              </w:rPr>
            </w:pPr>
            <w:r w:rsidRPr="00362CE7">
              <w:rPr>
                <w:rFonts w:ascii="黑体" w:eastAsia="黑体" w:hAnsi="黑体" w:cs="黑体" w:hint="eastAsia"/>
                <w:b/>
                <w:bCs/>
                <w:kern w:val="0"/>
                <w:szCs w:val="21"/>
              </w:rPr>
              <w:t>产品存续期内，</w:t>
            </w:r>
            <w:r w:rsidRPr="00362CE7">
              <w:rPr>
                <w:rFonts w:ascii="黑体" w:eastAsia="黑体" w:hAnsi="黑体" w:cs="黑体" w:hint="eastAsia"/>
                <w:b/>
                <w:bCs/>
                <w:color w:val="000000" w:themeColor="text1"/>
                <w:kern w:val="0"/>
                <w:szCs w:val="21"/>
              </w:rPr>
              <w:t>每周二为申购确认日（如遇非工作日顺延），申购确认日前一工作日为申购开放日，每个产品申购开放日（含）至上一产品申购开放日（不含）为一个预约申购区间，投资者可以提交或撤销申购申请，申购交易申请在申购开放日统一处理，并于申购确认日进行确认。</w:t>
            </w:r>
          </w:p>
          <w:p w14:paraId="660EB20B" w14:textId="4D108604" w:rsidR="002E079E" w:rsidRPr="00362CE7" w:rsidRDefault="002E079E" w:rsidP="002E079E">
            <w:pPr>
              <w:autoSpaceDE w:val="0"/>
              <w:autoSpaceDN w:val="0"/>
              <w:adjustRightInd w:val="0"/>
              <w:rPr>
                <w:rFonts w:ascii="黑体" w:eastAsia="黑体" w:hAnsi="黑体" w:cs="黑体"/>
                <w:b/>
                <w:bCs/>
                <w:szCs w:val="21"/>
              </w:rPr>
            </w:pPr>
            <w:r w:rsidRPr="00362CE7">
              <w:rPr>
                <w:rFonts w:ascii="黑体" w:eastAsia="黑体" w:hAnsi="黑体" w:cs="黑体" w:hint="eastAsia"/>
                <w:b/>
                <w:bCs/>
                <w:szCs w:val="21"/>
              </w:rPr>
              <w:t>产品实际预约申</w:t>
            </w:r>
            <w:r w:rsidRPr="00362CE7">
              <w:rPr>
                <w:rFonts w:ascii="黑体" w:eastAsia="黑体" w:hAnsi="黑体" w:cs="黑体" w:hint="eastAsia"/>
                <w:b/>
                <w:bCs/>
                <w:color w:val="000000" w:themeColor="text1"/>
                <w:kern w:val="0"/>
                <w:szCs w:val="21"/>
              </w:rPr>
              <w:t>购</w:t>
            </w:r>
            <w:r w:rsidRPr="00362CE7">
              <w:rPr>
                <w:rFonts w:ascii="黑体" w:eastAsia="黑体" w:hAnsi="黑体" w:cs="黑体" w:hint="eastAsia"/>
                <w:b/>
                <w:bCs/>
                <w:szCs w:val="21"/>
              </w:rPr>
              <w:t>区间具体以销售渠道展示为准。</w:t>
            </w:r>
          </w:p>
          <w:p w14:paraId="3D96BED6" w14:textId="7742780D" w:rsidR="00E3482E" w:rsidRPr="00362CE7" w:rsidRDefault="002E079E" w:rsidP="002E079E">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bCs/>
                <w:color w:val="000000" w:themeColor="text1"/>
                <w:kern w:val="0"/>
                <w:szCs w:val="21"/>
              </w:rPr>
              <w:t>若遇特殊情况需调整申购开放日或预约申购区间的，管理人将在调整前</w:t>
            </w:r>
            <w:r w:rsidRPr="00362CE7">
              <w:rPr>
                <w:rFonts w:ascii="黑体" w:eastAsia="黑体" w:hAnsi="黑体" w:cs="黑体"/>
                <w:b/>
                <w:bCs/>
                <w:color w:val="000000" w:themeColor="text1"/>
                <w:kern w:val="0"/>
                <w:szCs w:val="21"/>
              </w:rPr>
              <w:t>3个工作日进行公告</w:t>
            </w:r>
            <w:r w:rsidRPr="00362CE7">
              <w:rPr>
                <w:rFonts w:ascii="黑体" w:eastAsia="黑体" w:hAnsi="黑体" w:cs="黑体" w:hint="eastAsia"/>
                <w:b/>
                <w:bCs/>
                <w:color w:val="000000" w:themeColor="text1"/>
                <w:kern w:val="0"/>
                <w:szCs w:val="21"/>
              </w:rPr>
              <w:t>。</w:t>
            </w:r>
          </w:p>
        </w:tc>
      </w:tr>
      <w:tr w:rsidR="00F50220" w:rsidRPr="00362CE7" w14:paraId="412C8322" w14:textId="77777777" w:rsidTr="00643FED">
        <w:tc>
          <w:tcPr>
            <w:tcW w:w="1838" w:type="dxa"/>
            <w:vAlign w:val="center"/>
          </w:tcPr>
          <w:p w14:paraId="51AEC69D" w14:textId="3D9ED52D" w:rsidR="00F50220" w:rsidRPr="00362CE7" w:rsidRDefault="00F50220" w:rsidP="00B700E6">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投资</w:t>
            </w:r>
            <w:r w:rsidRPr="00362CE7">
              <w:rPr>
                <w:rFonts w:ascii="黑体" w:eastAsia="黑体" w:hAnsi="黑体" w:cs="黑体"/>
                <w:kern w:val="0"/>
                <w:szCs w:val="21"/>
              </w:rPr>
              <w:t>周期终止日</w:t>
            </w:r>
          </w:p>
        </w:tc>
        <w:tc>
          <w:tcPr>
            <w:tcW w:w="6458" w:type="dxa"/>
          </w:tcPr>
          <w:p w14:paraId="43485BCC" w14:textId="07FA8A7F" w:rsidR="002E079E" w:rsidRPr="00362CE7" w:rsidRDefault="002E079E" w:rsidP="002E079E">
            <w:pPr>
              <w:autoSpaceDE w:val="0"/>
              <w:autoSpaceDN w:val="0"/>
              <w:adjustRightInd w:val="0"/>
              <w:rPr>
                <w:rFonts w:ascii="黑体" w:eastAsia="黑体" w:hAnsi="黑体" w:cs="黑体"/>
                <w:b/>
                <w:bCs/>
                <w:color w:val="000000" w:themeColor="text1"/>
                <w:kern w:val="0"/>
                <w:szCs w:val="21"/>
              </w:rPr>
            </w:pPr>
            <w:r w:rsidRPr="00362CE7">
              <w:rPr>
                <w:rFonts w:ascii="黑体" w:eastAsia="黑体" w:hAnsi="黑体" w:cs="黑体" w:hint="eastAsia"/>
                <w:b/>
                <w:bCs/>
                <w:color w:val="000000" w:themeColor="text1"/>
                <w:kern w:val="0"/>
                <w:szCs w:val="21"/>
              </w:rPr>
              <w:t>投资周期终止日</w:t>
            </w:r>
            <w:r w:rsidRPr="00362CE7">
              <w:rPr>
                <w:rFonts w:ascii="黑体" w:eastAsia="黑体" w:hAnsi="黑体" w:cs="黑体"/>
                <w:b/>
                <w:bCs/>
                <w:color w:val="000000" w:themeColor="text1"/>
                <w:kern w:val="0"/>
                <w:szCs w:val="21"/>
              </w:rPr>
              <w:t>=认购/申购确认日+7</w:t>
            </w:r>
            <w:r w:rsidRPr="00362CE7">
              <w:rPr>
                <w:rFonts w:ascii="黑体" w:eastAsia="黑体" w:hAnsi="黑体" w:cs="黑体" w:hint="eastAsia"/>
                <w:b/>
                <w:bCs/>
                <w:color w:val="000000" w:themeColor="text1"/>
                <w:kern w:val="0"/>
                <w:szCs w:val="21"/>
              </w:rPr>
              <w:t>天</w:t>
            </w:r>
          </w:p>
          <w:p w14:paraId="49F66944" w14:textId="5EBA8E0C" w:rsidR="002E079E" w:rsidRPr="00362CE7" w:rsidRDefault="002E079E" w:rsidP="002E079E">
            <w:pPr>
              <w:autoSpaceDE w:val="0"/>
              <w:autoSpaceDN w:val="0"/>
              <w:adjustRightInd w:val="0"/>
              <w:jc w:val="left"/>
              <w:rPr>
                <w:rFonts w:ascii="黑体" w:eastAsia="黑体" w:hAnsi="黑体" w:cs="黑体"/>
                <w:b/>
                <w:bCs/>
                <w:color w:val="000000" w:themeColor="text1"/>
                <w:kern w:val="0"/>
                <w:szCs w:val="21"/>
              </w:rPr>
            </w:pPr>
            <w:r w:rsidRPr="00362CE7">
              <w:rPr>
                <w:rFonts w:ascii="黑体" w:eastAsia="黑体" w:hAnsi="黑体" w:cs="黑体" w:hint="eastAsia"/>
                <w:b/>
                <w:bCs/>
                <w:color w:val="000000" w:themeColor="text1"/>
                <w:kern w:val="0"/>
                <w:szCs w:val="21"/>
              </w:rPr>
              <w:t>投资者认购</w:t>
            </w:r>
            <w:r w:rsidRPr="00362CE7">
              <w:rPr>
                <w:rFonts w:ascii="黑体" w:eastAsia="黑体" w:hAnsi="黑体" w:cs="黑体"/>
                <w:b/>
                <w:bCs/>
                <w:color w:val="000000" w:themeColor="text1"/>
                <w:kern w:val="0"/>
                <w:szCs w:val="21"/>
              </w:rPr>
              <w:t>/申购的每笔份额的投资周期为认购确认日/申购确认日</w:t>
            </w:r>
            <w:r w:rsidRPr="00362CE7">
              <w:rPr>
                <w:rFonts w:ascii="黑体" w:eastAsia="黑体" w:hAnsi="黑体" w:cs="黑体" w:hint="eastAsia"/>
                <w:b/>
                <w:bCs/>
                <w:color w:val="000000" w:themeColor="text1"/>
                <w:kern w:val="0"/>
                <w:szCs w:val="21"/>
              </w:rPr>
              <w:t>（含）</w:t>
            </w:r>
            <w:r w:rsidRPr="00362CE7">
              <w:rPr>
                <w:rFonts w:ascii="黑体" w:eastAsia="黑体" w:hAnsi="黑体" w:cs="黑体"/>
                <w:b/>
                <w:bCs/>
                <w:color w:val="000000" w:themeColor="text1"/>
                <w:kern w:val="0"/>
                <w:szCs w:val="21"/>
              </w:rPr>
              <w:t>至投资周期终止日（不含）的天数，本产品份额投资周期为7天，投资周期终止日份额自动到期。</w:t>
            </w:r>
          </w:p>
          <w:p w14:paraId="39064908" w14:textId="0D312C79" w:rsidR="00F50220" w:rsidRPr="00362CE7" w:rsidRDefault="002E079E" w:rsidP="002E079E">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bCs/>
                <w:color w:val="000000" w:themeColor="text1"/>
                <w:kern w:val="0"/>
                <w:szCs w:val="21"/>
              </w:rPr>
              <w:t>如遇非工作日，投资周期终止日顺延，每笔份额投资周期相应延长，若遇特殊情况具体以公告为准。</w:t>
            </w:r>
          </w:p>
        </w:tc>
      </w:tr>
      <w:tr w:rsidR="00473D12" w:rsidRPr="00362CE7" w14:paraId="3B2FCE97" w14:textId="77777777" w:rsidTr="00643FED">
        <w:tc>
          <w:tcPr>
            <w:tcW w:w="1838" w:type="dxa"/>
            <w:vAlign w:val="center"/>
          </w:tcPr>
          <w:p w14:paraId="1B21FFBD" w14:textId="4AA06629" w:rsidR="00473D12" w:rsidRPr="00362CE7" w:rsidRDefault="004E7E00" w:rsidP="006A1D1A">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认购</w:t>
            </w:r>
            <w:r w:rsidR="009725D5" w:rsidRPr="00362CE7">
              <w:rPr>
                <w:rFonts w:ascii="黑体" w:eastAsia="黑体" w:hAnsi="黑体" w:cs="黑体" w:hint="eastAsia"/>
                <w:kern w:val="0"/>
                <w:szCs w:val="21"/>
              </w:rPr>
              <w:t>、申购</w:t>
            </w:r>
            <w:r w:rsidR="00576573" w:rsidRPr="00362CE7">
              <w:rPr>
                <w:rFonts w:ascii="黑体" w:eastAsia="黑体" w:hAnsi="黑体" w:cs="黑体" w:hint="eastAsia"/>
                <w:kern w:val="0"/>
                <w:szCs w:val="21"/>
              </w:rPr>
              <w:t>及撤单</w:t>
            </w:r>
            <w:r w:rsidR="00473D12" w:rsidRPr="00362CE7">
              <w:rPr>
                <w:rFonts w:ascii="黑体" w:eastAsia="黑体" w:hAnsi="黑体" w:cs="黑体"/>
                <w:kern w:val="0"/>
                <w:szCs w:val="21"/>
              </w:rPr>
              <w:t>时间</w:t>
            </w:r>
          </w:p>
        </w:tc>
        <w:tc>
          <w:tcPr>
            <w:tcW w:w="6458" w:type="dxa"/>
          </w:tcPr>
          <w:p w14:paraId="2F892522" w14:textId="77777777" w:rsidR="002E079E" w:rsidRPr="00362CE7" w:rsidRDefault="002E079E" w:rsidP="002E079E">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产品募集期第一日8:30至最后一日17:30投资者可以提交或撤销认购申请；</w:t>
            </w:r>
          </w:p>
          <w:p w14:paraId="23B91584" w14:textId="77777777" w:rsidR="00473D12" w:rsidRPr="00362CE7" w:rsidRDefault="002E079E" w:rsidP="002E079E">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产品申购开放日（含）及预约申购区间中第一日8:30至最后一日17:30，投资者可以提交或撤销申购申请。</w:t>
            </w:r>
          </w:p>
          <w:p w14:paraId="025CBF9E" w14:textId="36325566" w:rsidR="002E079E" w:rsidRPr="00362CE7" w:rsidRDefault="002E079E" w:rsidP="002E079E">
            <w:pPr>
              <w:autoSpaceDE w:val="0"/>
              <w:autoSpaceDN w:val="0"/>
              <w:adjustRightInd w:val="0"/>
              <w:jc w:val="left"/>
              <w:rPr>
                <w:rFonts w:ascii="黑体" w:eastAsia="黑体" w:hAnsi="黑体" w:cs="宋体"/>
                <w:kern w:val="0"/>
                <w:szCs w:val="21"/>
              </w:rPr>
            </w:pPr>
            <w:r w:rsidRPr="00362CE7">
              <w:rPr>
                <w:rFonts w:ascii="黑体" w:eastAsia="黑体" w:hAnsi="黑体" w:cs="宋体" w:hint="eastAsia"/>
                <w:szCs w:val="21"/>
              </w:rPr>
              <w:t>产品实际认购、申购及撤单时间具体以销售机构展示为准。</w:t>
            </w:r>
          </w:p>
        </w:tc>
      </w:tr>
      <w:tr w:rsidR="00A479CF" w:rsidRPr="00362CE7" w14:paraId="7FB958AC" w14:textId="77777777" w:rsidTr="00643FED">
        <w:tc>
          <w:tcPr>
            <w:tcW w:w="1838" w:type="dxa"/>
            <w:vAlign w:val="center"/>
          </w:tcPr>
          <w:p w14:paraId="05BA2497" w14:textId="2A795716" w:rsidR="00A479CF" w:rsidRPr="00362CE7" w:rsidRDefault="00A479CF" w:rsidP="00643FED">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最低成立规模</w:t>
            </w:r>
          </w:p>
        </w:tc>
        <w:tc>
          <w:tcPr>
            <w:tcW w:w="6458" w:type="dxa"/>
          </w:tcPr>
          <w:p w14:paraId="511A79A4" w14:textId="2E0D270C" w:rsidR="00A479CF" w:rsidRPr="00362CE7" w:rsidRDefault="00757CB3" w:rsidP="00757CB3">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无</w:t>
            </w:r>
          </w:p>
        </w:tc>
      </w:tr>
      <w:tr w:rsidR="00A479CF" w:rsidRPr="00362CE7" w14:paraId="4F4DD698" w14:textId="77777777" w:rsidTr="00643FED">
        <w:tc>
          <w:tcPr>
            <w:tcW w:w="1838" w:type="dxa"/>
            <w:vAlign w:val="center"/>
          </w:tcPr>
          <w:p w14:paraId="0B2300F1" w14:textId="0C265C2C" w:rsidR="00A479CF" w:rsidRPr="00362CE7" w:rsidRDefault="00A479CF" w:rsidP="00643FED">
            <w:pPr>
              <w:autoSpaceDE w:val="0"/>
              <w:autoSpaceDN w:val="0"/>
              <w:adjustRightInd w:val="0"/>
              <w:rPr>
                <w:rFonts w:ascii="黑体" w:eastAsia="黑体" w:hAnsi="黑体" w:cs="黑体"/>
                <w:kern w:val="0"/>
                <w:szCs w:val="21"/>
              </w:rPr>
            </w:pPr>
            <w:r w:rsidRPr="00362CE7">
              <w:rPr>
                <w:rFonts w:ascii="黑体" w:eastAsia="黑体" w:hAnsi="黑体" w:cs="黑体"/>
                <w:kern w:val="0"/>
                <w:szCs w:val="21"/>
              </w:rPr>
              <w:t>产品规模上限</w:t>
            </w:r>
          </w:p>
        </w:tc>
        <w:tc>
          <w:tcPr>
            <w:tcW w:w="6458" w:type="dxa"/>
          </w:tcPr>
          <w:p w14:paraId="27536691" w14:textId="78505815" w:rsidR="007746CD" w:rsidRPr="00362CE7" w:rsidRDefault="007746CD" w:rsidP="007746CD">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产品</w:t>
            </w:r>
            <w:r w:rsidR="0073175F" w:rsidRPr="00362CE7">
              <w:rPr>
                <w:rFonts w:ascii="黑体" w:eastAsia="黑体" w:hAnsi="黑体" w:cs="黑体" w:hint="eastAsia"/>
                <w:b/>
                <w:kern w:val="0"/>
                <w:szCs w:val="21"/>
              </w:rPr>
              <w:t>募集期</w:t>
            </w:r>
            <w:r w:rsidRPr="00362CE7">
              <w:rPr>
                <w:rFonts w:ascii="黑体" w:eastAsia="黑体" w:hAnsi="黑体" w:cs="黑体" w:hint="eastAsia"/>
                <w:b/>
                <w:kern w:val="0"/>
                <w:szCs w:val="21"/>
              </w:rPr>
              <w:t>规模</w:t>
            </w:r>
            <w:r w:rsidRPr="00362CE7">
              <w:rPr>
                <w:rFonts w:ascii="黑体" w:eastAsia="黑体" w:hAnsi="黑体" w:cs="黑体"/>
                <w:b/>
                <w:kern w:val="0"/>
                <w:szCs w:val="21"/>
              </w:rPr>
              <w:t>上限为</w:t>
            </w:r>
            <w:r w:rsidR="000A4CD3" w:rsidRPr="00362CE7">
              <w:rPr>
                <w:rFonts w:ascii="黑体" w:eastAsia="黑体" w:hAnsi="黑体" w:cs="黑体"/>
                <w:b/>
                <w:kern w:val="0"/>
                <w:szCs w:val="21"/>
              </w:rPr>
              <w:t>1</w:t>
            </w:r>
            <w:r w:rsidR="000A4CD3" w:rsidRPr="00362CE7">
              <w:rPr>
                <w:rFonts w:ascii="黑体" w:eastAsia="黑体" w:hAnsi="黑体" w:cs="黑体" w:hint="eastAsia"/>
                <w:b/>
                <w:kern w:val="0"/>
                <w:szCs w:val="21"/>
              </w:rPr>
              <w:t>万元</w:t>
            </w:r>
          </w:p>
          <w:p w14:paraId="71D74EA0" w14:textId="25EF639B" w:rsidR="0073175F" w:rsidRPr="00362CE7" w:rsidRDefault="0073175F" w:rsidP="0073175F">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若募集期产品认购金额达到产品规模上限，则产品管理人有权停止产品的认购交易</w:t>
            </w:r>
            <w:r w:rsidR="00CA73D5" w:rsidRPr="00362CE7">
              <w:rPr>
                <w:rFonts w:ascii="黑体" w:eastAsia="黑体" w:hAnsi="黑体" w:cs="黑体" w:hint="eastAsia"/>
                <w:b/>
                <w:kern w:val="0"/>
                <w:szCs w:val="21"/>
              </w:rPr>
              <w:t>，对于超出产品规模上限的部分，产品管理人有权不进行确认</w:t>
            </w:r>
            <w:r w:rsidRPr="00362CE7">
              <w:rPr>
                <w:rFonts w:ascii="黑体" w:eastAsia="黑体" w:hAnsi="黑体" w:cs="黑体" w:hint="eastAsia"/>
                <w:b/>
                <w:kern w:val="0"/>
                <w:szCs w:val="21"/>
              </w:rPr>
              <w:t>。</w:t>
            </w:r>
          </w:p>
          <w:p w14:paraId="58E7CA6E" w14:textId="7EFE5C12" w:rsidR="00A479CF" w:rsidRPr="00362CE7" w:rsidRDefault="0073175F" w:rsidP="0073175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b/>
                <w:kern w:val="0"/>
                <w:szCs w:val="21"/>
              </w:rPr>
              <w:t>产品管理人有权根据产品实际运作情况调整产品存续期间的规模上限，具体以产品销售机构显示为准。</w:t>
            </w:r>
          </w:p>
        </w:tc>
      </w:tr>
      <w:tr w:rsidR="00757CB3" w:rsidRPr="00362CE7" w14:paraId="0FE4C1E9" w14:textId="77777777" w:rsidTr="00643FED">
        <w:tc>
          <w:tcPr>
            <w:tcW w:w="1838" w:type="dxa"/>
            <w:vAlign w:val="center"/>
          </w:tcPr>
          <w:p w14:paraId="713FF765" w14:textId="5A27C1CF" w:rsidR="00757CB3" w:rsidRPr="00362CE7" w:rsidRDefault="00757CB3" w:rsidP="00757CB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首次</w:t>
            </w:r>
            <w:r w:rsidRPr="00362CE7">
              <w:rPr>
                <w:rFonts w:ascii="黑体" w:eastAsia="黑体" w:hAnsi="黑体" w:cs="黑体"/>
                <w:kern w:val="0"/>
                <w:szCs w:val="21"/>
              </w:rPr>
              <w:t>购买起点金额</w:t>
            </w:r>
          </w:p>
        </w:tc>
        <w:tc>
          <w:tcPr>
            <w:tcW w:w="6458" w:type="dxa"/>
          </w:tcPr>
          <w:p w14:paraId="3E02E3AA" w14:textId="7FF6B605" w:rsidR="00757CB3" w:rsidRPr="00362CE7" w:rsidRDefault="00757CB3" w:rsidP="00757CB3">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个人投资者</w:t>
            </w:r>
            <w:r w:rsidRPr="00362CE7">
              <w:rPr>
                <w:rFonts w:ascii="黑体" w:eastAsia="黑体" w:hAnsi="黑体" w:cs="黑体"/>
                <w:kern w:val="0"/>
                <w:szCs w:val="21"/>
              </w:rPr>
              <w:t>1</w:t>
            </w:r>
            <w:r w:rsidRPr="00362CE7">
              <w:rPr>
                <w:rFonts w:ascii="黑体" w:eastAsia="黑体" w:hAnsi="黑体" w:cs="黑体" w:hint="eastAsia"/>
                <w:kern w:val="0"/>
                <w:szCs w:val="21"/>
              </w:rPr>
              <w:t>元起售（销售机构可以不低于上述标准设置起购金额，投资者购买本理财产品时以该销售机构最终要求为准）。</w:t>
            </w:r>
          </w:p>
        </w:tc>
      </w:tr>
      <w:tr w:rsidR="00757CB3" w:rsidRPr="00362CE7" w14:paraId="16334624" w14:textId="77777777" w:rsidTr="00643FED">
        <w:tc>
          <w:tcPr>
            <w:tcW w:w="1838" w:type="dxa"/>
            <w:vAlign w:val="center"/>
          </w:tcPr>
          <w:p w14:paraId="72092E5D" w14:textId="36AACE50" w:rsidR="00757CB3" w:rsidRPr="00362CE7" w:rsidRDefault="00757CB3" w:rsidP="00757CB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追加购买</w:t>
            </w:r>
            <w:r w:rsidRPr="00362CE7">
              <w:rPr>
                <w:rFonts w:ascii="黑体" w:eastAsia="黑体" w:hAnsi="黑体" w:cs="黑体"/>
                <w:kern w:val="0"/>
                <w:szCs w:val="21"/>
              </w:rPr>
              <w:t>金额</w:t>
            </w:r>
          </w:p>
        </w:tc>
        <w:tc>
          <w:tcPr>
            <w:tcW w:w="6458" w:type="dxa"/>
          </w:tcPr>
          <w:p w14:paraId="6544A9CF" w14:textId="03172FAF" w:rsidR="00757CB3" w:rsidRPr="00362CE7" w:rsidRDefault="00757CB3" w:rsidP="00757CB3">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追加金额以</w:t>
            </w:r>
            <w:r w:rsidRPr="00362CE7">
              <w:rPr>
                <w:rFonts w:ascii="黑体" w:eastAsia="黑体" w:hAnsi="黑体" w:cs="黑体"/>
                <w:kern w:val="0"/>
                <w:szCs w:val="21"/>
              </w:rPr>
              <w:t>1</w:t>
            </w:r>
            <w:r w:rsidRPr="00362CE7">
              <w:rPr>
                <w:rFonts w:ascii="黑体" w:eastAsia="黑体" w:hAnsi="黑体" w:cs="黑体" w:hint="eastAsia"/>
                <w:kern w:val="0"/>
                <w:szCs w:val="21"/>
              </w:rPr>
              <w:t>元整数倍增加，追加购买金额中不足</w:t>
            </w:r>
            <w:r w:rsidRPr="00362CE7">
              <w:rPr>
                <w:rFonts w:ascii="黑体" w:eastAsia="黑体" w:hAnsi="黑体" w:cs="黑体"/>
                <w:kern w:val="0"/>
                <w:szCs w:val="21"/>
              </w:rPr>
              <w:t>1</w:t>
            </w:r>
            <w:r w:rsidRPr="00362CE7">
              <w:rPr>
                <w:rFonts w:ascii="黑体" w:eastAsia="黑体" w:hAnsi="黑体" w:cs="黑体" w:hint="eastAsia"/>
                <w:kern w:val="0"/>
                <w:szCs w:val="21"/>
              </w:rPr>
              <w:t>元的部分，产品管理人有权不确认（销售机构可以不低于上述标准设置追加购买金额，投资者购买本理财产品时以该销售机构最终要求为准）。</w:t>
            </w:r>
          </w:p>
        </w:tc>
      </w:tr>
      <w:tr w:rsidR="0066799F" w:rsidRPr="00362CE7" w14:paraId="4F2DB1F5" w14:textId="77777777" w:rsidTr="00643FED">
        <w:tc>
          <w:tcPr>
            <w:tcW w:w="1838" w:type="dxa"/>
            <w:vAlign w:val="center"/>
          </w:tcPr>
          <w:p w14:paraId="605657D0" w14:textId="6BACA19B" w:rsidR="0066799F" w:rsidRPr="00362CE7" w:rsidRDefault="0066799F" w:rsidP="00A226A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单日单户</w:t>
            </w:r>
            <w:r w:rsidR="005D323A" w:rsidRPr="00362CE7">
              <w:rPr>
                <w:rFonts w:ascii="黑体" w:eastAsia="黑体" w:hAnsi="黑体" w:cs="黑体" w:hint="eastAsia"/>
                <w:kern w:val="0"/>
                <w:szCs w:val="21"/>
              </w:rPr>
              <w:t>购买</w:t>
            </w:r>
            <w:r w:rsidRPr="00362CE7">
              <w:rPr>
                <w:rFonts w:ascii="黑体" w:eastAsia="黑体" w:hAnsi="黑体" w:cs="黑体" w:hint="eastAsia"/>
                <w:kern w:val="0"/>
                <w:szCs w:val="21"/>
              </w:rPr>
              <w:t>限</w:t>
            </w:r>
            <w:r w:rsidRPr="00362CE7">
              <w:rPr>
                <w:rFonts w:ascii="黑体" w:eastAsia="黑体" w:hAnsi="黑体" w:cs="黑体" w:hint="eastAsia"/>
                <w:kern w:val="0"/>
                <w:szCs w:val="21"/>
              </w:rPr>
              <w:lastRenderedPageBreak/>
              <w:t>额</w:t>
            </w:r>
          </w:p>
        </w:tc>
        <w:tc>
          <w:tcPr>
            <w:tcW w:w="6458" w:type="dxa"/>
          </w:tcPr>
          <w:p w14:paraId="6B73A92A" w14:textId="2421B46F" w:rsidR="0066799F" w:rsidRPr="00362CE7" w:rsidRDefault="0066799F"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b/>
                <w:kern w:val="0"/>
                <w:szCs w:val="21"/>
              </w:rPr>
              <w:lastRenderedPageBreak/>
              <w:t>单个投资者对本产品</w:t>
            </w:r>
            <w:r w:rsidR="005D323A" w:rsidRPr="00362CE7">
              <w:rPr>
                <w:rFonts w:ascii="黑体" w:eastAsia="黑体" w:hAnsi="黑体" w:cs="黑体" w:hint="eastAsia"/>
                <w:b/>
                <w:kern w:val="0"/>
                <w:szCs w:val="21"/>
              </w:rPr>
              <w:t>单日购买</w:t>
            </w:r>
            <w:r w:rsidRPr="00362CE7">
              <w:rPr>
                <w:rFonts w:ascii="黑体" w:eastAsia="黑体" w:hAnsi="黑体" w:cs="黑体" w:hint="eastAsia"/>
                <w:b/>
                <w:kern w:val="0"/>
                <w:szCs w:val="21"/>
              </w:rPr>
              <w:t>上限为</w:t>
            </w:r>
            <w:r w:rsidR="00757CB3" w:rsidRPr="00362CE7">
              <w:rPr>
                <w:rFonts w:ascii="黑体" w:eastAsia="黑体" w:hAnsi="黑体" w:cs="黑体" w:hint="eastAsia"/>
                <w:b/>
                <w:bCs/>
                <w:kern w:val="0"/>
                <w:szCs w:val="21"/>
              </w:rPr>
              <w:t>无上限</w:t>
            </w:r>
            <w:r w:rsidRPr="00362CE7">
              <w:rPr>
                <w:rFonts w:ascii="黑体" w:eastAsia="黑体" w:hAnsi="黑体" w:cs="黑体" w:hint="eastAsia"/>
                <w:kern w:val="0"/>
                <w:szCs w:val="21"/>
              </w:rPr>
              <w:t>；若单个投资者在</w:t>
            </w:r>
            <w:r w:rsidR="005D323A" w:rsidRPr="00362CE7">
              <w:rPr>
                <w:rFonts w:ascii="黑体" w:eastAsia="黑体" w:hAnsi="黑体" w:cs="黑体" w:hint="eastAsia"/>
                <w:kern w:val="0"/>
                <w:szCs w:val="21"/>
              </w:rPr>
              <w:t>单日</w:t>
            </w:r>
            <w:r w:rsidR="005D323A" w:rsidRPr="00362CE7">
              <w:rPr>
                <w:rFonts w:ascii="黑体" w:eastAsia="黑体" w:hAnsi="黑体" w:cs="黑体" w:hint="eastAsia"/>
                <w:kern w:val="0"/>
                <w:szCs w:val="21"/>
              </w:rPr>
              <w:lastRenderedPageBreak/>
              <w:t>对本产品的购买金额达到上限的</w:t>
            </w:r>
            <w:r w:rsidRPr="00362CE7">
              <w:rPr>
                <w:rFonts w:ascii="黑体" w:eastAsia="黑体" w:hAnsi="黑体" w:cs="黑体" w:hint="eastAsia"/>
                <w:kern w:val="0"/>
                <w:szCs w:val="21"/>
              </w:rPr>
              <w:t>，产品管理人有权不再继续接受其</w:t>
            </w:r>
            <w:r w:rsidR="00C749C9" w:rsidRPr="00362CE7">
              <w:rPr>
                <w:rFonts w:ascii="黑体" w:eastAsia="黑体" w:hAnsi="黑体" w:cs="黑体" w:hint="eastAsia"/>
                <w:kern w:val="0"/>
                <w:szCs w:val="21"/>
              </w:rPr>
              <w:t>认</w:t>
            </w:r>
            <w:r w:rsidR="00542FA2" w:rsidRPr="00362CE7">
              <w:rPr>
                <w:rFonts w:ascii="黑体" w:eastAsia="黑体" w:hAnsi="黑体" w:cs="黑体" w:hint="eastAsia"/>
                <w:kern w:val="0"/>
                <w:szCs w:val="21"/>
              </w:rPr>
              <w:t>（申）</w:t>
            </w:r>
            <w:r w:rsidRPr="00362CE7">
              <w:rPr>
                <w:rFonts w:ascii="黑体" w:eastAsia="黑体" w:hAnsi="黑体" w:cs="黑体" w:hint="eastAsia"/>
                <w:kern w:val="0"/>
                <w:szCs w:val="21"/>
              </w:rPr>
              <w:t>购</w:t>
            </w:r>
            <w:r w:rsidR="00B700E6" w:rsidRPr="00362CE7">
              <w:rPr>
                <w:rFonts w:ascii="黑体" w:eastAsia="黑体" w:hAnsi="黑体" w:cs="黑体" w:hint="eastAsia"/>
                <w:kern w:val="0"/>
                <w:szCs w:val="21"/>
              </w:rPr>
              <w:t>。</w:t>
            </w:r>
          </w:p>
        </w:tc>
      </w:tr>
      <w:tr w:rsidR="0066799F" w:rsidRPr="00362CE7" w14:paraId="579B8F80" w14:textId="77777777" w:rsidTr="00643FED">
        <w:tc>
          <w:tcPr>
            <w:tcW w:w="1838" w:type="dxa"/>
            <w:vAlign w:val="center"/>
          </w:tcPr>
          <w:p w14:paraId="0D736112" w14:textId="001544D3"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lastRenderedPageBreak/>
              <w:t>单户</w:t>
            </w:r>
            <w:r w:rsidRPr="00362CE7">
              <w:rPr>
                <w:rFonts w:ascii="黑体" w:eastAsia="黑体" w:hAnsi="黑体" w:cs="黑体"/>
                <w:kern w:val="0"/>
                <w:szCs w:val="21"/>
              </w:rPr>
              <w:t>限额</w:t>
            </w:r>
          </w:p>
        </w:tc>
        <w:tc>
          <w:tcPr>
            <w:tcW w:w="6458" w:type="dxa"/>
          </w:tcPr>
          <w:p w14:paraId="4C8BEFF9" w14:textId="4BDC1444" w:rsidR="00643A5F" w:rsidRPr="00362CE7" w:rsidRDefault="0066799F" w:rsidP="00757CB3">
            <w:pPr>
              <w:widowControl/>
              <w:jc w:val="left"/>
              <w:rPr>
                <w:rFonts w:ascii="黑体" w:eastAsia="黑体" w:hAnsi="黑体" w:cs="黑体"/>
                <w:b/>
                <w:bCs/>
                <w:kern w:val="0"/>
                <w:szCs w:val="21"/>
              </w:rPr>
            </w:pPr>
            <w:r w:rsidRPr="00362CE7">
              <w:rPr>
                <w:rFonts w:ascii="黑体" w:eastAsia="黑体" w:hAnsi="黑体" w:cs="黑体" w:hint="eastAsia"/>
                <w:kern w:val="0"/>
                <w:szCs w:val="21"/>
              </w:rPr>
              <w:t>1、</w:t>
            </w:r>
            <w:r w:rsidRPr="00362CE7">
              <w:rPr>
                <w:rFonts w:ascii="黑体" w:eastAsia="黑体" w:hAnsi="黑体" w:cs="黑体"/>
                <w:b/>
                <w:kern w:val="0"/>
                <w:szCs w:val="21"/>
              </w:rPr>
              <w:t>单</w:t>
            </w:r>
            <w:r w:rsidRPr="00362CE7">
              <w:rPr>
                <w:rFonts w:ascii="黑体" w:eastAsia="黑体" w:hAnsi="黑体" w:cs="黑体" w:hint="eastAsia"/>
                <w:b/>
                <w:kern w:val="0"/>
                <w:szCs w:val="21"/>
              </w:rPr>
              <w:t>个</w:t>
            </w:r>
            <w:r w:rsidRPr="00362CE7">
              <w:rPr>
                <w:rFonts w:ascii="黑体" w:eastAsia="黑体" w:hAnsi="黑体" w:cs="黑体"/>
                <w:b/>
                <w:kern w:val="0"/>
                <w:szCs w:val="21"/>
              </w:rPr>
              <w:t>投资者</w:t>
            </w:r>
            <w:r w:rsidRPr="00362CE7">
              <w:rPr>
                <w:rFonts w:ascii="黑体" w:eastAsia="黑体" w:hAnsi="黑体" w:cs="黑体" w:hint="eastAsia"/>
                <w:b/>
                <w:kern w:val="0"/>
                <w:szCs w:val="21"/>
              </w:rPr>
              <w:t>对</w:t>
            </w:r>
            <w:r w:rsidRPr="00362CE7">
              <w:rPr>
                <w:rFonts w:ascii="黑体" w:eastAsia="黑体" w:hAnsi="黑体" w:cs="黑体"/>
                <w:b/>
                <w:kern w:val="0"/>
                <w:szCs w:val="21"/>
              </w:rPr>
              <w:t>本产品</w:t>
            </w:r>
            <w:r w:rsidRPr="00362CE7">
              <w:rPr>
                <w:rFonts w:ascii="黑体" w:eastAsia="黑体" w:hAnsi="黑体" w:cs="黑体" w:hint="eastAsia"/>
                <w:b/>
                <w:kern w:val="0"/>
                <w:szCs w:val="21"/>
              </w:rPr>
              <w:t>持有</w:t>
            </w:r>
            <w:r w:rsidRPr="00362CE7">
              <w:rPr>
                <w:rFonts w:ascii="黑体" w:eastAsia="黑体" w:hAnsi="黑体" w:cs="黑体"/>
                <w:b/>
                <w:kern w:val="0"/>
                <w:szCs w:val="21"/>
              </w:rPr>
              <w:t>金额上限为</w:t>
            </w:r>
            <w:r w:rsidR="00757CB3" w:rsidRPr="00362CE7">
              <w:rPr>
                <w:rFonts w:ascii="黑体" w:eastAsia="黑体" w:hAnsi="黑体" w:cs="黑体" w:hint="eastAsia"/>
                <w:b/>
                <w:bCs/>
                <w:kern w:val="0"/>
                <w:szCs w:val="21"/>
              </w:rPr>
              <w:t>个人投资者无上限</w:t>
            </w:r>
            <w:r w:rsidRPr="00362CE7">
              <w:rPr>
                <w:rFonts w:ascii="黑体" w:eastAsia="黑体" w:hAnsi="黑体" w:cs="黑体" w:hint="eastAsia"/>
                <w:kern w:val="0"/>
                <w:szCs w:val="21"/>
              </w:rPr>
              <w:t>；若</w:t>
            </w:r>
            <w:r w:rsidRPr="00362CE7">
              <w:rPr>
                <w:rFonts w:ascii="黑体" w:eastAsia="黑体" w:hAnsi="黑体" w:cs="黑体"/>
                <w:kern w:val="0"/>
                <w:szCs w:val="21"/>
              </w:rPr>
              <w:t>单个投资者</w:t>
            </w:r>
            <w:r w:rsidRPr="00362CE7">
              <w:rPr>
                <w:rFonts w:ascii="黑体" w:eastAsia="黑体" w:hAnsi="黑体" w:cs="黑体" w:hint="eastAsia"/>
                <w:kern w:val="0"/>
                <w:szCs w:val="21"/>
              </w:rPr>
              <w:t>对</w:t>
            </w:r>
            <w:r w:rsidRPr="00362CE7">
              <w:rPr>
                <w:rFonts w:ascii="黑体" w:eastAsia="黑体" w:hAnsi="黑体" w:cs="黑体"/>
                <w:kern w:val="0"/>
                <w:szCs w:val="21"/>
              </w:rPr>
              <w:t>本产品</w:t>
            </w:r>
            <w:r w:rsidRPr="00362CE7">
              <w:rPr>
                <w:rFonts w:ascii="黑体" w:eastAsia="黑体" w:hAnsi="黑体" w:cs="黑体" w:hint="eastAsia"/>
                <w:kern w:val="0"/>
                <w:szCs w:val="21"/>
              </w:rPr>
              <w:t>持有金额</w:t>
            </w:r>
            <w:r w:rsidRPr="00362CE7">
              <w:rPr>
                <w:rFonts w:ascii="黑体" w:eastAsia="黑体" w:hAnsi="黑体" w:cs="黑体"/>
                <w:kern w:val="0"/>
                <w:szCs w:val="21"/>
              </w:rPr>
              <w:t>达到上限的，</w:t>
            </w:r>
            <w:r w:rsidRPr="00362CE7">
              <w:rPr>
                <w:rFonts w:ascii="黑体" w:eastAsia="黑体" w:hAnsi="黑体" w:cs="黑体" w:hint="eastAsia"/>
                <w:kern w:val="0"/>
                <w:szCs w:val="21"/>
              </w:rPr>
              <w:t>产品</w:t>
            </w:r>
            <w:r w:rsidRPr="00362CE7">
              <w:rPr>
                <w:rFonts w:ascii="黑体" w:eastAsia="黑体" w:hAnsi="黑体" w:cs="黑体"/>
                <w:kern w:val="0"/>
                <w:szCs w:val="21"/>
              </w:rPr>
              <w:t>管理人将不再继续</w:t>
            </w:r>
            <w:r w:rsidRPr="00362CE7">
              <w:rPr>
                <w:rFonts w:ascii="黑体" w:eastAsia="黑体" w:hAnsi="黑体" w:cs="黑体" w:hint="eastAsia"/>
                <w:kern w:val="0"/>
                <w:szCs w:val="21"/>
              </w:rPr>
              <w:t>接受其</w:t>
            </w:r>
            <w:r w:rsidRPr="00362CE7">
              <w:rPr>
                <w:rFonts w:ascii="黑体" w:eastAsia="黑体" w:hAnsi="黑体" w:cs="黑体"/>
                <w:kern w:val="0"/>
                <w:szCs w:val="21"/>
              </w:rPr>
              <w:t>认</w:t>
            </w:r>
            <w:r w:rsidR="007B26EF" w:rsidRPr="00362CE7">
              <w:rPr>
                <w:rFonts w:ascii="黑体" w:eastAsia="黑体" w:hAnsi="黑体" w:cs="黑体" w:hint="eastAsia"/>
                <w:kern w:val="0"/>
                <w:szCs w:val="21"/>
              </w:rPr>
              <w:t>（申）</w:t>
            </w:r>
            <w:r w:rsidRPr="00362CE7">
              <w:rPr>
                <w:rFonts w:ascii="黑体" w:eastAsia="黑体" w:hAnsi="黑体" w:cs="黑体" w:hint="eastAsia"/>
                <w:kern w:val="0"/>
                <w:szCs w:val="21"/>
              </w:rPr>
              <w:t>购；</w:t>
            </w:r>
          </w:p>
          <w:p w14:paraId="76596F12" w14:textId="52B7F16F" w:rsidR="0066799F" w:rsidRPr="00362CE7" w:rsidRDefault="009C4B37" w:rsidP="00375ED7">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u w:val="single"/>
              </w:rPr>
              <w:t>非因产品管理人主观因素导致</w:t>
            </w:r>
            <w:r w:rsidR="00643A5F" w:rsidRPr="00362CE7">
              <w:rPr>
                <w:rFonts w:ascii="黑体" w:eastAsia="黑体" w:hAnsi="黑体" w:cs="黑体"/>
                <w:kern w:val="0"/>
                <w:szCs w:val="21"/>
                <w:u w:val="single"/>
              </w:rPr>
              <w:t>单</w:t>
            </w:r>
            <w:r w:rsidR="00643A5F" w:rsidRPr="00362CE7">
              <w:rPr>
                <w:rFonts w:ascii="黑体" w:eastAsia="黑体" w:hAnsi="黑体" w:cs="黑体" w:hint="eastAsia"/>
                <w:kern w:val="0"/>
                <w:szCs w:val="21"/>
                <w:u w:val="single"/>
              </w:rPr>
              <w:t>个</w:t>
            </w:r>
            <w:r w:rsidR="00643A5F" w:rsidRPr="00362CE7">
              <w:rPr>
                <w:rFonts w:ascii="黑体" w:eastAsia="黑体" w:hAnsi="黑体" w:cs="黑体"/>
                <w:kern w:val="0"/>
                <w:szCs w:val="21"/>
                <w:u w:val="single"/>
              </w:rPr>
              <w:t>投资者持有份额比例超过</w:t>
            </w:r>
            <w:r w:rsidR="00643A5F" w:rsidRPr="00362CE7">
              <w:rPr>
                <w:rFonts w:ascii="黑体" w:eastAsia="黑体" w:hAnsi="黑体" w:cs="黑体" w:hint="eastAsia"/>
                <w:kern w:val="0"/>
                <w:szCs w:val="21"/>
                <w:u w:val="single"/>
              </w:rPr>
              <w:t>总份额</w:t>
            </w:r>
            <w:r w:rsidR="00643A5F" w:rsidRPr="00362CE7">
              <w:rPr>
                <w:rFonts w:ascii="黑体" w:eastAsia="黑体" w:hAnsi="黑体" w:cs="黑体"/>
                <w:kern w:val="0"/>
                <w:szCs w:val="21"/>
                <w:u w:val="single"/>
              </w:rPr>
              <w:t>的50%</w:t>
            </w:r>
            <w:r w:rsidR="00643A5F" w:rsidRPr="00362CE7">
              <w:rPr>
                <w:rFonts w:ascii="黑体" w:eastAsia="黑体" w:hAnsi="黑体" w:cs="黑体" w:hint="eastAsia"/>
                <w:kern w:val="0"/>
                <w:szCs w:val="21"/>
                <w:u w:val="single"/>
              </w:rPr>
              <w:t>（含</w:t>
            </w:r>
            <w:r w:rsidR="00643A5F" w:rsidRPr="00362CE7">
              <w:rPr>
                <w:rFonts w:ascii="黑体" w:eastAsia="黑体" w:hAnsi="黑体" w:cs="黑体"/>
                <w:kern w:val="0"/>
                <w:szCs w:val="21"/>
                <w:u w:val="single"/>
              </w:rPr>
              <w:t>）时，</w:t>
            </w:r>
            <w:r w:rsidR="00643A5F" w:rsidRPr="00362CE7">
              <w:rPr>
                <w:rFonts w:ascii="黑体" w:eastAsia="黑体" w:hAnsi="黑体" w:cs="黑体" w:hint="eastAsia"/>
                <w:kern w:val="0"/>
                <w:szCs w:val="21"/>
                <w:u w:val="single"/>
              </w:rPr>
              <w:t>产品</w:t>
            </w:r>
            <w:r w:rsidR="00643A5F" w:rsidRPr="00362CE7">
              <w:rPr>
                <w:rFonts w:ascii="黑体" w:eastAsia="黑体" w:hAnsi="黑体" w:cs="黑体"/>
                <w:kern w:val="0"/>
                <w:szCs w:val="21"/>
                <w:u w:val="single"/>
              </w:rPr>
              <w:t>管理人</w:t>
            </w:r>
            <w:r w:rsidR="00643A5F" w:rsidRPr="00362CE7">
              <w:rPr>
                <w:rFonts w:ascii="黑体" w:eastAsia="黑体" w:hAnsi="黑体" w:cs="黑体" w:hint="eastAsia"/>
                <w:kern w:val="0"/>
                <w:szCs w:val="21"/>
                <w:u w:val="single"/>
              </w:rPr>
              <w:t>将暂停接受</w:t>
            </w:r>
            <w:r w:rsidR="00643A5F" w:rsidRPr="00362CE7">
              <w:rPr>
                <w:rFonts w:ascii="黑体" w:eastAsia="黑体" w:hAnsi="黑体" w:cs="黑体"/>
                <w:kern w:val="0"/>
                <w:szCs w:val="21"/>
                <w:u w:val="single"/>
              </w:rPr>
              <w:t>其</w:t>
            </w:r>
            <w:r w:rsidR="00A22927" w:rsidRPr="00362CE7">
              <w:rPr>
                <w:rFonts w:ascii="黑体" w:eastAsia="黑体" w:hAnsi="黑体" w:cs="黑体" w:hint="eastAsia"/>
                <w:kern w:val="0"/>
                <w:szCs w:val="21"/>
                <w:u w:val="single"/>
              </w:rPr>
              <w:t>认（</w:t>
            </w:r>
            <w:r w:rsidR="00643A5F" w:rsidRPr="00362CE7">
              <w:rPr>
                <w:rFonts w:ascii="黑体" w:eastAsia="黑体" w:hAnsi="黑体" w:cs="黑体"/>
                <w:kern w:val="0"/>
                <w:szCs w:val="21"/>
                <w:u w:val="single"/>
              </w:rPr>
              <w:t>申</w:t>
            </w:r>
            <w:r w:rsidR="00A22927" w:rsidRPr="00362CE7">
              <w:rPr>
                <w:rFonts w:ascii="黑体" w:eastAsia="黑体" w:hAnsi="黑体" w:cs="黑体" w:hint="eastAsia"/>
                <w:kern w:val="0"/>
                <w:szCs w:val="21"/>
                <w:u w:val="single"/>
              </w:rPr>
              <w:t>）</w:t>
            </w:r>
            <w:r w:rsidR="00643A5F" w:rsidRPr="00362CE7">
              <w:rPr>
                <w:rFonts w:ascii="黑体" w:eastAsia="黑体" w:hAnsi="黑体" w:cs="黑体"/>
                <w:kern w:val="0"/>
                <w:szCs w:val="21"/>
                <w:u w:val="single"/>
              </w:rPr>
              <w:t>购申请。</w:t>
            </w:r>
          </w:p>
          <w:p w14:paraId="1E5FADCF" w14:textId="607A69A9" w:rsidR="0066799F" w:rsidRPr="00362CE7" w:rsidRDefault="0066799F" w:rsidP="0066799F">
            <w:pPr>
              <w:rPr>
                <w:rFonts w:ascii="黑体" w:eastAsia="黑体" w:hAnsi="黑体"/>
                <w:szCs w:val="21"/>
              </w:rPr>
            </w:pPr>
            <w:r w:rsidRPr="00362CE7">
              <w:rPr>
                <w:rFonts w:ascii="黑体" w:eastAsia="黑体" w:hAnsi="黑体" w:cs="黑体"/>
                <w:kern w:val="0"/>
                <w:szCs w:val="21"/>
              </w:rPr>
              <w:t>2</w:t>
            </w:r>
            <w:r w:rsidRPr="00362CE7">
              <w:rPr>
                <w:rFonts w:ascii="黑体" w:eastAsia="黑体" w:hAnsi="黑体" w:cs="黑体" w:hint="eastAsia"/>
                <w:kern w:val="0"/>
                <w:szCs w:val="21"/>
              </w:rPr>
              <w:t>、</w:t>
            </w:r>
            <w:r w:rsidRPr="00362CE7">
              <w:rPr>
                <w:rFonts w:ascii="黑体" w:eastAsia="黑体" w:hAnsi="黑体" w:cs="黑体" w:hint="eastAsia"/>
                <w:b/>
                <w:kern w:val="0"/>
                <w:szCs w:val="21"/>
              </w:rPr>
              <w:t>单个投资者对本产品</w:t>
            </w:r>
            <w:r w:rsidRPr="00362CE7">
              <w:rPr>
                <w:rFonts w:ascii="黑体" w:eastAsia="黑体" w:hAnsi="黑体" w:cs="黑体"/>
                <w:b/>
                <w:kern w:val="0"/>
                <w:szCs w:val="21"/>
              </w:rPr>
              <w:t>的最低持有</w:t>
            </w:r>
            <w:r w:rsidRPr="00362CE7">
              <w:rPr>
                <w:rFonts w:ascii="黑体" w:eastAsia="黑体" w:hAnsi="黑体" w:cs="黑体" w:hint="eastAsia"/>
                <w:b/>
                <w:kern w:val="0"/>
                <w:szCs w:val="21"/>
              </w:rPr>
              <w:t>金额</w:t>
            </w:r>
            <w:r w:rsidRPr="00362CE7">
              <w:rPr>
                <w:rFonts w:ascii="黑体" w:eastAsia="黑体" w:hAnsi="黑体" w:cs="黑体"/>
                <w:b/>
                <w:kern w:val="0"/>
                <w:szCs w:val="21"/>
              </w:rPr>
              <w:t>为</w:t>
            </w:r>
            <w:r w:rsidR="00757CB3" w:rsidRPr="00362CE7">
              <w:rPr>
                <w:rFonts w:ascii="黑体" w:eastAsia="黑体" w:hAnsi="黑体" w:cs="黑体" w:hint="eastAsia"/>
                <w:b/>
                <w:bCs/>
                <w:kern w:val="0"/>
                <w:szCs w:val="21"/>
              </w:rPr>
              <w:t>个人投资者</w:t>
            </w:r>
            <w:r w:rsidR="00757CB3" w:rsidRPr="00362CE7">
              <w:rPr>
                <w:rFonts w:ascii="黑体" w:eastAsia="黑体" w:hAnsi="黑体" w:cs="黑体"/>
                <w:b/>
                <w:bCs/>
                <w:kern w:val="0"/>
                <w:szCs w:val="21"/>
              </w:rPr>
              <w:t>1元</w:t>
            </w:r>
            <w:r w:rsidRPr="00362CE7">
              <w:rPr>
                <w:rFonts w:ascii="黑体" w:eastAsia="黑体" w:hAnsi="黑体" w:cs="黑体" w:hint="eastAsia"/>
                <w:kern w:val="0"/>
                <w:szCs w:val="21"/>
              </w:rPr>
              <w:t>，若投资者持有不足该金额</w:t>
            </w:r>
            <w:r w:rsidRPr="00362CE7">
              <w:rPr>
                <w:rFonts w:ascii="黑体" w:eastAsia="黑体" w:hAnsi="黑体" w:cs="黑体"/>
                <w:kern w:val="0"/>
                <w:szCs w:val="21"/>
              </w:rPr>
              <w:t>时</w:t>
            </w:r>
            <w:r w:rsidRPr="00362CE7">
              <w:rPr>
                <w:rFonts w:ascii="黑体" w:eastAsia="黑体" w:hAnsi="黑体" w:cs="黑体" w:hint="eastAsia"/>
                <w:kern w:val="0"/>
                <w:szCs w:val="21"/>
              </w:rPr>
              <w:t>，产品管理人可对投资者持有的产品剩余金额进行强制赎回。</w:t>
            </w:r>
          </w:p>
        </w:tc>
      </w:tr>
      <w:tr w:rsidR="0066799F" w:rsidRPr="00362CE7" w14:paraId="597601FE" w14:textId="77777777" w:rsidTr="00643FED">
        <w:tc>
          <w:tcPr>
            <w:tcW w:w="1838" w:type="dxa"/>
            <w:vAlign w:val="center"/>
          </w:tcPr>
          <w:p w14:paraId="7FD4464B" w14:textId="77777777"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销售</w:t>
            </w:r>
            <w:r w:rsidRPr="00362CE7">
              <w:rPr>
                <w:rFonts w:ascii="黑体" w:eastAsia="黑体" w:hAnsi="黑体" w:cs="黑体"/>
                <w:kern w:val="0"/>
                <w:szCs w:val="21"/>
              </w:rPr>
              <w:t>区域</w:t>
            </w:r>
          </w:p>
        </w:tc>
        <w:tc>
          <w:tcPr>
            <w:tcW w:w="6458" w:type="dxa"/>
          </w:tcPr>
          <w:p w14:paraId="0D999F04" w14:textId="75640F8D" w:rsidR="0066799F" w:rsidRPr="00362CE7" w:rsidRDefault="00757CB3"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全国（不含港澳台地区）</w:t>
            </w:r>
          </w:p>
        </w:tc>
      </w:tr>
      <w:tr w:rsidR="0066799F" w:rsidRPr="00362CE7" w14:paraId="4FD5A3CE" w14:textId="77777777" w:rsidTr="00643FED">
        <w:tc>
          <w:tcPr>
            <w:tcW w:w="1838" w:type="dxa"/>
            <w:vAlign w:val="center"/>
          </w:tcPr>
          <w:p w14:paraId="52365E76" w14:textId="5A09AF33"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管理</w:t>
            </w:r>
            <w:r w:rsidRPr="00362CE7">
              <w:rPr>
                <w:rFonts w:ascii="黑体" w:eastAsia="黑体" w:hAnsi="黑体" w:cs="黑体"/>
                <w:kern w:val="0"/>
                <w:szCs w:val="21"/>
              </w:rPr>
              <w:t>机构</w:t>
            </w:r>
            <w:r w:rsidRPr="00362CE7">
              <w:rPr>
                <w:rFonts w:ascii="黑体" w:eastAsia="黑体" w:hAnsi="黑体" w:cs="黑体" w:hint="eastAsia"/>
                <w:kern w:val="0"/>
                <w:szCs w:val="21"/>
              </w:rPr>
              <w:t>/产品</w:t>
            </w:r>
            <w:r w:rsidRPr="00362CE7">
              <w:rPr>
                <w:rFonts w:ascii="黑体" w:eastAsia="黑体" w:hAnsi="黑体" w:cs="黑体"/>
                <w:kern w:val="0"/>
                <w:szCs w:val="21"/>
              </w:rPr>
              <w:t>管理人</w:t>
            </w:r>
          </w:p>
        </w:tc>
        <w:tc>
          <w:tcPr>
            <w:tcW w:w="6458" w:type="dxa"/>
          </w:tcPr>
          <w:p w14:paraId="0AD2B0CF" w14:textId="39E9F007" w:rsidR="0066799F" w:rsidRPr="00362CE7" w:rsidRDefault="0066799F"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宁银理财</w:t>
            </w:r>
            <w:r w:rsidRPr="00362CE7">
              <w:rPr>
                <w:rFonts w:ascii="黑体" w:eastAsia="黑体" w:hAnsi="黑体" w:cs="黑体"/>
                <w:kern w:val="0"/>
                <w:szCs w:val="21"/>
              </w:rPr>
              <w:t>有限责任公司</w:t>
            </w:r>
          </w:p>
        </w:tc>
      </w:tr>
      <w:tr w:rsidR="00757CB3" w:rsidRPr="00362CE7" w14:paraId="795EC126" w14:textId="53E11E65" w:rsidTr="00643FED">
        <w:tc>
          <w:tcPr>
            <w:tcW w:w="1838" w:type="dxa"/>
            <w:vAlign w:val="center"/>
          </w:tcPr>
          <w:p w14:paraId="5555CECC" w14:textId="5C3EDF2C" w:rsidR="00757CB3" w:rsidRPr="00362CE7" w:rsidRDefault="00757CB3" w:rsidP="00757CB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销售</w:t>
            </w:r>
            <w:r w:rsidRPr="00362CE7">
              <w:rPr>
                <w:rFonts w:ascii="黑体" w:eastAsia="黑体" w:hAnsi="黑体" w:cs="黑体"/>
                <w:kern w:val="0"/>
                <w:szCs w:val="21"/>
              </w:rPr>
              <w:t>机构</w:t>
            </w:r>
          </w:p>
        </w:tc>
        <w:tc>
          <w:tcPr>
            <w:tcW w:w="6458" w:type="dxa"/>
          </w:tcPr>
          <w:p w14:paraId="57EB4FBC" w14:textId="7F5FA3EB" w:rsidR="00757CB3" w:rsidRPr="00362CE7" w:rsidRDefault="00757CB3" w:rsidP="00757CB3">
            <w:pPr>
              <w:autoSpaceDE w:val="0"/>
              <w:autoSpaceDN w:val="0"/>
              <w:adjustRightInd w:val="0"/>
              <w:jc w:val="left"/>
              <w:rPr>
                <w:rFonts w:ascii="黑体" w:eastAsia="黑体" w:hAnsi="黑体" w:cs="黑体"/>
                <w:kern w:val="0"/>
                <w:szCs w:val="21"/>
              </w:rPr>
            </w:pPr>
            <w:r w:rsidRPr="00362CE7">
              <w:rPr>
                <w:rFonts w:ascii="黑体" w:eastAsia="黑体" w:hAnsi="黑体" w:cs="黑体"/>
                <w:kern w:val="0"/>
                <w:szCs w:val="21"/>
              </w:rPr>
              <w:t>宁波银行股份有限公司</w:t>
            </w:r>
            <w:r w:rsidR="003E422E" w:rsidRPr="00362CE7">
              <w:rPr>
                <w:rFonts w:ascii="黑体" w:eastAsia="黑体" w:hAnsi="黑体" w:cs="黑体" w:hint="eastAsia"/>
                <w:kern w:val="0"/>
                <w:szCs w:val="21"/>
              </w:rPr>
              <w:t>、</w:t>
            </w:r>
            <w:r w:rsidR="003E422E" w:rsidRPr="00362CE7">
              <w:rPr>
                <w:rFonts w:ascii="Calibri" w:eastAsia="黑体" w:hAnsi="Calibri" w:cs="Calibri" w:hint="eastAsia"/>
                <w:color w:val="000000" w:themeColor="text1"/>
                <w:kern w:val="0"/>
                <w:szCs w:val="21"/>
              </w:rPr>
              <w:t>宁银理财有限责任公司</w:t>
            </w:r>
            <w:r w:rsidR="00794D52" w:rsidRPr="00362CE7">
              <w:rPr>
                <w:rFonts w:ascii="Calibri" w:eastAsia="黑体" w:hAnsi="Calibri" w:cs="Calibri" w:hint="eastAsia"/>
                <w:color w:val="000000" w:themeColor="text1"/>
                <w:kern w:val="0"/>
                <w:szCs w:val="21"/>
              </w:rPr>
              <w:t>、江苏紫金农村商业银行股份有限公司</w:t>
            </w:r>
          </w:p>
        </w:tc>
      </w:tr>
      <w:tr w:rsidR="00757CB3" w:rsidRPr="00362CE7" w14:paraId="095BEC05" w14:textId="77777777" w:rsidTr="00643FED">
        <w:tc>
          <w:tcPr>
            <w:tcW w:w="1838" w:type="dxa"/>
            <w:vAlign w:val="center"/>
          </w:tcPr>
          <w:p w14:paraId="6810CB75" w14:textId="267A433A" w:rsidR="00757CB3" w:rsidRPr="00362CE7" w:rsidRDefault="00757CB3" w:rsidP="00757CB3">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托管机构</w:t>
            </w:r>
          </w:p>
        </w:tc>
        <w:tc>
          <w:tcPr>
            <w:tcW w:w="6458" w:type="dxa"/>
          </w:tcPr>
          <w:p w14:paraId="675A2C21" w14:textId="6C782E5A" w:rsidR="00757CB3" w:rsidRPr="00362CE7" w:rsidRDefault="00757CB3" w:rsidP="00757CB3">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宁波银行股份有限公司</w:t>
            </w:r>
          </w:p>
        </w:tc>
      </w:tr>
      <w:tr w:rsidR="0066799F" w:rsidRPr="00362CE7" w14:paraId="5A95DE91" w14:textId="0166E39E" w:rsidTr="00643FED">
        <w:tc>
          <w:tcPr>
            <w:tcW w:w="1838" w:type="dxa"/>
            <w:vAlign w:val="center"/>
          </w:tcPr>
          <w:p w14:paraId="4499512E" w14:textId="4AFE139D"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投资合作机构</w:t>
            </w:r>
          </w:p>
        </w:tc>
        <w:tc>
          <w:tcPr>
            <w:tcW w:w="6458" w:type="dxa"/>
          </w:tcPr>
          <w:p w14:paraId="03328652" w14:textId="77777777" w:rsidR="0066799F" w:rsidRPr="00362CE7" w:rsidRDefault="0066799F"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投资合作机构包括但不限于理财产品所投资资产管理产品的发行机构、根据合同约定从事理财产品受托投资的机构以及与理财产品投资管理相关的投资顾问等。</w:t>
            </w:r>
          </w:p>
          <w:p w14:paraId="5E4DF350" w14:textId="2C6CEA99" w:rsidR="0066799F" w:rsidRPr="00362CE7" w:rsidRDefault="0066799F"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本理财产品投资合作机构</w:t>
            </w:r>
            <w:r w:rsidR="00757CB3" w:rsidRPr="00362CE7">
              <w:rPr>
                <w:rFonts w:ascii="黑体" w:eastAsia="黑体" w:hAnsi="黑体" w:cs="黑体" w:hint="eastAsia"/>
                <w:kern w:val="0"/>
                <w:szCs w:val="21"/>
              </w:rPr>
              <w:t>为</w:t>
            </w:r>
            <w:r w:rsidR="0066061A" w:rsidRPr="00362CE7">
              <w:rPr>
                <w:rFonts w:ascii="黑体" w:eastAsia="黑体" w:hAnsi="黑体" w:cs="黑体" w:hint="eastAsia"/>
                <w:kern w:val="0"/>
                <w:szCs w:val="21"/>
              </w:rPr>
              <w:t>暂</w:t>
            </w:r>
            <w:r w:rsidR="00757CB3" w:rsidRPr="00362CE7">
              <w:rPr>
                <w:rFonts w:ascii="黑体" w:eastAsia="黑体" w:hAnsi="黑体" w:cs="黑体" w:hint="eastAsia"/>
                <w:kern w:val="0"/>
                <w:szCs w:val="21"/>
              </w:rPr>
              <w:t>无。</w:t>
            </w:r>
          </w:p>
          <w:p w14:paraId="48CC2435" w14:textId="0A2BFAB8" w:rsidR="00757CB3" w:rsidRPr="00362CE7" w:rsidRDefault="00757CB3"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后续新增投资合作机构时，管理人将对合作机构的资质条件、专业服务能力和风险管理水平等进行充分评价，切实履行投资管理职责。</w:t>
            </w:r>
          </w:p>
        </w:tc>
      </w:tr>
      <w:tr w:rsidR="0066799F" w:rsidRPr="00362CE7" w14:paraId="76FAA2B4" w14:textId="77777777" w:rsidTr="00643FED">
        <w:tc>
          <w:tcPr>
            <w:tcW w:w="1838" w:type="dxa"/>
            <w:vAlign w:val="center"/>
          </w:tcPr>
          <w:p w14:paraId="0AD2DFBF" w14:textId="72C2E369"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费用</w:t>
            </w:r>
            <w:r w:rsidRPr="00362CE7">
              <w:rPr>
                <w:rFonts w:ascii="黑体" w:eastAsia="黑体" w:hAnsi="黑体" w:cs="黑体" w:hint="eastAsia"/>
                <w:kern w:val="0"/>
                <w:szCs w:val="21"/>
              </w:rPr>
              <w:t>及</w:t>
            </w:r>
            <w:r w:rsidRPr="00362CE7">
              <w:rPr>
                <w:rFonts w:ascii="黑体" w:eastAsia="黑体" w:hAnsi="黑体" w:cs="黑体"/>
                <w:kern w:val="0"/>
                <w:szCs w:val="21"/>
              </w:rPr>
              <w:t>税收</w:t>
            </w:r>
            <w:r w:rsidRPr="00362CE7">
              <w:rPr>
                <w:rFonts w:ascii="黑体" w:eastAsia="黑体" w:hAnsi="黑体" w:cs="黑体" w:hint="eastAsia"/>
                <w:kern w:val="0"/>
                <w:szCs w:val="21"/>
              </w:rPr>
              <w:t>规定</w:t>
            </w:r>
          </w:p>
        </w:tc>
        <w:tc>
          <w:tcPr>
            <w:tcW w:w="6458" w:type="dxa"/>
          </w:tcPr>
          <w:p w14:paraId="5184F78A" w14:textId="2637CA4B" w:rsidR="0066799F" w:rsidRPr="00362CE7" w:rsidRDefault="0066799F" w:rsidP="0066799F">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本产品</w:t>
            </w:r>
            <w:r w:rsidRPr="00362CE7">
              <w:rPr>
                <w:rFonts w:ascii="黑体" w:eastAsia="黑体" w:hAnsi="黑体" w:cs="黑体"/>
                <w:b/>
                <w:kern w:val="0"/>
                <w:szCs w:val="21"/>
              </w:rPr>
              <w:t>收取的费用</w:t>
            </w:r>
            <w:r w:rsidR="00962248" w:rsidRPr="00362CE7">
              <w:rPr>
                <w:rFonts w:ascii="黑体" w:eastAsia="黑体" w:hAnsi="黑体" w:cs="黑体" w:hint="eastAsia"/>
                <w:b/>
                <w:kern w:val="0"/>
                <w:szCs w:val="21"/>
              </w:rPr>
              <w:t>为</w:t>
            </w:r>
            <w:r w:rsidR="00757CB3" w:rsidRPr="00362CE7">
              <w:rPr>
                <w:rFonts w:ascii="黑体" w:eastAsia="黑体" w:hAnsi="黑体" w:cs="黑体" w:hint="eastAsia"/>
                <w:b/>
                <w:kern w:val="0"/>
                <w:szCs w:val="21"/>
              </w:rPr>
              <w:t>包括固定管理费</w:t>
            </w:r>
            <w:r w:rsidR="00757CB3" w:rsidRPr="00362CE7">
              <w:rPr>
                <w:rFonts w:ascii="黑体" w:eastAsia="黑体" w:hAnsi="黑体" w:cs="黑体"/>
                <w:b/>
                <w:kern w:val="0"/>
                <w:szCs w:val="21"/>
              </w:rPr>
              <w:t>0.30%（年化）</w:t>
            </w:r>
            <w:r w:rsidR="00757CB3" w:rsidRPr="00362CE7">
              <w:rPr>
                <w:rFonts w:ascii="黑体" w:eastAsia="黑体" w:hAnsi="黑体" w:cs="黑体" w:hint="eastAsia"/>
                <w:b/>
                <w:kern w:val="0"/>
                <w:szCs w:val="21"/>
              </w:rPr>
              <w:t>、销售服务费0</w:t>
            </w:r>
            <w:r w:rsidR="00757CB3" w:rsidRPr="00362CE7">
              <w:rPr>
                <w:rFonts w:ascii="黑体" w:eastAsia="黑体" w:hAnsi="黑体" w:cs="黑体"/>
                <w:b/>
                <w:kern w:val="0"/>
                <w:szCs w:val="21"/>
              </w:rPr>
              <w:t>.10</w:t>
            </w:r>
            <w:r w:rsidR="00757CB3" w:rsidRPr="00362CE7">
              <w:rPr>
                <w:rFonts w:ascii="黑体" w:eastAsia="黑体" w:hAnsi="黑体" w:cs="黑体" w:hint="eastAsia"/>
                <w:b/>
                <w:kern w:val="0"/>
                <w:szCs w:val="21"/>
              </w:rPr>
              <w:t>%（年化）、托管费0.001%（年化）</w:t>
            </w:r>
            <w:r w:rsidR="00962248" w:rsidRPr="00362CE7">
              <w:rPr>
                <w:rFonts w:ascii="黑体" w:eastAsia="黑体" w:hAnsi="黑体" w:cs="黑体" w:hint="eastAsia"/>
                <w:b/>
                <w:kern w:val="0"/>
                <w:szCs w:val="21"/>
              </w:rPr>
              <w:t>等</w:t>
            </w:r>
            <w:r w:rsidRPr="00362CE7">
              <w:rPr>
                <w:rFonts w:ascii="黑体" w:eastAsia="黑体" w:hAnsi="黑体" w:cs="黑体" w:hint="eastAsia"/>
                <w:b/>
                <w:kern w:val="0"/>
                <w:szCs w:val="21"/>
              </w:rPr>
              <w:t>。</w:t>
            </w:r>
          </w:p>
          <w:p w14:paraId="2B264A3C" w14:textId="6C19A030" w:rsidR="0066799F" w:rsidRPr="00362CE7" w:rsidRDefault="0066799F" w:rsidP="006679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b/>
                <w:kern w:val="0"/>
                <w:szCs w:val="21"/>
              </w:rPr>
              <w:t>详见</w:t>
            </w:r>
            <w:r w:rsidRPr="00362CE7">
              <w:rPr>
                <w:rFonts w:ascii="黑体" w:eastAsia="黑体" w:hAnsi="黑体" w:cs="黑体"/>
                <w:b/>
                <w:kern w:val="0"/>
                <w:szCs w:val="21"/>
              </w:rPr>
              <w:t>本说明书第</w:t>
            </w:r>
            <w:r w:rsidRPr="00362CE7">
              <w:rPr>
                <w:rFonts w:ascii="黑体" w:eastAsia="黑体" w:hAnsi="黑体" w:cs="黑体" w:hint="eastAsia"/>
                <w:b/>
                <w:kern w:val="0"/>
                <w:szCs w:val="21"/>
              </w:rPr>
              <w:t>六</w:t>
            </w:r>
            <w:r w:rsidRPr="00362CE7">
              <w:rPr>
                <w:rFonts w:ascii="黑体" w:eastAsia="黑体" w:hAnsi="黑体" w:cs="黑体"/>
                <w:b/>
                <w:kern w:val="0"/>
                <w:szCs w:val="21"/>
              </w:rPr>
              <w:t>部分</w:t>
            </w:r>
            <w:r w:rsidRPr="00362CE7">
              <w:rPr>
                <w:rFonts w:ascii="黑体" w:eastAsia="黑体" w:hAnsi="黑体" w:cs="黑体" w:hint="eastAsia"/>
                <w:b/>
                <w:kern w:val="0"/>
                <w:szCs w:val="21"/>
              </w:rPr>
              <w:t>产品费用、收益及税收说明</w:t>
            </w:r>
            <w:r w:rsidRPr="00362CE7">
              <w:rPr>
                <w:rFonts w:ascii="黑体" w:eastAsia="黑体" w:hAnsi="黑体" w:cs="黑体"/>
                <w:b/>
                <w:kern w:val="0"/>
                <w:szCs w:val="21"/>
              </w:rPr>
              <w:t>。</w:t>
            </w:r>
          </w:p>
        </w:tc>
      </w:tr>
      <w:tr w:rsidR="0066799F" w:rsidRPr="00362CE7" w14:paraId="3804E9E7" w14:textId="77777777" w:rsidTr="00643FED">
        <w:tc>
          <w:tcPr>
            <w:tcW w:w="1838" w:type="dxa"/>
            <w:vAlign w:val="center"/>
          </w:tcPr>
          <w:p w14:paraId="055502DD" w14:textId="77777777" w:rsidR="0066799F" w:rsidRPr="00362CE7" w:rsidRDefault="0066799F" w:rsidP="0066799F">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其他</w:t>
            </w:r>
          </w:p>
        </w:tc>
        <w:tc>
          <w:tcPr>
            <w:tcW w:w="6458" w:type="dxa"/>
          </w:tcPr>
          <w:p w14:paraId="24BB3D6E" w14:textId="72E77DF8" w:rsidR="0066799F" w:rsidRPr="00362CE7" w:rsidRDefault="0066799F" w:rsidP="0066799F">
            <w:pPr>
              <w:rPr>
                <w:rFonts w:ascii="黑体" w:eastAsia="黑体" w:hAnsi="黑体" w:cs="黑体"/>
                <w:kern w:val="0"/>
                <w:szCs w:val="21"/>
              </w:rPr>
            </w:pPr>
            <w:r w:rsidRPr="00362CE7">
              <w:rPr>
                <w:rFonts w:ascii="黑体" w:eastAsia="黑体" w:hAnsi="黑体" w:cs="黑体" w:hint="eastAsia"/>
                <w:kern w:val="0"/>
                <w:szCs w:val="21"/>
              </w:rPr>
              <w:t>1、</w:t>
            </w:r>
            <w:r w:rsidRPr="00362CE7">
              <w:rPr>
                <w:rFonts w:ascii="黑体" w:eastAsia="黑体" w:hAnsi="黑体" w:cs="黑体" w:hint="eastAsia"/>
                <w:b/>
                <w:kern w:val="0"/>
                <w:szCs w:val="21"/>
              </w:rPr>
              <w:t>在</w:t>
            </w:r>
            <w:r w:rsidRPr="00362CE7">
              <w:rPr>
                <w:rFonts w:ascii="黑体" w:eastAsia="黑体" w:hAnsi="黑体" w:cs="黑体"/>
                <w:b/>
                <w:kern w:val="0"/>
                <w:szCs w:val="21"/>
              </w:rPr>
              <w:t>本</w:t>
            </w:r>
            <w:r w:rsidRPr="00362CE7">
              <w:rPr>
                <w:rFonts w:ascii="黑体" w:eastAsia="黑体" w:hAnsi="黑体" w:cs="黑体" w:hint="eastAsia"/>
                <w:b/>
                <w:kern w:val="0"/>
                <w:szCs w:val="21"/>
              </w:rPr>
              <w:t>产品存续期内，产品</w:t>
            </w:r>
            <w:r w:rsidRPr="00362CE7">
              <w:rPr>
                <w:rFonts w:ascii="黑体" w:eastAsia="黑体" w:hAnsi="黑体" w:cs="黑体"/>
                <w:b/>
                <w:kern w:val="0"/>
                <w:szCs w:val="21"/>
              </w:rPr>
              <w:t>管理人</w:t>
            </w:r>
            <w:r w:rsidRPr="00362CE7">
              <w:rPr>
                <w:rFonts w:ascii="黑体" w:eastAsia="黑体" w:hAnsi="黑体" w:cs="黑体" w:hint="eastAsia"/>
                <w:b/>
                <w:kern w:val="0"/>
                <w:szCs w:val="21"/>
              </w:rPr>
              <w:t>有权根据市场情况调整本产品前述产品要素，调整前将进行相关信息披露。</w:t>
            </w:r>
          </w:p>
          <w:p w14:paraId="141D5E1C" w14:textId="4FC9E318" w:rsidR="0066799F" w:rsidRPr="00362CE7" w:rsidRDefault="0066799F" w:rsidP="0066799F">
            <w:pPr>
              <w:rPr>
                <w:rFonts w:ascii="黑体" w:eastAsia="黑体" w:hAnsi="黑体" w:cs="黑体"/>
                <w:kern w:val="0"/>
                <w:szCs w:val="21"/>
              </w:rPr>
            </w:pPr>
            <w:r w:rsidRPr="00362CE7">
              <w:rPr>
                <w:rFonts w:ascii="黑体" w:eastAsia="黑体" w:hAnsi="黑体" w:cs="黑体"/>
                <w:kern w:val="0"/>
                <w:szCs w:val="21"/>
              </w:rPr>
              <w:t>2</w:t>
            </w:r>
            <w:r w:rsidRPr="00362CE7">
              <w:rPr>
                <w:rFonts w:ascii="黑体" w:eastAsia="黑体" w:hAnsi="黑体" w:cs="黑体" w:hint="eastAsia"/>
                <w:kern w:val="0"/>
                <w:szCs w:val="21"/>
              </w:rPr>
              <w:t>、产品成立日和到期日如遇非工作日，则顺延至下一工作日。</w:t>
            </w:r>
          </w:p>
          <w:p w14:paraId="4F67F547" w14:textId="62398D04" w:rsidR="00207684" w:rsidRPr="00362CE7" w:rsidRDefault="00207684" w:rsidP="00207684">
            <w:pPr>
              <w:rPr>
                <w:rFonts w:ascii="黑体" w:eastAsia="黑体" w:hAnsi="黑体" w:cs="黑体"/>
                <w:szCs w:val="21"/>
              </w:rPr>
            </w:pPr>
            <w:r w:rsidRPr="00362CE7">
              <w:rPr>
                <w:rFonts w:ascii="黑体" w:eastAsia="黑体" w:hAnsi="黑体" w:cs="黑体" w:hint="eastAsia"/>
                <w:kern w:val="0"/>
                <w:szCs w:val="21"/>
              </w:rPr>
              <w:t>3、</w:t>
            </w:r>
            <w:r w:rsidRPr="00362CE7">
              <w:rPr>
                <w:rFonts w:ascii="黑体" w:eastAsia="黑体" w:hAnsi="黑体" w:cs="黑体" w:hint="eastAsia"/>
                <w:szCs w:val="21"/>
              </w:rPr>
              <w:t>本产品说明书中的工作日指国家法定工作日；交易所工作日指上海证券交易所、深圳证券交易所正常开盘的交易日且为银行工作日。</w:t>
            </w:r>
          </w:p>
          <w:p w14:paraId="54E3C5B1" w14:textId="05463356" w:rsidR="00207684" w:rsidRPr="00362CE7" w:rsidRDefault="00207684" w:rsidP="00207684">
            <w:pPr>
              <w:rPr>
                <w:rFonts w:ascii="黑体" w:eastAsia="黑体" w:hAnsi="黑体" w:cs="黑体"/>
                <w:kern w:val="0"/>
                <w:szCs w:val="21"/>
              </w:rPr>
            </w:pPr>
            <w:r w:rsidRPr="00362CE7">
              <w:rPr>
                <w:rFonts w:ascii="黑体" w:eastAsia="黑体" w:hAnsi="黑体" w:cs="黑体" w:hint="eastAsia"/>
                <w:szCs w:val="21"/>
              </w:rPr>
              <w:t>4、</w:t>
            </w:r>
            <w:r w:rsidRPr="00362CE7">
              <w:rPr>
                <w:rFonts w:ascii="黑体" w:eastAsia="黑体" w:hAnsi="黑体" w:cs="黑体" w:hint="eastAsia"/>
                <w:kern w:val="0"/>
                <w:szCs w:val="21"/>
              </w:rPr>
              <w:t>其他：无</w:t>
            </w:r>
          </w:p>
          <w:p w14:paraId="295B8B8A" w14:textId="7E380F1E" w:rsidR="0066799F" w:rsidRPr="00362CE7" w:rsidRDefault="0066799F" w:rsidP="0066799F">
            <w:pPr>
              <w:rPr>
                <w:rFonts w:ascii="黑体" w:eastAsia="黑体" w:hAnsi="黑体" w:cs="黑体"/>
                <w:kern w:val="0"/>
                <w:szCs w:val="21"/>
              </w:rPr>
            </w:pPr>
          </w:p>
        </w:tc>
      </w:tr>
    </w:tbl>
    <w:p w14:paraId="62B992EB" w14:textId="77777777" w:rsidR="00B23C1D" w:rsidRPr="00362CE7" w:rsidRDefault="00B23C1D" w:rsidP="00716AC6">
      <w:pPr>
        <w:autoSpaceDE w:val="0"/>
        <w:autoSpaceDN w:val="0"/>
        <w:adjustRightInd w:val="0"/>
        <w:jc w:val="left"/>
        <w:rPr>
          <w:rFonts w:ascii="黑体" w:eastAsia="黑体" w:hAnsi="黑体" w:cs="黑体"/>
          <w:b/>
          <w:kern w:val="0"/>
          <w:szCs w:val="21"/>
        </w:rPr>
      </w:pPr>
    </w:p>
    <w:p w14:paraId="2F8E024F" w14:textId="3E3C122F" w:rsidR="00716AC6" w:rsidRPr="00362CE7" w:rsidRDefault="00B23C1D" w:rsidP="00716AC6">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三</w:t>
      </w:r>
      <w:r w:rsidR="00716AC6" w:rsidRPr="00362CE7">
        <w:rPr>
          <w:rFonts w:ascii="黑体" w:eastAsia="黑体" w:hAnsi="黑体" w:cs="黑体" w:hint="eastAsia"/>
          <w:b/>
          <w:kern w:val="0"/>
          <w:szCs w:val="21"/>
        </w:rPr>
        <w:t>、</w:t>
      </w:r>
      <w:r w:rsidR="00EC57A1" w:rsidRPr="00362CE7">
        <w:rPr>
          <w:rFonts w:ascii="黑体" w:eastAsia="黑体" w:hAnsi="黑体" w:cs="黑体" w:hint="eastAsia"/>
          <w:b/>
          <w:kern w:val="0"/>
          <w:szCs w:val="21"/>
        </w:rPr>
        <w:t>产品</w:t>
      </w:r>
      <w:r w:rsidR="00716AC6" w:rsidRPr="00362CE7">
        <w:rPr>
          <w:rFonts w:ascii="黑体" w:eastAsia="黑体" w:hAnsi="黑体" w:cs="黑体" w:hint="eastAsia"/>
          <w:b/>
          <w:kern w:val="0"/>
          <w:szCs w:val="21"/>
        </w:rPr>
        <w:t>投资管理</w:t>
      </w:r>
    </w:p>
    <w:p w14:paraId="19B0C451" w14:textId="066D1E1A" w:rsidR="00BB3984" w:rsidRPr="00362CE7" w:rsidRDefault="00BB3984" w:rsidP="004B04B2">
      <w:pPr>
        <w:autoSpaceDE w:val="0"/>
        <w:autoSpaceDN w:val="0"/>
        <w:adjustRightInd w:val="0"/>
        <w:jc w:val="left"/>
        <w:rPr>
          <w:rFonts w:ascii="黑体" w:eastAsia="黑体" w:hAnsi="黑体" w:cs="黑体"/>
          <w:bCs/>
          <w:kern w:val="0"/>
          <w:szCs w:val="21"/>
        </w:rPr>
      </w:pPr>
      <w:r w:rsidRPr="00362CE7">
        <w:rPr>
          <w:rFonts w:ascii="黑体" w:eastAsia="黑体" w:hAnsi="黑体" w:cs="黑体" w:hint="eastAsia"/>
          <w:bCs/>
          <w:kern w:val="0"/>
          <w:szCs w:val="21"/>
        </w:rPr>
        <w:t>（一</w:t>
      </w:r>
      <w:r w:rsidRPr="00362CE7">
        <w:rPr>
          <w:rFonts w:ascii="黑体" w:eastAsia="黑体" w:hAnsi="黑体" w:cs="黑体"/>
          <w:bCs/>
          <w:kern w:val="0"/>
          <w:szCs w:val="21"/>
        </w:rPr>
        <w:t>）</w:t>
      </w:r>
      <w:r w:rsidRPr="00362CE7">
        <w:rPr>
          <w:rFonts w:ascii="黑体" w:eastAsia="黑体" w:hAnsi="黑体" w:cs="黑体" w:hint="eastAsia"/>
          <w:bCs/>
          <w:kern w:val="0"/>
          <w:szCs w:val="21"/>
        </w:rPr>
        <w:t>投资范围</w:t>
      </w:r>
    </w:p>
    <w:p w14:paraId="4B40EF2C" w14:textId="77777777" w:rsidR="004A3460" w:rsidRPr="00362CE7" w:rsidRDefault="00716AC6"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本产品主要投资于以下符合监管要求的各类资产：</w:t>
      </w:r>
    </w:p>
    <w:p w14:paraId="08BFFBED" w14:textId="23A15788" w:rsidR="00757CB3" w:rsidRPr="00362CE7" w:rsidRDefault="00757CB3" w:rsidP="00757CB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一是固定收益类资产，包括但不限于各类债券、 存款、货币市场工具、质押式和买断式债券逆回购、公募资产管理产品和非标准化债权资产等；二是权益类资产，包括但不限于股票、ETF、公募资产管理产品等；三是商品及衍生品类资产，包括但不限于大宗商品、金融衍生工具等。以及通过其他具有专业投资能力和资质的受金融监督管理部门监管的机构发行的资产管理产品所投资的前述资产。</w:t>
      </w:r>
    </w:p>
    <w:p w14:paraId="7FA7B2A7" w14:textId="07B2462F" w:rsidR="00DB50EC" w:rsidRPr="00362CE7" w:rsidRDefault="00DB50EC" w:rsidP="00DB50EC">
      <w:pPr>
        <w:autoSpaceDE w:val="0"/>
        <w:autoSpaceDN w:val="0"/>
        <w:adjustRightInd w:val="0"/>
        <w:ind w:firstLineChars="200" w:firstLine="422"/>
        <w:jc w:val="left"/>
        <w:rPr>
          <w:rFonts w:ascii="黑体" w:eastAsia="黑体" w:hAnsi="黑体" w:cs="黑体"/>
          <w:b/>
          <w:bCs/>
          <w:kern w:val="0"/>
          <w:szCs w:val="21"/>
        </w:rPr>
      </w:pPr>
      <w:r w:rsidRPr="00362CE7">
        <w:rPr>
          <w:rFonts w:ascii="黑体" w:eastAsia="黑体" w:hAnsi="黑体" w:cs="黑体" w:hint="eastAsia"/>
          <w:b/>
          <w:bCs/>
          <w:kern w:val="0"/>
          <w:szCs w:val="21"/>
        </w:rPr>
        <w:t>本产品可投资不存在活跃交易市场，并且需要采用估值技术确定公允价值的资产；投资上述资产的比例可达到理财产品净资产</w:t>
      </w:r>
      <w:r w:rsidRPr="00362CE7">
        <w:rPr>
          <w:rFonts w:ascii="黑体" w:eastAsia="黑体" w:hAnsi="黑体" w:cs="黑体"/>
          <w:b/>
          <w:bCs/>
          <w:kern w:val="0"/>
          <w:szCs w:val="21"/>
        </w:rPr>
        <w:t>50%及以上。</w:t>
      </w:r>
    </w:p>
    <w:p w14:paraId="0A16C3D1" w14:textId="3141CD18" w:rsidR="000E7012" w:rsidRPr="00362CE7" w:rsidRDefault="000E7012"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lastRenderedPageBreak/>
        <w:t>具体投向如下：</w:t>
      </w:r>
    </w:p>
    <w:tbl>
      <w:tblPr>
        <w:tblW w:w="4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2071"/>
      </w:tblGrid>
      <w:tr w:rsidR="000E7012" w:rsidRPr="00362CE7" w14:paraId="193E80AC" w14:textId="77777777" w:rsidTr="00952C69">
        <w:trPr>
          <w:jc w:val="center"/>
        </w:trPr>
        <w:tc>
          <w:tcPr>
            <w:tcW w:w="3550" w:type="pct"/>
          </w:tcPr>
          <w:p w14:paraId="2662DDD4" w14:textId="77777777" w:rsidR="000E7012" w:rsidRPr="00362CE7" w:rsidRDefault="000E7012" w:rsidP="00952C69">
            <w:pPr>
              <w:ind w:firstLineChars="200" w:firstLine="420"/>
              <w:rPr>
                <w:rFonts w:ascii="黑体" w:eastAsia="黑体" w:hAnsi="黑体"/>
                <w:szCs w:val="21"/>
              </w:rPr>
            </w:pPr>
            <w:r w:rsidRPr="00362CE7">
              <w:rPr>
                <w:rFonts w:ascii="黑体" w:eastAsia="黑体" w:hAnsi="黑体" w:hint="eastAsia"/>
                <w:szCs w:val="21"/>
              </w:rPr>
              <w:t>投资资产</w:t>
            </w:r>
          </w:p>
        </w:tc>
        <w:tc>
          <w:tcPr>
            <w:tcW w:w="1450" w:type="pct"/>
          </w:tcPr>
          <w:p w14:paraId="39E4CAA2" w14:textId="77777777" w:rsidR="000E7012" w:rsidRPr="00362CE7" w:rsidRDefault="000E7012" w:rsidP="00952C69">
            <w:pPr>
              <w:rPr>
                <w:rFonts w:ascii="黑体" w:eastAsia="黑体" w:hAnsi="黑体"/>
                <w:szCs w:val="21"/>
              </w:rPr>
            </w:pPr>
            <w:r w:rsidRPr="00362CE7">
              <w:rPr>
                <w:rFonts w:ascii="黑体" w:eastAsia="黑体" w:hAnsi="黑体" w:hint="eastAsia"/>
                <w:szCs w:val="21"/>
              </w:rPr>
              <w:t>计划配置比例</w:t>
            </w:r>
          </w:p>
        </w:tc>
      </w:tr>
      <w:tr w:rsidR="000A4CD3" w:rsidRPr="00362CE7" w14:paraId="55569B95" w14:textId="77777777" w:rsidTr="00952C69">
        <w:trPr>
          <w:jc w:val="center"/>
        </w:trPr>
        <w:tc>
          <w:tcPr>
            <w:tcW w:w="3550" w:type="pct"/>
            <w:vAlign w:val="bottom"/>
          </w:tcPr>
          <w:p w14:paraId="0DDAF578" w14:textId="3A2F95C5" w:rsidR="000A4CD3" w:rsidRPr="00362CE7" w:rsidRDefault="000A4CD3" w:rsidP="000A4CD3">
            <w:pPr>
              <w:ind w:firstLineChars="200" w:firstLine="420"/>
              <w:rPr>
                <w:rFonts w:ascii="黑体" w:eastAsia="黑体" w:hAnsi="黑体"/>
                <w:szCs w:val="21"/>
              </w:rPr>
            </w:pPr>
            <w:r w:rsidRPr="00362CE7">
              <w:rPr>
                <w:rFonts w:ascii="黑体" w:eastAsia="黑体" w:hAnsi="黑体" w:hint="eastAsia"/>
                <w:szCs w:val="21"/>
              </w:rPr>
              <w:t>固定收益类</w:t>
            </w:r>
          </w:p>
        </w:tc>
        <w:tc>
          <w:tcPr>
            <w:tcW w:w="1450" w:type="pct"/>
          </w:tcPr>
          <w:p w14:paraId="2407ABCD" w14:textId="10FB90BC" w:rsidR="000A4CD3" w:rsidRPr="00362CE7" w:rsidRDefault="000A4CD3" w:rsidP="000A4CD3">
            <w:pPr>
              <w:ind w:firstLineChars="200" w:firstLine="420"/>
              <w:rPr>
                <w:rFonts w:ascii="黑体" w:eastAsia="黑体" w:hAnsi="黑体"/>
                <w:szCs w:val="21"/>
              </w:rPr>
            </w:pPr>
            <w:r w:rsidRPr="00362CE7">
              <w:rPr>
                <w:rFonts w:ascii="黑体" w:eastAsia="黑体" w:hAnsi="黑体"/>
                <w:szCs w:val="21"/>
              </w:rPr>
              <w:t>100%</w:t>
            </w:r>
          </w:p>
        </w:tc>
      </w:tr>
      <w:tr w:rsidR="000A4CD3" w:rsidRPr="00362CE7" w14:paraId="63E2576F" w14:textId="77777777" w:rsidTr="000E7012">
        <w:trPr>
          <w:trHeight w:val="259"/>
          <w:jc w:val="center"/>
        </w:trPr>
        <w:tc>
          <w:tcPr>
            <w:tcW w:w="3550" w:type="pct"/>
            <w:vAlign w:val="center"/>
          </w:tcPr>
          <w:p w14:paraId="769B813C" w14:textId="4E916E92" w:rsidR="000A4CD3" w:rsidRPr="00362CE7" w:rsidRDefault="000A4CD3" w:rsidP="000A4CD3">
            <w:pPr>
              <w:ind w:firstLineChars="200" w:firstLine="420"/>
              <w:rPr>
                <w:rFonts w:ascii="黑体" w:eastAsia="黑体" w:hAnsi="黑体"/>
                <w:szCs w:val="21"/>
              </w:rPr>
            </w:pPr>
            <w:r w:rsidRPr="00362CE7">
              <w:rPr>
                <w:rFonts w:ascii="黑体" w:eastAsia="黑体" w:hAnsi="黑体" w:hint="eastAsia"/>
                <w:szCs w:val="21"/>
              </w:rPr>
              <w:t>权益类</w:t>
            </w:r>
          </w:p>
        </w:tc>
        <w:tc>
          <w:tcPr>
            <w:tcW w:w="1450" w:type="pct"/>
            <w:vAlign w:val="center"/>
          </w:tcPr>
          <w:p w14:paraId="46B9E065" w14:textId="1DEC28F5" w:rsidR="000A4CD3" w:rsidRPr="00362CE7" w:rsidRDefault="000A4CD3" w:rsidP="000A4CD3">
            <w:pPr>
              <w:ind w:firstLineChars="200" w:firstLine="420"/>
              <w:rPr>
                <w:rFonts w:ascii="黑体" w:eastAsia="黑体" w:hAnsi="黑体"/>
                <w:szCs w:val="21"/>
              </w:rPr>
            </w:pPr>
            <w:r w:rsidRPr="00362CE7">
              <w:rPr>
                <w:rFonts w:ascii="黑体" w:eastAsia="黑体" w:hAnsi="黑体"/>
                <w:szCs w:val="21"/>
              </w:rPr>
              <w:t>0%</w:t>
            </w:r>
          </w:p>
        </w:tc>
      </w:tr>
      <w:tr w:rsidR="000A4CD3" w:rsidRPr="00362CE7" w14:paraId="683A282F" w14:textId="77777777" w:rsidTr="000E7012">
        <w:trPr>
          <w:trHeight w:val="259"/>
          <w:jc w:val="center"/>
        </w:trPr>
        <w:tc>
          <w:tcPr>
            <w:tcW w:w="3550" w:type="pct"/>
            <w:vAlign w:val="center"/>
          </w:tcPr>
          <w:p w14:paraId="0EB84CD4" w14:textId="3C4BC63C" w:rsidR="000A4CD3" w:rsidRPr="00362CE7" w:rsidRDefault="000A4CD3" w:rsidP="000A4CD3">
            <w:pPr>
              <w:ind w:firstLineChars="200" w:firstLine="420"/>
              <w:rPr>
                <w:rFonts w:ascii="黑体" w:eastAsia="黑体" w:hAnsi="黑体"/>
                <w:szCs w:val="21"/>
              </w:rPr>
            </w:pPr>
            <w:r w:rsidRPr="00362CE7">
              <w:rPr>
                <w:rFonts w:ascii="黑体" w:eastAsia="黑体" w:hAnsi="黑体" w:hint="eastAsia"/>
                <w:szCs w:val="21"/>
              </w:rPr>
              <w:t>商品及金融衍生品类</w:t>
            </w:r>
          </w:p>
        </w:tc>
        <w:tc>
          <w:tcPr>
            <w:tcW w:w="1450" w:type="pct"/>
            <w:vAlign w:val="center"/>
          </w:tcPr>
          <w:p w14:paraId="4F681D55" w14:textId="07EBFC60" w:rsidR="000A4CD3" w:rsidRPr="00362CE7" w:rsidRDefault="000A4CD3" w:rsidP="000A4CD3">
            <w:pPr>
              <w:ind w:firstLineChars="200" w:firstLine="420"/>
              <w:rPr>
                <w:rFonts w:ascii="黑体" w:eastAsia="黑体" w:hAnsi="黑体"/>
                <w:szCs w:val="21"/>
              </w:rPr>
            </w:pPr>
            <w:r w:rsidRPr="00362CE7">
              <w:rPr>
                <w:rFonts w:ascii="黑体" w:eastAsia="黑体" w:hAnsi="黑体"/>
                <w:szCs w:val="21"/>
              </w:rPr>
              <w:t>0%</w:t>
            </w:r>
          </w:p>
        </w:tc>
      </w:tr>
    </w:tbl>
    <w:p w14:paraId="6A0F32B9" w14:textId="1761ED9E" w:rsidR="00F918CB" w:rsidRPr="00362CE7" w:rsidRDefault="00F918CB"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00AD67F1" w:rsidRPr="00362CE7">
        <w:rPr>
          <w:rFonts w:ascii="黑体" w:eastAsia="黑体" w:hAnsi="黑体" w:hint="eastAsia"/>
          <w:szCs w:val="21"/>
        </w:rPr>
        <w:t>本产品可以通过质押式和买断式债券正回购进行融资。</w:t>
      </w:r>
      <w:r w:rsidRPr="00362CE7">
        <w:rPr>
          <w:rFonts w:ascii="黑体" w:eastAsia="黑体" w:hAnsi="黑体" w:cs="黑体" w:hint="eastAsia"/>
          <w:kern w:val="0"/>
          <w:szCs w:val="21"/>
        </w:rPr>
        <w:t>本产品</w:t>
      </w:r>
      <w:r w:rsidRPr="00362CE7">
        <w:rPr>
          <w:rFonts w:ascii="黑体" w:eastAsia="黑体" w:hAnsi="黑体" w:cs="黑体"/>
          <w:kern w:val="0"/>
          <w:szCs w:val="21"/>
        </w:rPr>
        <w:t>的</w:t>
      </w:r>
      <w:r w:rsidRPr="00362CE7">
        <w:rPr>
          <w:rFonts w:ascii="黑体" w:eastAsia="黑体" w:hAnsi="黑体" w:cs="黑体" w:hint="eastAsia"/>
          <w:kern w:val="0"/>
          <w:szCs w:val="21"/>
        </w:rPr>
        <w:t>杠杆率</w:t>
      </w:r>
      <w:r w:rsidRPr="00362CE7">
        <w:rPr>
          <w:rFonts w:ascii="黑体" w:eastAsia="黑体" w:hAnsi="黑体" w:cs="黑体"/>
          <w:kern w:val="0"/>
          <w:szCs w:val="21"/>
        </w:rPr>
        <w:t>不超过</w:t>
      </w:r>
      <w:r w:rsidR="00757CB3" w:rsidRPr="00362CE7">
        <w:rPr>
          <w:rFonts w:ascii="黑体" w:eastAsia="黑体" w:hAnsi="黑体" w:cs="黑体"/>
          <w:kern w:val="0"/>
          <w:szCs w:val="21"/>
        </w:rPr>
        <w:t>140</w:t>
      </w:r>
      <w:r w:rsidR="00757CB3" w:rsidRPr="00362CE7">
        <w:rPr>
          <w:rFonts w:ascii="黑体" w:eastAsia="黑体" w:hAnsi="黑体" w:cs="黑体" w:hint="eastAsia"/>
          <w:kern w:val="0"/>
          <w:szCs w:val="21"/>
        </w:rPr>
        <w:t>%</w:t>
      </w:r>
      <w:r w:rsidR="004A3460" w:rsidRPr="00362CE7">
        <w:rPr>
          <w:rFonts w:ascii="黑体" w:eastAsia="黑体" w:hAnsi="黑体" w:cs="黑体" w:hint="eastAsia"/>
          <w:kern w:val="0"/>
          <w:szCs w:val="21"/>
        </w:rPr>
        <w:t>。</w:t>
      </w:r>
    </w:p>
    <w:p w14:paraId="6419D52C" w14:textId="37A679B9" w:rsidR="00F918CB" w:rsidRPr="00362CE7" w:rsidRDefault="00F918CB"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2、本产品存续期间的投资比例将按上述计划配置比例合理浮动，非因主观因素导致突破上述比例限制的，</w:t>
      </w:r>
      <w:r w:rsidR="00050371" w:rsidRPr="00362CE7">
        <w:rPr>
          <w:rFonts w:ascii="黑体" w:eastAsia="黑体" w:hAnsi="黑体" w:cs="黑体" w:hint="eastAsia"/>
          <w:kern w:val="0"/>
          <w:szCs w:val="21"/>
        </w:rPr>
        <w:t>产品管理人</w:t>
      </w:r>
      <w:r w:rsidRPr="00362CE7">
        <w:rPr>
          <w:rFonts w:ascii="黑体" w:eastAsia="黑体" w:hAnsi="黑体" w:cs="黑体" w:hint="eastAsia"/>
          <w:kern w:val="0"/>
          <w:szCs w:val="21"/>
        </w:rPr>
        <w:t>将在流动性受限资产可出售、可转让或者恢复交易</w:t>
      </w:r>
      <w:r w:rsidR="00050371" w:rsidRPr="00362CE7">
        <w:rPr>
          <w:rFonts w:ascii="黑体" w:eastAsia="黑体" w:hAnsi="黑体" w:cs="黑体" w:hint="eastAsia"/>
          <w:kern w:val="0"/>
          <w:szCs w:val="21"/>
        </w:rPr>
        <w:t>之日</w:t>
      </w:r>
      <w:r w:rsidRPr="00362CE7">
        <w:rPr>
          <w:rFonts w:ascii="黑体" w:eastAsia="黑体" w:hAnsi="黑体" w:cs="黑体" w:hint="eastAsia"/>
          <w:kern w:val="0"/>
          <w:szCs w:val="21"/>
        </w:rPr>
        <w:t>的</w:t>
      </w:r>
      <w:r w:rsidRPr="00362CE7">
        <w:rPr>
          <w:rFonts w:ascii="黑体" w:eastAsia="黑体" w:hAnsi="黑体" w:cs="黑体"/>
          <w:kern w:val="0"/>
          <w:szCs w:val="21"/>
        </w:rPr>
        <w:t>15个</w:t>
      </w:r>
      <w:r w:rsidR="00D6463A" w:rsidRPr="00362CE7">
        <w:rPr>
          <w:rFonts w:ascii="黑体" w:eastAsia="黑体" w:hAnsi="黑体" w:cs="黑体" w:hint="eastAsia"/>
          <w:kern w:val="0"/>
          <w:szCs w:val="21"/>
        </w:rPr>
        <w:t>交易日内</w:t>
      </w:r>
      <w:r w:rsidRPr="00362CE7">
        <w:rPr>
          <w:rFonts w:ascii="黑体" w:eastAsia="黑体" w:hAnsi="黑体" w:cs="黑体"/>
          <w:kern w:val="0"/>
          <w:szCs w:val="21"/>
        </w:rPr>
        <w:t>将投资比例调整至符合要求</w:t>
      </w:r>
      <w:r w:rsidR="004A3460" w:rsidRPr="00362CE7">
        <w:rPr>
          <w:rFonts w:ascii="黑体" w:eastAsia="黑体" w:hAnsi="黑体" w:cs="黑体" w:hint="eastAsia"/>
          <w:kern w:val="0"/>
          <w:szCs w:val="21"/>
        </w:rPr>
        <w:t>。</w:t>
      </w:r>
    </w:p>
    <w:p w14:paraId="64B488CA" w14:textId="691A5B1F" w:rsidR="00F918CB" w:rsidRPr="00362CE7" w:rsidRDefault="00582B53"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3、在本产品存续期内，前述投资比例暂时超出浮动区间且可能对产品单位净值产生重大影响的，产品管理人将根据</w:t>
      </w:r>
      <w:r w:rsidR="00933755" w:rsidRPr="00362CE7">
        <w:rPr>
          <w:rFonts w:ascii="黑体" w:eastAsia="黑体" w:hAnsi="黑体" w:cs="黑体" w:hint="eastAsia"/>
          <w:kern w:val="0"/>
          <w:szCs w:val="21"/>
        </w:rPr>
        <w:t>理财产品</w:t>
      </w:r>
      <w:r w:rsidR="00AA2EAD" w:rsidRPr="00362CE7">
        <w:rPr>
          <w:rFonts w:ascii="黑体" w:eastAsia="黑体" w:hAnsi="黑体" w:cs="黑体" w:hint="eastAsia"/>
          <w:kern w:val="0"/>
          <w:szCs w:val="21"/>
        </w:rPr>
        <w:t>销售文件</w:t>
      </w:r>
      <w:r w:rsidRPr="00362CE7">
        <w:rPr>
          <w:rFonts w:ascii="黑体" w:eastAsia="黑体" w:hAnsi="黑体" w:cs="黑体" w:hint="eastAsia"/>
          <w:kern w:val="0"/>
          <w:szCs w:val="21"/>
        </w:rPr>
        <w:t>约定向投资者进行信息披露</w:t>
      </w:r>
      <w:r w:rsidR="00B018FB" w:rsidRPr="00362CE7">
        <w:rPr>
          <w:rFonts w:ascii="黑体" w:eastAsia="黑体" w:hAnsi="黑体" w:cs="黑体" w:hint="eastAsia"/>
          <w:kern w:val="0"/>
          <w:szCs w:val="21"/>
        </w:rPr>
        <w:t>。</w:t>
      </w:r>
    </w:p>
    <w:p w14:paraId="28FC1D04" w14:textId="65A7B6ED" w:rsidR="00273D95" w:rsidRPr="00362CE7" w:rsidRDefault="00273D95" w:rsidP="00310FD3">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4、</w:t>
      </w:r>
      <w:r w:rsidR="000853EA" w:rsidRPr="00362CE7">
        <w:rPr>
          <w:rFonts w:ascii="黑体" w:eastAsia="黑体" w:hAnsi="黑体" w:cs="黑体" w:hint="eastAsia"/>
          <w:b/>
          <w:kern w:val="0"/>
          <w:szCs w:val="21"/>
        </w:rPr>
        <w:t>产品</w:t>
      </w:r>
      <w:r w:rsidR="000853EA" w:rsidRPr="00362CE7">
        <w:rPr>
          <w:rFonts w:ascii="黑体" w:eastAsia="黑体" w:hAnsi="黑体" w:cs="黑体"/>
          <w:b/>
          <w:kern w:val="0"/>
          <w:szCs w:val="21"/>
        </w:rPr>
        <w:t>管理人</w:t>
      </w:r>
      <w:r w:rsidRPr="00362CE7">
        <w:rPr>
          <w:rFonts w:ascii="黑体" w:eastAsia="黑体" w:hAnsi="黑体" w:cs="黑体" w:hint="eastAsia"/>
          <w:b/>
          <w:kern w:val="0"/>
          <w:szCs w:val="21"/>
        </w:rPr>
        <w:t>有权对投资范围、投资品种或投资比例进行调整，若发生调整情况，将提前至少</w:t>
      </w:r>
      <w:r w:rsidR="00757CB3" w:rsidRPr="00362CE7">
        <w:rPr>
          <w:rFonts w:ascii="黑体" w:eastAsia="黑体" w:hAnsi="黑体" w:cs="黑体"/>
          <w:b/>
          <w:bCs/>
          <w:kern w:val="0"/>
          <w:szCs w:val="21"/>
        </w:rPr>
        <w:t>3</w:t>
      </w:r>
      <w:r w:rsidR="00757CB3" w:rsidRPr="00362CE7">
        <w:rPr>
          <w:rFonts w:ascii="黑体" w:eastAsia="黑体" w:hAnsi="黑体" w:cs="黑体" w:hint="eastAsia"/>
          <w:b/>
          <w:bCs/>
          <w:kern w:val="0"/>
          <w:szCs w:val="21"/>
        </w:rPr>
        <w:t>个</w:t>
      </w:r>
      <w:r w:rsidRPr="00362CE7">
        <w:rPr>
          <w:rFonts w:ascii="黑体" w:eastAsia="黑体" w:hAnsi="黑体" w:cs="黑体"/>
          <w:b/>
          <w:kern w:val="0"/>
          <w:szCs w:val="21"/>
        </w:rPr>
        <w:t>工作日进行相关信息披露。</w:t>
      </w:r>
      <w:r w:rsidR="00662662" w:rsidRPr="00362CE7">
        <w:rPr>
          <w:rFonts w:ascii="黑体" w:eastAsia="黑体" w:hAnsi="黑体" w:cs="黑体" w:hint="eastAsia"/>
          <w:b/>
          <w:kern w:val="0"/>
          <w:szCs w:val="21"/>
        </w:rPr>
        <w:t>上述情况下产品</w:t>
      </w:r>
      <w:r w:rsidR="00662662" w:rsidRPr="00362CE7">
        <w:rPr>
          <w:rFonts w:ascii="黑体" w:eastAsia="黑体" w:hAnsi="黑体" w:cs="黑体"/>
          <w:b/>
          <w:kern w:val="0"/>
          <w:szCs w:val="21"/>
        </w:rPr>
        <w:t>管理人</w:t>
      </w:r>
      <w:r w:rsidR="00662662" w:rsidRPr="00362CE7">
        <w:rPr>
          <w:rFonts w:ascii="黑体" w:eastAsia="黑体" w:hAnsi="黑体" w:cs="黑体" w:hint="eastAsia"/>
          <w:b/>
          <w:kern w:val="0"/>
          <w:szCs w:val="21"/>
        </w:rPr>
        <w:t>将可能开放赎回，具体以信息披露公告为准。投资者不同意公告内容的，可按公告约定全部赎回本产品。若投资者在公告执行后继续持有本产品的，视同接受公告内容。</w:t>
      </w:r>
      <w:r w:rsidRPr="00362CE7">
        <w:rPr>
          <w:rFonts w:ascii="黑体" w:eastAsia="黑体" w:hAnsi="黑体" w:cs="黑体" w:hint="eastAsia"/>
          <w:b/>
          <w:kern w:val="0"/>
          <w:szCs w:val="21"/>
        </w:rPr>
        <w:t>进行上述调整时，除高风险类型的理财产品超出比例范围投资较低风险资产外，</w:t>
      </w:r>
      <w:r w:rsidR="000853EA" w:rsidRPr="00362CE7">
        <w:rPr>
          <w:rFonts w:ascii="黑体" w:eastAsia="黑体" w:hAnsi="黑体" w:cs="黑体" w:hint="eastAsia"/>
          <w:b/>
          <w:kern w:val="0"/>
          <w:szCs w:val="21"/>
        </w:rPr>
        <w:t>产品</w:t>
      </w:r>
      <w:r w:rsidR="000853EA" w:rsidRPr="00362CE7">
        <w:rPr>
          <w:rFonts w:ascii="黑体" w:eastAsia="黑体" w:hAnsi="黑体" w:cs="黑体"/>
          <w:b/>
          <w:kern w:val="0"/>
          <w:szCs w:val="21"/>
        </w:rPr>
        <w:t>管理人</w:t>
      </w:r>
      <w:r w:rsidRPr="00362CE7">
        <w:rPr>
          <w:rFonts w:ascii="黑体" w:eastAsia="黑体" w:hAnsi="黑体" w:cs="黑体" w:hint="eastAsia"/>
          <w:b/>
          <w:kern w:val="0"/>
          <w:szCs w:val="21"/>
        </w:rPr>
        <w:t>将事先取得投资者书面同意。</w:t>
      </w:r>
    </w:p>
    <w:p w14:paraId="2D14CEEC" w14:textId="2B576835" w:rsidR="00BB3984" w:rsidRPr="00362CE7" w:rsidRDefault="00BB3984" w:rsidP="004B04B2">
      <w:pPr>
        <w:autoSpaceDE w:val="0"/>
        <w:autoSpaceDN w:val="0"/>
        <w:adjustRightInd w:val="0"/>
        <w:jc w:val="left"/>
        <w:rPr>
          <w:rFonts w:ascii="黑体" w:eastAsia="黑体" w:hAnsi="黑体" w:cs="黑体"/>
          <w:bCs/>
          <w:kern w:val="0"/>
          <w:szCs w:val="21"/>
        </w:rPr>
      </w:pPr>
      <w:r w:rsidRPr="00362CE7">
        <w:rPr>
          <w:rFonts w:ascii="黑体" w:eastAsia="黑体" w:hAnsi="黑体" w:cs="黑体" w:hint="eastAsia"/>
          <w:bCs/>
          <w:kern w:val="0"/>
          <w:szCs w:val="21"/>
        </w:rPr>
        <w:t>（二</w:t>
      </w:r>
      <w:r w:rsidRPr="00362CE7">
        <w:rPr>
          <w:rFonts w:ascii="黑体" w:eastAsia="黑体" w:hAnsi="黑体" w:cs="黑体"/>
          <w:bCs/>
          <w:kern w:val="0"/>
          <w:szCs w:val="21"/>
        </w:rPr>
        <w:t>）</w:t>
      </w:r>
      <w:r w:rsidRPr="00362CE7">
        <w:rPr>
          <w:rFonts w:ascii="黑体" w:eastAsia="黑体" w:hAnsi="黑体" w:cs="黑体" w:hint="eastAsia"/>
          <w:bCs/>
          <w:kern w:val="0"/>
          <w:szCs w:val="21"/>
        </w:rPr>
        <w:t>拟</w:t>
      </w:r>
      <w:r w:rsidRPr="00362CE7">
        <w:rPr>
          <w:rFonts w:ascii="黑体" w:eastAsia="黑体" w:hAnsi="黑体" w:cs="黑体"/>
          <w:bCs/>
          <w:kern w:val="0"/>
          <w:szCs w:val="21"/>
        </w:rPr>
        <w:t>投资市场</w:t>
      </w:r>
      <w:r w:rsidRPr="00362CE7">
        <w:rPr>
          <w:rFonts w:ascii="黑体" w:eastAsia="黑体" w:hAnsi="黑体" w:cs="黑体" w:hint="eastAsia"/>
          <w:bCs/>
          <w:kern w:val="0"/>
          <w:szCs w:val="21"/>
        </w:rPr>
        <w:t>和</w:t>
      </w:r>
      <w:r w:rsidRPr="00362CE7">
        <w:rPr>
          <w:rFonts w:ascii="黑体" w:eastAsia="黑体" w:hAnsi="黑体" w:cs="黑体"/>
          <w:bCs/>
          <w:kern w:val="0"/>
          <w:szCs w:val="21"/>
        </w:rPr>
        <w:t>资产</w:t>
      </w:r>
      <w:r w:rsidRPr="00362CE7">
        <w:rPr>
          <w:rFonts w:ascii="黑体" w:eastAsia="黑体" w:hAnsi="黑体" w:cs="黑体" w:hint="eastAsia"/>
          <w:bCs/>
          <w:kern w:val="0"/>
          <w:szCs w:val="21"/>
        </w:rPr>
        <w:t>的</w:t>
      </w:r>
      <w:r w:rsidRPr="00362CE7">
        <w:rPr>
          <w:rFonts w:ascii="黑体" w:eastAsia="黑体" w:hAnsi="黑体" w:cs="黑体"/>
          <w:bCs/>
          <w:kern w:val="0"/>
          <w:szCs w:val="21"/>
        </w:rPr>
        <w:t>风险评估</w:t>
      </w:r>
    </w:p>
    <w:p w14:paraId="74E6403E" w14:textId="6CD4A224" w:rsidR="00285590" w:rsidRPr="00362CE7" w:rsidRDefault="00982031" w:rsidP="00BF52B9">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00285590" w:rsidRPr="00362CE7">
        <w:rPr>
          <w:rFonts w:ascii="黑体" w:eastAsia="黑体" w:hAnsi="黑体" w:cs="黑体" w:hint="eastAsia"/>
          <w:kern w:val="0"/>
          <w:szCs w:val="21"/>
        </w:rPr>
        <w:t>产品</w:t>
      </w:r>
      <w:r w:rsidR="00351D8F" w:rsidRPr="00362CE7">
        <w:rPr>
          <w:rFonts w:ascii="黑体" w:eastAsia="黑体" w:hAnsi="黑体" w:cs="黑体" w:hint="eastAsia"/>
          <w:kern w:val="0"/>
          <w:szCs w:val="21"/>
        </w:rPr>
        <w:t>拟</w:t>
      </w:r>
      <w:r w:rsidR="00351D8F" w:rsidRPr="00362CE7">
        <w:rPr>
          <w:rFonts w:ascii="黑体" w:eastAsia="黑体" w:hAnsi="黑体" w:cs="黑体"/>
          <w:kern w:val="0"/>
          <w:szCs w:val="21"/>
        </w:rPr>
        <w:t>投资</w:t>
      </w:r>
      <w:r w:rsidR="00351D8F" w:rsidRPr="00362CE7">
        <w:rPr>
          <w:rFonts w:ascii="黑体" w:eastAsia="黑体" w:hAnsi="黑体" w:cs="黑体" w:hint="eastAsia"/>
          <w:kern w:val="0"/>
          <w:szCs w:val="21"/>
        </w:rPr>
        <w:t>资产</w:t>
      </w:r>
      <w:r w:rsidR="00351D8F" w:rsidRPr="00362CE7">
        <w:rPr>
          <w:rFonts w:ascii="黑体" w:eastAsia="黑体" w:hAnsi="黑体" w:cs="黑体"/>
          <w:kern w:val="0"/>
          <w:szCs w:val="21"/>
        </w:rPr>
        <w:t>类型</w:t>
      </w:r>
      <w:r w:rsidR="00351D8F" w:rsidRPr="00362CE7">
        <w:rPr>
          <w:rFonts w:ascii="黑体" w:eastAsia="黑体" w:hAnsi="黑体" w:cs="黑体" w:hint="eastAsia"/>
          <w:kern w:val="0"/>
          <w:szCs w:val="21"/>
        </w:rPr>
        <w:t>以</w:t>
      </w:r>
      <w:r w:rsidR="00351D8F" w:rsidRPr="00362CE7">
        <w:rPr>
          <w:rFonts w:ascii="黑体" w:eastAsia="黑体" w:hAnsi="黑体" w:cs="黑体"/>
          <w:kern w:val="0"/>
          <w:szCs w:val="21"/>
        </w:rPr>
        <w:t>本说明</w:t>
      </w:r>
      <w:r w:rsidR="00351D8F" w:rsidRPr="00362CE7">
        <w:rPr>
          <w:rFonts w:ascii="黑体" w:eastAsia="黑体" w:hAnsi="黑体" w:cs="黑体" w:hint="eastAsia"/>
          <w:kern w:val="0"/>
          <w:szCs w:val="21"/>
        </w:rPr>
        <w:t>书</w:t>
      </w:r>
      <w:r w:rsidR="00BF38EE" w:rsidRPr="00362CE7">
        <w:rPr>
          <w:rFonts w:ascii="黑体" w:eastAsia="黑体" w:hAnsi="黑体" w:cs="黑体"/>
          <w:kern w:val="0"/>
          <w:szCs w:val="21"/>
        </w:rPr>
        <w:t>第</w:t>
      </w:r>
      <w:r w:rsidR="00BF38EE" w:rsidRPr="00362CE7">
        <w:rPr>
          <w:rFonts w:ascii="黑体" w:eastAsia="黑体" w:hAnsi="黑体" w:cs="黑体" w:hint="eastAsia"/>
          <w:kern w:val="0"/>
          <w:szCs w:val="21"/>
        </w:rPr>
        <w:t>三（一）</w:t>
      </w:r>
      <w:r w:rsidR="00351D8F" w:rsidRPr="00362CE7">
        <w:rPr>
          <w:rFonts w:ascii="黑体" w:eastAsia="黑体" w:hAnsi="黑体" w:cs="黑体"/>
          <w:kern w:val="0"/>
          <w:szCs w:val="21"/>
        </w:rPr>
        <w:t>条</w:t>
      </w:r>
      <w:r w:rsidR="00351D8F" w:rsidRPr="00362CE7">
        <w:rPr>
          <w:rFonts w:ascii="黑体" w:eastAsia="黑体" w:hAnsi="黑体" w:cs="黑体" w:hint="eastAsia"/>
          <w:kern w:val="0"/>
          <w:szCs w:val="21"/>
        </w:rPr>
        <w:t>载明</w:t>
      </w:r>
      <w:r w:rsidR="00351D8F" w:rsidRPr="00362CE7">
        <w:rPr>
          <w:rFonts w:ascii="黑体" w:eastAsia="黑体" w:hAnsi="黑体" w:cs="黑体"/>
          <w:kern w:val="0"/>
          <w:szCs w:val="21"/>
        </w:rPr>
        <w:t>为准。</w:t>
      </w:r>
    </w:p>
    <w:p w14:paraId="555A91DE" w14:textId="511150AE" w:rsidR="005A2313" w:rsidRPr="00362CE7" w:rsidRDefault="00285590" w:rsidP="00BF52B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投资于上述</w:t>
      </w:r>
      <w:r w:rsidRPr="00362CE7">
        <w:rPr>
          <w:rFonts w:ascii="黑体" w:eastAsia="黑体" w:hAnsi="黑体" w:cs="黑体"/>
          <w:b/>
          <w:kern w:val="0"/>
          <w:szCs w:val="21"/>
        </w:rPr>
        <w:t>市场和资产</w:t>
      </w:r>
      <w:r w:rsidRPr="00362CE7">
        <w:rPr>
          <w:rFonts w:ascii="黑体" w:eastAsia="黑体" w:hAnsi="黑体" w:cs="黑体" w:hint="eastAsia"/>
          <w:b/>
          <w:kern w:val="0"/>
          <w:szCs w:val="21"/>
        </w:rPr>
        <w:t>，</w:t>
      </w:r>
      <w:r w:rsidR="002619BF" w:rsidRPr="00362CE7">
        <w:rPr>
          <w:rFonts w:ascii="黑体" w:eastAsia="黑体" w:hAnsi="黑体" w:cs="黑体" w:hint="eastAsia"/>
          <w:b/>
          <w:kern w:val="0"/>
          <w:szCs w:val="21"/>
        </w:rPr>
        <w:t>可能</w:t>
      </w:r>
      <w:r w:rsidRPr="00362CE7">
        <w:rPr>
          <w:rFonts w:ascii="黑体" w:eastAsia="黑体" w:hAnsi="黑体" w:cs="黑体"/>
          <w:b/>
          <w:kern w:val="0"/>
          <w:szCs w:val="21"/>
        </w:rPr>
        <w:t>面临</w:t>
      </w:r>
      <w:r w:rsidR="00132542" w:rsidRPr="00362CE7">
        <w:rPr>
          <w:rFonts w:ascii="黑体" w:eastAsia="黑体" w:hAnsi="黑体" w:cs="黑体" w:hint="eastAsia"/>
          <w:b/>
          <w:kern w:val="0"/>
          <w:szCs w:val="21"/>
        </w:rPr>
        <w:t>包括但不限于</w:t>
      </w:r>
      <w:r w:rsidRPr="00362CE7">
        <w:rPr>
          <w:rFonts w:ascii="黑体" w:eastAsia="黑体" w:hAnsi="黑体" w:cs="黑体"/>
          <w:b/>
          <w:kern w:val="0"/>
          <w:szCs w:val="21"/>
        </w:rPr>
        <w:t>如下风险：</w:t>
      </w:r>
    </w:p>
    <w:p w14:paraId="32C06AEF" w14:textId="5AA43FF6" w:rsidR="00362C87" w:rsidRPr="00362CE7" w:rsidRDefault="00B01740" w:rsidP="00BF52B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政策</w:t>
      </w:r>
      <w:r w:rsidR="00AD4276" w:rsidRPr="00362CE7">
        <w:rPr>
          <w:rFonts w:ascii="黑体" w:eastAsia="黑体" w:hAnsi="黑体" w:cs="黑体" w:hint="eastAsia"/>
          <w:b/>
          <w:kern w:val="0"/>
          <w:szCs w:val="21"/>
        </w:rPr>
        <w:t>风险</w:t>
      </w:r>
      <w:r w:rsidR="00AD4276" w:rsidRPr="00362CE7">
        <w:rPr>
          <w:rFonts w:ascii="黑体" w:eastAsia="黑体" w:hAnsi="黑体" w:cs="黑体"/>
          <w:b/>
          <w:kern w:val="0"/>
          <w:szCs w:val="21"/>
        </w:rPr>
        <w:t>：</w:t>
      </w:r>
      <w:r w:rsidR="00AD4276" w:rsidRPr="00362CE7">
        <w:rPr>
          <w:rFonts w:ascii="黑体" w:eastAsia="黑体" w:hAnsi="黑体" w:cs="黑体" w:hint="eastAsia"/>
          <w:b/>
          <w:kern w:val="0"/>
          <w:szCs w:val="21"/>
        </w:rPr>
        <w:t>理财产品在运作过程中，由于国家</w:t>
      </w:r>
      <w:r w:rsidRPr="00362CE7">
        <w:rPr>
          <w:rFonts w:ascii="黑体" w:eastAsia="黑体" w:hAnsi="黑体" w:cs="黑体" w:hint="eastAsia"/>
          <w:b/>
          <w:kern w:val="0"/>
          <w:szCs w:val="21"/>
        </w:rPr>
        <w:t>宏观</w:t>
      </w:r>
      <w:r w:rsidR="00AD4276" w:rsidRPr="00362CE7">
        <w:rPr>
          <w:rFonts w:ascii="黑体" w:eastAsia="黑体" w:hAnsi="黑体" w:cs="黑体" w:hint="eastAsia"/>
          <w:b/>
          <w:kern w:val="0"/>
          <w:szCs w:val="21"/>
        </w:rPr>
        <w:t>政策</w:t>
      </w:r>
      <w:r w:rsidRPr="00362CE7">
        <w:rPr>
          <w:rFonts w:ascii="黑体" w:eastAsia="黑体" w:hAnsi="黑体" w:cs="黑体" w:hint="eastAsia"/>
          <w:b/>
          <w:kern w:val="0"/>
          <w:szCs w:val="21"/>
        </w:rPr>
        <w:t>以及市场相关法律法规、监管规定</w:t>
      </w:r>
      <w:r w:rsidR="00AD4276" w:rsidRPr="00362CE7">
        <w:rPr>
          <w:rFonts w:ascii="黑体" w:eastAsia="黑体" w:hAnsi="黑体" w:cs="黑体" w:hint="eastAsia"/>
          <w:b/>
          <w:kern w:val="0"/>
          <w:szCs w:val="21"/>
        </w:rPr>
        <w:t>发生变化</w:t>
      </w:r>
      <w:r w:rsidR="002619BF" w:rsidRPr="00362CE7">
        <w:rPr>
          <w:rFonts w:ascii="黑体" w:eastAsia="黑体" w:hAnsi="黑体" w:cs="黑体" w:hint="eastAsia"/>
          <w:b/>
          <w:kern w:val="0"/>
          <w:szCs w:val="21"/>
        </w:rPr>
        <w:t>，</w:t>
      </w:r>
      <w:r w:rsidR="00AD4276" w:rsidRPr="00362CE7">
        <w:rPr>
          <w:rFonts w:ascii="黑体" w:eastAsia="黑体" w:hAnsi="黑体" w:cs="黑体" w:hint="eastAsia"/>
          <w:b/>
          <w:kern w:val="0"/>
          <w:szCs w:val="21"/>
        </w:rPr>
        <w:t>导致产品</w:t>
      </w:r>
      <w:r w:rsidR="001D1363" w:rsidRPr="00362CE7">
        <w:rPr>
          <w:rFonts w:ascii="黑体" w:eastAsia="黑体" w:hAnsi="黑体" w:cs="黑体" w:hint="eastAsia"/>
          <w:b/>
          <w:kern w:val="0"/>
          <w:szCs w:val="21"/>
        </w:rPr>
        <w:t>的发行、投资、兑付等流程受到影响，进而影响产品的投资运作和收益的风险。</w:t>
      </w:r>
    </w:p>
    <w:p w14:paraId="1E169D06" w14:textId="4E9B1456" w:rsidR="00362C87" w:rsidRPr="00362CE7" w:rsidRDefault="00362C87" w:rsidP="00BF52B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市场风险：理财产品在运作过程中，由于市场变化造成产品</w:t>
      </w:r>
      <w:r w:rsidR="00AD4276" w:rsidRPr="00362CE7">
        <w:rPr>
          <w:rFonts w:ascii="黑体" w:eastAsia="黑体" w:hAnsi="黑体" w:cs="黑体" w:hint="eastAsia"/>
          <w:b/>
          <w:kern w:val="0"/>
          <w:szCs w:val="21"/>
        </w:rPr>
        <w:t>所投资产价格波动、从而影响理财产品</w:t>
      </w:r>
      <w:r w:rsidRPr="00362CE7">
        <w:rPr>
          <w:rFonts w:ascii="黑体" w:eastAsia="黑体" w:hAnsi="黑体" w:cs="黑体" w:hint="eastAsia"/>
          <w:b/>
          <w:kern w:val="0"/>
          <w:szCs w:val="21"/>
        </w:rPr>
        <w:t>收益的风险。市场风险包括但不限于投资债券面临的利率变化及债券价格波动带来的风险，投资股票面临的股票价格波动带来的风险，投资商品及金融衍生品面临的商品及衍生品价格波动带来的风险等。</w:t>
      </w:r>
    </w:p>
    <w:p w14:paraId="62C8AE4A" w14:textId="4F5DACCF" w:rsidR="00AD4276" w:rsidRPr="00362CE7" w:rsidRDefault="00AD4276" w:rsidP="00BF52B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信用</w:t>
      </w:r>
      <w:r w:rsidRPr="00362CE7">
        <w:rPr>
          <w:rFonts w:ascii="黑体" w:eastAsia="黑体" w:hAnsi="黑体" w:cs="黑体"/>
          <w:b/>
          <w:kern w:val="0"/>
          <w:szCs w:val="21"/>
        </w:rPr>
        <w:t>风险：</w:t>
      </w:r>
      <w:r w:rsidR="00362C87" w:rsidRPr="00362CE7">
        <w:rPr>
          <w:rFonts w:ascii="黑体" w:eastAsia="黑体" w:hAnsi="黑体" w:cs="黑体" w:hint="eastAsia"/>
          <w:b/>
          <w:kern w:val="0"/>
          <w:szCs w:val="21"/>
        </w:rPr>
        <w:t>理财产品</w:t>
      </w:r>
      <w:r w:rsidRPr="00362CE7">
        <w:rPr>
          <w:rFonts w:ascii="黑体" w:eastAsia="黑体" w:hAnsi="黑体" w:cs="黑体" w:hint="eastAsia"/>
          <w:b/>
          <w:kern w:val="0"/>
          <w:szCs w:val="21"/>
        </w:rPr>
        <w:t>所投资产的</w:t>
      </w:r>
      <w:r w:rsidR="002B63D2" w:rsidRPr="00362CE7">
        <w:rPr>
          <w:rFonts w:ascii="黑体" w:eastAsia="黑体" w:hAnsi="黑体" w:cs="黑体" w:hint="eastAsia"/>
          <w:b/>
          <w:kern w:val="0"/>
          <w:szCs w:val="21"/>
        </w:rPr>
        <w:t>相关</w:t>
      </w:r>
      <w:r w:rsidR="0022538B" w:rsidRPr="00362CE7">
        <w:rPr>
          <w:rFonts w:ascii="黑体" w:eastAsia="黑体" w:hAnsi="黑体" w:cs="黑体" w:hint="eastAsia"/>
          <w:b/>
          <w:kern w:val="0"/>
          <w:szCs w:val="21"/>
        </w:rPr>
        <w:t>债务人或</w:t>
      </w:r>
      <w:r w:rsidR="002B63D2" w:rsidRPr="00362CE7">
        <w:rPr>
          <w:rFonts w:ascii="黑体" w:eastAsia="黑体" w:hAnsi="黑体" w:cs="黑体" w:hint="eastAsia"/>
          <w:b/>
          <w:kern w:val="0"/>
          <w:szCs w:val="21"/>
        </w:rPr>
        <w:t>关联责任人（包括但不限于担保人）等</w:t>
      </w:r>
      <w:r w:rsidR="0022538B" w:rsidRPr="00362CE7">
        <w:rPr>
          <w:rFonts w:ascii="黑体" w:eastAsia="黑体" w:hAnsi="黑体" w:cs="黑体" w:hint="eastAsia"/>
          <w:b/>
          <w:kern w:val="0"/>
          <w:szCs w:val="21"/>
        </w:rPr>
        <w:t>信用</w:t>
      </w:r>
      <w:r w:rsidR="002B63D2" w:rsidRPr="00362CE7">
        <w:rPr>
          <w:rFonts w:ascii="黑体" w:eastAsia="黑体" w:hAnsi="黑体" w:cs="黑体" w:hint="eastAsia"/>
          <w:b/>
          <w:kern w:val="0"/>
          <w:szCs w:val="21"/>
        </w:rPr>
        <w:t>状况恶化、不能如期履约</w:t>
      </w:r>
      <w:r w:rsidR="0022538B" w:rsidRPr="00362CE7">
        <w:rPr>
          <w:rFonts w:ascii="黑体" w:eastAsia="黑体" w:hAnsi="黑体" w:cs="黑体" w:hint="eastAsia"/>
          <w:b/>
          <w:kern w:val="0"/>
          <w:szCs w:val="21"/>
        </w:rPr>
        <w:t>的风险。</w:t>
      </w:r>
    </w:p>
    <w:p w14:paraId="0D5C54C6" w14:textId="4F00C5B9" w:rsidR="00422190" w:rsidRPr="00362CE7" w:rsidRDefault="00422190" w:rsidP="00BF52B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流动性风险：</w:t>
      </w:r>
      <w:r w:rsidR="00AD67F1" w:rsidRPr="00362CE7">
        <w:rPr>
          <w:rFonts w:ascii="黑体" w:eastAsia="黑体" w:hAnsi="黑体" w:cs="宋体" w:hint="eastAsia"/>
          <w:b/>
          <w:kern w:val="0"/>
          <w:szCs w:val="21"/>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sidRPr="00362CE7">
        <w:rPr>
          <w:rFonts w:ascii="黑体" w:eastAsia="黑体" w:hAnsi="黑体" w:cs="黑体" w:hint="eastAsia"/>
          <w:b/>
          <w:kern w:val="0"/>
          <w:szCs w:val="21"/>
        </w:rPr>
        <w:t>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14:paraId="758815B1" w14:textId="77B645E2" w:rsidR="00BB3984" w:rsidRPr="00362CE7" w:rsidRDefault="00465A2E" w:rsidP="00BF52B9">
      <w:pPr>
        <w:autoSpaceDE w:val="0"/>
        <w:autoSpaceDN w:val="0"/>
        <w:adjustRightInd w:val="0"/>
        <w:ind w:firstLineChars="200" w:firstLine="422"/>
        <w:jc w:val="left"/>
        <w:rPr>
          <w:rFonts w:ascii="黑体" w:eastAsia="黑体" w:hAnsi="黑体" w:cs="黑体"/>
          <w:kern w:val="0"/>
          <w:szCs w:val="21"/>
        </w:rPr>
      </w:pPr>
      <w:r w:rsidRPr="00362CE7">
        <w:rPr>
          <w:rFonts w:ascii="黑体" w:eastAsia="黑体" w:hAnsi="黑体" w:cs="黑体" w:hint="eastAsia"/>
          <w:b/>
          <w:kern w:val="0"/>
          <w:szCs w:val="21"/>
        </w:rPr>
        <w:t>以上风险仅为列举性质，</w:t>
      </w:r>
      <w:r w:rsidR="005E6293" w:rsidRPr="00362CE7">
        <w:rPr>
          <w:rFonts w:ascii="黑体" w:eastAsia="黑体" w:hAnsi="黑体" w:cs="黑体" w:hint="eastAsia"/>
          <w:b/>
          <w:kern w:val="0"/>
          <w:szCs w:val="21"/>
        </w:rPr>
        <w:t>详见产品风险揭示书。</w:t>
      </w:r>
    </w:p>
    <w:p w14:paraId="0A190072" w14:textId="53FA018D" w:rsidR="00AA2EAD" w:rsidRPr="00362CE7" w:rsidRDefault="007B2DBF" w:rsidP="00BF52B9">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w:t>
      </w:r>
      <w:r w:rsidR="00AA2EAD" w:rsidRPr="00362CE7">
        <w:rPr>
          <w:rFonts w:ascii="黑体" w:eastAsia="黑体" w:hAnsi="黑体" w:cs="黑体" w:hint="eastAsia"/>
          <w:kern w:val="0"/>
          <w:szCs w:val="21"/>
        </w:rPr>
        <w:t>、综合考虑本产品的投资组合、同类产品过往业绩和风险水平（包括但不限于拟投资市场和资产的风险评估等）等因素，本产品评级</w:t>
      </w:r>
      <w:r w:rsidR="00AA2EAD" w:rsidRPr="00362CE7">
        <w:rPr>
          <w:rFonts w:ascii="黑体" w:eastAsia="黑体" w:hAnsi="黑体" w:cs="黑体"/>
          <w:kern w:val="0"/>
          <w:szCs w:val="21"/>
        </w:rPr>
        <w:t>为</w:t>
      </w:r>
      <w:r w:rsidR="000A4CD3" w:rsidRPr="00362CE7">
        <w:rPr>
          <w:rFonts w:ascii="黑体" w:eastAsia="黑体" w:hAnsi="黑体" w:cs="黑体" w:hint="eastAsia"/>
          <w:kern w:val="0"/>
          <w:szCs w:val="21"/>
        </w:rPr>
        <w:t>P</w:t>
      </w:r>
      <w:r w:rsidR="000A4CD3" w:rsidRPr="00362CE7">
        <w:rPr>
          <w:rFonts w:ascii="黑体" w:eastAsia="黑体" w:hAnsi="黑体" w:cs="黑体"/>
          <w:kern w:val="0"/>
          <w:szCs w:val="21"/>
        </w:rPr>
        <w:t>R1</w:t>
      </w:r>
      <w:r w:rsidR="00AA2EAD" w:rsidRPr="00362CE7">
        <w:rPr>
          <w:rFonts w:ascii="黑体" w:eastAsia="黑体" w:hAnsi="黑体" w:cs="黑体" w:hint="eastAsia"/>
          <w:kern w:val="0"/>
          <w:szCs w:val="21"/>
        </w:rPr>
        <w:t>风险（本评级为公司内部评级，仅供参考</w:t>
      </w:r>
      <w:r w:rsidR="00422190" w:rsidRPr="00362CE7">
        <w:rPr>
          <w:rFonts w:ascii="黑体" w:eastAsia="黑体" w:hAnsi="黑体" w:cs="黑体" w:hint="eastAsia"/>
          <w:kern w:val="0"/>
          <w:szCs w:val="21"/>
        </w:rPr>
        <w:t>，该产品通过代理销售机构渠道销售的，理财产品评级应当以代理销售机构最终披露的评级结果为准</w:t>
      </w:r>
      <w:r w:rsidR="00AA2EAD" w:rsidRPr="00362CE7">
        <w:rPr>
          <w:rFonts w:ascii="黑体" w:eastAsia="黑体" w:hAnsi="黑体" w:cs="黑体" w:hint="eastAsia"/>
          <w:kern w:val="0"/>
          <w:szCs w:val="21"/>
        </w:rPr>
        <w:t>）。</w:t>
      </w:r>
    </w:p>
    <w:p w14:paraId="2D9D0809" w14:textId="77777777" w:rsidR="00BF52B9" w:rsidRPr="00362CE7" w:rsidRDefault="00BF52B9" w:rsidP="00BF52B9">
      <w:pPr>
        <w:autoSpaceDE w:val="0"/>
        <w:autoSpaceDN w:val="0"/>
        <w:adjustRightInd w:val="0"/>
        <w:ind w:firstLineChars="200" w:firstLine="420"/>
        <w:jc w:val="left"/>
        <w:rPr>
          <w:rFonts w:ascii="黑体" w:eastAsia="黑体" w:hAnsi="黑体" w:cs="黑体"/>
          <w:kern w:val="0"/>
          <w:szCs w:val="21"/>
        </w:rPr>
      </w:pPr>
    </w:p>
    <w:p w14:paraId="0A5A1762" w14:textId="3992E899" w:rsidR="00716AC6" w:rsidRPr="00362CE7" w:rsidRDefault="00B23C1D" w:rsidP="00716AC6">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四</w:t>
      </w:r>
      <w:r w:rsidR="00716AC6" w:rsidRPr="00362CE7">
        <w:rPr>
          <w:rFonts w:ascii="黑体" w:eastAsia="黑体" w:hAnsi="黑体" w:cs="黑体" w:hint="eastAsia"/>
          <w:b/>
          <w:kern w:val="0"/>
          <w:szCs w:val="21"/>
        </w:rPr>
        <w:t>、产品</w:t>
      </w:r>
      <w:r w:rsidR="00843232" w:rsidRPr="00362CE7">
        <w:rPr>
          <w:rFonts w:ascii="黑体" w:eastAsia="黑体" w:hAnsi="黑体" w:cs="黑体" w:hint="eastAsia"/>
          <w:b/>
          <w:kern w:val="0"/>
          <w:szCs w:val="21"/>
        </w:rPr>
        <w:t>交易相关规则</w:t>
      </w:r>
    </w:p>
    <w:p w14:paraId="64A29F97" w14:textId="6F967523" w:rsidR="009B5618" w:rsidRPr="00362CE7" w:rsidRDefault="009B5618"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00843232" w:rsidRPr="00362CE7">
        <w:rPr>
          <w:rFonts w:ascii="黑体" w:eastAsia="黑体" w:hAnsi="黑体" w:cs="宋体" w:hint="eastAsia"/>
          <w:kern w:val="0"/>
          <w:szCs w:val="21"/>
        </w:rPr>
        <w:t>一</w:t>
      </w:r>
      <w:r w:rsidRPr="00362CE7">
        <w:rPr>
          <w:rFonts w:ascii="黑体" w:eastAsia="黑体" w:hAnsi="黑体" w:cs="宋体" w:hint="eastAsia"/>
          <w:kern w:val="0"/>
          <w:szCs w:val="21"/>
        </w:rPr>
        <w:t>）认购</w:t>
      </w:r>
      <w:r w:rsidR="006666CB" w:rsidRPr="00362CE7">
        <w:rPr>
          <w:rFonts w:ascii="黑体" w:eastAsia="黑体" w:hAnsi="黑体" w:cs="宋体" w:hint="eastAsia"/>
          <w:kern w:val="0"/>
          <w:szCs w:val="21"/>
        </w:rPr>
        <w:t>和</w:t>
      </w:r>
      <w:r w:rsidR="006666CB" w:rsidRPr="00362CE7">
        <w:rPr>
          <w:rFonts w:ascii="黑体" w:eastAsia="黑体" w:hAnsi="黑体" w:cs="宋体"/>
          <w:kern w:val="0"/>
          <w:szCs w:val="21"/>
        </w:rPr>
        <w:t>申购</w:t>
      </w:r>
      <w:r w:rsidR="00843232" w:rsidRPr="00362CE7">
        <w:rPr>
          <w:rFonts w:ascii="黑体" w:eastAsia="黑体" w:hAnsi="黑体" w:cs="宋体" w:hint="eastAsia"/>
          <w:kern w:val="0"/>
          <w:szCs w:val="21"/>
        </w:rPr>
        <w:t>相关规则</w:t>
      </w:r>
    </w:p>
    <w:p w14:paraId="6DCCF67E" w14:textId="38A0A4A9" w:rsidR="00DE7E69" w:rsidRPr="00362CE7" w:rsidRDefault="009B5618"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00EC57A1" w:rsidRPr="00362CE7">
        <w:rPr>
          <w:rFonts w:ascii="黑体" w:eastAsia="黑体" w:hAnsi="黑体" w:cs="黑体" w:hint="eastAsia"/>
          <w:kern w:val="0"/>
          <w:szCs w:val="21"/>
        </w:rPr>
        <w:t>、</w:t>
      </w:r>
      <w:r w:rsidR="00643FED" w:rsidRPr="00362CE7">
        <w:rPr>
          <w:rFonts w:ascii="黑体" w:eastAsia="黑体" w:hAnsi="黑体" w:cs="黑体" w:hint="eastAsia"/>
          <w:kern w:val="0"/>
          <w:szCs w:val="21"/>
        </w:rPr>
        <w:t>产品</w:t>
      </w:r>
      <w:r w:rsidRPr="00362CE7">
        <w:rPr>
          <w:rFonts w:ascii="黑体" w:eastAsia="黑体" w:hAnsi="黑体" w:cs="黑体" w:hint="eastAsia"/>
          <w:kern w:val="0"/>
          <w:szCs w:val="21"/>
        </w:rPr>
        <w:t>募集期内，</w:t>
      </w:r>
      <w:r w:rsidR="00A479CF" w:rsidRPr="00362CE7">
        <w:rPr>
          <w:rFonts w:ascii="黑体" w:eastAsia="黑体" w:hAnsi="黑体" w:cs="黑体" w:hint="eastAsia"/>
          <w:kern w:val="0"/>
          <w:szCs w:val="21"/>
        </w:rPr>
        <w:t>投资者</w:t>
      </w:r>
      <w:r w:rsidR="00D51F15" w:rsidRPr="00362CE7">
        <w:rPr>
          <w:rFonts w:ascii="黑体" w:eastAsia="黑体" w:hAnsi="黑体" w:cs="黑体" w:hint="eastAsia"/>
          <w:kern w:val="0"/>
          <w:szCs w:val="21"/>
        </w:rPr>
        <w:t>可以</w:t>
      </w:r>
      <w:r w:rsidR="00D51F15" w:rsidRPr="00362CE7">
        <w:rPr>
          <w:rFonts w:ascii="黑体" w:eastAsia="黑体" w:hAnsi="黑体" w:cs="黑体"/>
          <w:kern w:val="0"/>
          <w:szCs w:val="21"/>
        </w:rPr>
        <w:t>对本产品进行认购、追加</w:t>
      </w:r>
      <w:r w:rsidR="00643FED" w:rsidRPr="00362CE7">
        <w:rPr>
          <w:rFonts w:ascii="黑体" w:eastAsia="黑体" w:hAnsi="黑体" w:cs="黑体" w:hint="eastAsia"/>
          <w:kern w:val="0"/>
          <w:szCs w:val="21"/>
        </w:rPr>
        <w:t>、</w:t>
      </w:r>
      <w:r w:rsidR="00D51F15" w:rsidRPr="00362CE7">
        <w:rPr>
          <w:rFonts w:ascii="黑体" w:eastAsia="黑体" w:hAnsi="黑体" w:cs="黑体"/>
          <w:kern w:val="0"/>
          <w:szCs w:val="21"/>
        </w:rPr>
        <w:t>撤单</w:t>
      </w:r>
      <w:r w:rsidR="00DE7E69" w:rsidRPr="00362CE7">
        <w:rPr>
          <w:rFonts w:ascii="黑体" w:eastAsia="黑体" w:hAnsi="黑体" w:cs="黑体" w:hint="eastAsia"/>
          <w:kern w:val="0"/>
          <w:szCs w:val="21"/>
        </w:rPr>
        <w:t>，</w:t>
      </w:r>
      <w:r w:rsidR="00A41335" w:rsidRPr="00362CE7">
        <w:rPr>
          <w:rFonts w:ascii="黑体" w:eastAsia="黑体" w:hAnsi="黑体" w:cs="黑体" w:hint="eastAsia"/>
          <w:kern w:val="0"/>
          <w:szCs w:val="21"/>
        </w:rPr>
        <w:t>销售机构有权在投资</w:t>
      </w:r>
      <w:r w:rsidR="00A41335" w:rsidRPr="00362CE7">
        <w:rPr>
          <w:rFonts w:ascii="黑体" w:eastAsia="黑体" w:hAnsi="黑体" w:cs="黑体" w:hint="eastAsia"/>
          <w:kern w:val="0"/>
          <w:szCs w:val="21"/>
        </w:rPr>
        <w:lastRenderedPageBreak/>
        <w:t>者指定账户中对相应资金进行冻结或通过相关支付渠道</w:t>
      </w:r>
      <w:r w:rsidR="00CB5E45" w:rsidRPr="00362CE7">
        <w:rPr>
          <w:rFonts w:ascii="黑体" w:eastAsia="黑体" w:hAnsi="黑体" w:cs="黑体" w:hint="eastAsia"/>
          <w:kern w:val="0"/>
          <w:szCs w:val="21"/>
        </w:rPr>
        <w:t>(</w:t>
      </w:r>
      <w:r w:rsidR="00A41335" w:rsidRPr="00362CE7">
        <w:rPr>
          <w:rFonts w:ascii="黑体" w:eastAsia="黑体" w:hAnsi="黑体" w:cs="黑体" w:hint="eastAsia"/>
          <w:kern w:val="0"/>
          <w:szCs w:val="21"/>
        </w:rPr>
        <w:t xml:space="preserve">如有)划转，具体以销售机构实际  </w:t>
      </w:r>
      <w:r w:rsidR="00866C43" w:rsidRPr="00362CE7">
        <w:rPr>
          <w:rFonts w:ascii="黑体" w:eastAsia="黑体" w:hAnsi="黑体" w:cs="黑体" w:hint="eastAsia"/>
          <w:kern w:val="0"/>
          <w:szCs w:val="21"/>
        </w:rPr>
        <w:t>处理</w:t>
      </w:r>
      <w:r w:rsidR="00A41335" w:rsidRPr="00362CE7">
        <w:rPr>
          <w:rFonts w:ascii="黑体" w:eastAsia="黑体" w:hAnsi="黑体" w:cs="黑体" w:hint="eastAsia"/>
          <w:kern w:val="0"/>
          <w:szCs w:val="21"/>
        </w:rPr>
        <w:t xml:space="preserve">为准 </w:t>
      </w:r>
      <w:r w:rsidR="00DE7E69" w:rsidRPr="00362CE7">
        <w:rPr>
          <w:rFonts w:ascii="黑体" w:eastAsia="黑体" w:hAnsi="黑体" w:cs="黑体" w:hint="eastAsia"/>
          <w:kern w:val="0"/>
          <w:szCs w:val="21"/>
        </w:rPr>
        <w:t>，产品</w:t>
      </w:r>
      <w:r w:rsidR="00DE7E69" w:rsidRPr="00362CE7">
        <w:rPr>
          <w:rFonts w:ascii="黑体" w:eastAsia="黑体" w:hAnsi="黑体" w:cs="黑体"/>
          <w:kern w:val="0"/>
          <w:szCs w:val="21"/>
        </w:rPr>
        <w:t>管理人将在</w:t>
      </w:r>
      <w:r w:rsidR="00DE7E69" w:rsidRPr="00362CE7">
        <w:rPr>
          <w:rFonts w:ascii="黑体" w:eastAsia="黑体" w:hAnsi="黑体" w:cs="黑体" w:hint="eastAsia"/>
          <w:kern w:val="0"/>
          <w:szCs w:val="21"/>
        </w:rPr>
        <w:t>产品成立日</w:t>
      </w:r>
      <w:r w:rsidR="00DE7E69" w:rsidRPr="00362CE7">
        <w:rPr>
          <w:rFonts w:ascii="黑体" w:eastAsia="黑体" w:hAnsi="黑体" w:cs="黑体"/>
          <w:kern w:val="0"/>
          <w:szCs w:val="21"/>
        </w:rPr>
        <w:t>对</w:t>
      </w:r>
      <w:r w:rsidR="00DE7E69" w:rsidRPr="00362CE7">
        <w:rPr>
          <w:rFonts w:ascii="黑体" w:eastAsia="黑体" w:hAnsi="黑体" w:cs="黑体" w:hint="eastAsia"/>
          <w:kern w:val="0"/>
          <w:szCs w:val="21"/>
        </w:rPr>
        <w:t>募集期</w:t>
      </w:r>
      <w:r w:rsidR="00DE7E69" w:rsidRPr="00362CE7">
        <w:rPr>
          <w:rFonts w:ascii="黑体" w:eastAsia="黑体" w:hAnsi="黑体" w:cs="黑体"/>
          <w:kern w:val="0"/>
          <w:szCs w:val="21"/>
        </w:rPr>
        <w:t>的认购</w:t>
      </w:r>
      <w:r w:rsidR="00DE7E69" w:rsidRPr="00362CE7">
        <w:rPr>
          <w:rFonts w:ascii="黑体" w:eastAsia="黑体" w:hAnsi="黑体" w:cs="黑体" w:hint="eastAsia"/>
          <w:kern w:val="0"/>
          <w:szCs w:val="21"/>
        </w:rPr>
        <w:t>及</w:t>
      </w:r>
      <w:r w:rsidR="00DE7E69" w:rsidRPr="00362CE7">
        <w:rPr>
          <w:rFonts w:ascii="黑体" w:eastAsia="黑体" w:hAnsi="黑体" w:cs="黑体"/>
          <w:kern w:val="0"/>
          <w:szCs w:val="21"/>
        </w:rPr>
        <w:t>追加</w:t>
      </w:r>
      <w:r w:rsidR="00DE7E69" w:rsidRPr="00362CE7">
        <w:rPr>
          <w:rFonts w:ascii="黑体" w:eastAsia="黑体" w:hAnsi="黑体" w:cs="黑体" w:hint="eastAsia"/>
          <w:kern w:val="0"/>
          <w:szCs w:val="21"/>
        </w:rPr>
        <w:t>申请进行</w:t>
      </w:r>
      <w:bookmarkStart w:id="0" w:name="_Hlk33019208"/>
      <w:r w:rsidR="00DE7E69" w:rsidRPr="00362CE7">
        <w:rPr>
          <w:rFonts w:ascii="黑体" w:eastAsia="黑体" w:hAnsi="黑体" w:cs="黑体" w:hint="eastAsia"/>
          <w:kern w:val="0"/>
          <w:szCs w:val="21"/>
        </w:rPr>
        <w:t>确认和划款</w:t>
      </w:r>
      <w:bookmarkEnd w:id="0"/>
      <w:r w:rsidR="00DE7E69" w:rsidRPr="00362CE7">
        <w:rPr>
          <w:rFonts w:ascii="黑体" w:eastAsia="黑体" w:hAnsi="黑体" w:cs="黑体" w:hint="eastAsia"/>
          <w:kern w:val="0"/>
          <w:szCs w:val="21"/>
        </w:rPr>
        <w:t>。</w:t>
      </w:r>
      <w:r w:rsidR="00A41335" w:rsidRPr="00362CE7">
        <w:rPr>
          <w:rFonts w:ascii="黑体" w:eastAsia="黑体" w:hAnsi="黑体" w:cs="黑体" w:hint="eastAsia"/>
          <w:kern w:val="0"/>
          <w:szCs w:val="21"/>
        </w:rPr>
        <w:t>募集期内管理人不向投资者认购款项计付利息，销售机构是否计付利息以销售机构为准。</w:t>
      </w:r>
    </w:p>
    <w:p w14:paraId="706679C1" w14:textId="254FCD5E" w:rsidR="009B5618" w:rsidRPr="00362CE7" w:rsidRDefault="00643FED" w:rsidP="00310FD3">
      <w:pPr>
        <w:autoSpaceDE w:val="0"/>
        <w:autoSpaceDN w:val="0"/>
        <w:adjustRightInd w:val="0"/>
        <w:ind w:firstLineChars="200" w:firstLine="420"/>
        <w:jc w:val="left"/>
        <w:rPr>
          <w:rFonts w:ascii="黑体" w:eastAsia="黑体" w:hAnsi="黑体" w:cs="黑体"/>
          <w:kern w:val="0"/>
          <w:szCs w:val="21"/>
        </w:rPr>
      </w:pPr>
      <w:r w:rsidRPr="00362CE7" w:rsidDel="002F7917">
        <w:rPr>
          <w:rFonts w:ascii="黑体" w:eastAsia="黑体" w:hAnsi="黑体" w:cs="黑体" w:hint="eastAsia"/>
          <w:kern w:val="0"/>
          <w:szCs w:val="21"/>
        </w:rPr>
        <w:t>产品募集期单位净值为1元，募集期认购价格采用募集期单位净值</w:t>
      </w:r>
      <w:r w:rsidR="00EA1BDC" w:rsidRPr="00362CE7">
        <w:rPr>
          <w:rFonts w:ascii="黑体" w:eastAsia="黑体" w:hAnsi="黑体" w:cs="黑体"/>
          <w:kern w:val="0"/>
          <w:szCs w:val="21"/>
        </w:rPr>
        <w:t>。</w:t>
      </w:r>
    </w:p>
    <w:p w14:paraId="022125DD" w14:textId="4CB6079F" w:rsidR="00DE7E69" w:rsidRPr="00362CE7" w:rsidRDefault="00643FED"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2、产品</w:t>
      </w:r>
      <w:r w:rsidR="006A1D1A" w:rsidRPr="00362CE7">
        <w:rPr>
          <w:rFonts w:ascii="黑体" w:eastAsia="黑体" w:hAnsi="黑体" w:cs="黑体" w:hint="eastAsia"/>
          <w:kern w:val="0"/>
          <w:szCs w:val="21"/>
        </w:rPr>
        <w:t>申购</w:t>
      </w:r>
      <w:r w:rsidR="00D539D4" w:rsidRPr="00362CE7">
        <w:rPr>
          <w:rFonts w:ascii="黑体" w:eastAsia="黑体" w:hAnsi="黑体" w:cs="黑体" w:hint="eastAsia"/>
          <w:kern w:val="0"/>
          <w:szCs w:val="21"/>
        </w:rPr>
        <w:t>开放</w:t>
      </w:r>
      <w:r w:rsidR="006A6664" w:rsidRPr="00362CE7">
        <w:rPr>
          <w:rFonts w:ascii="黑体" w:eastAsia="黑体" w:hAnsi="黑体" w:cs="黑体" w:hint="eastAsia"/>
          <w:kern w:val="0"/>
          <w:szCs w:val="21"/>
        </w:rPr>
        <w:t>日及</w:t>
      </w:r>
      <w:r w:rsidR="006A6664" w:rsidRPr="00362CE7">
        <w:rPr>
          <w:rFonts w:ascii="黑体" w:eastAsia="黑体" w:hAnsi="黑体" w:cs="黑体"/>
          <w:kern w:val="0"/>
          <w:szCs w:val="21"/>
        </w:rPr>
        <w:t>预约申</w:t>
      </w:r>
      <w:r w:rsidR="00A226AF" w:rsidRPr="00362CE7">
        <w:rPr>
          <w:rFonts w:ascii="黑体" w:eastAsia="黑体" w:hAnsi="黑体" w:cs="黑体" w:hint="eastAsia"/>
          <w:kern w:val="0"/>
          <w:szCs w:val="21"/>
        </w:rPr>
        <w:t>购</w:t>
      </w:r>
      <w:r w:rsidR="006A6664" w:rsidRPr="00362CE7">
        <w:rPr>
          <w:rFonts w:ascii="黑体" w:eastAsia="黑体" w:hAnsi="黑体" w:cs="黑体"/>
          <w:kern w:val="0"/>
          <w:szCs w:val="21"/>
        </w:rPr>
        <w:t>区间</w:t>
      </w:r>
      <w:r w:rsidRPr="00362CE7">
        <w:rPr>
          <w:rFonts w:ascii="黑体" w:eastAsia="黑体" w:hAnsi="黑体" w:cs="黑体"/>
          <w:kern w:val="0"/>
          <w:szCs w:val="21"/>
        </w:rPr>
        <w:t>，</w:t>
      </w:r>
      <w:r w:rsidRPr="00362CE7">
        <w:rPr>
          <w:rFonts w:ascii="黑体" w:eastAsia="黑体" w:hAnsi="黑体" w:cs="黑体" w:hint="eastAsia"/>
          <w:kern w:val="0"/>
          <w:szCs w:val="21"/>
        </w:rPr>
        <w:t>投资者</w:t>
      </w:r>
      <w:r w:rsidRPr="00362CE7">
        <w:rPr>
          <w:rFonts w:ascii="黑体" w:eastAsia="黑体" w:hAnsi="黑体" w:cs="黑体"/>
          <w:kern w:val="0"/>
          <w:szCs w:val="21"/>
        </w:rPr>
        <w:t>可以对本产品进行</w:t>
      </w:r>
      <w:r w:rsidR="006666CB" w:rsidRPr="00362CE7">
        <w:rPr>
          <w:rFonts w:ascii="黑体" w:eastAsia="黑体" w:hAnsi="黑体" w:cs="黑体" w:hint="eastAsia"/>
          <w:kern w:val="0"/>
          <w:szCs w:val="21"/>
        </w:rPr>
        <w:t>申购</w:t>
      </w:r>
      <w:r w:rsidRPr="00362CE7">
        <w:rPr>
          <w:rFonts w:ascii="黑体" w:eastAsia="黑体" w:hAnsi="黑体" w:cs="黑体"/>
          <w:kern w:val="0"/>
          <w:szCs w:val="21"/>
        </w:rPr>
        <w:t>、</w:t>
      </w:r>
      <w:r w:rsidRPr="00362CE7">
        <w:rPr>
          <w:rFonts w:ascii="黑体" w:eastAsia="黑体" w:hAnsi="黑体" w:cs="黑体" w:hint="eastAsia"/>
          <w:kern w:val="0"/>
          <w:szCs w:val="21"/>
        </w:rPr>
        <w:t>追加</w:t>
      </w:r>
      <w:r w:rsidR="00050371" w:rsidRPr="00362CE7">
        <w:rPr>
          <w:rFonts w:ascii="黑体" w:eastAsia="黑体" w:hAnsi="黑体" w:cs="黑体" w:hint="eastAsia"/>
          <w:kern w:val="0"/>
          <w:szCs w:val="21"/>
        </w:rPr>
        <w:t>、撤单</w:t>
      </w:r>
      <w:r w:rsidR="00DE7E69" w:rsidRPr="00362CE7">
        <w:rPr>
          <w:rFonts w:ascii="黑体" w:eastAsia="黑体" w:hAnsi="黑体" w:cs="黑体" w:hint="eastAsia"/>
          <w:kern w:val="0"/>
          <w:szCs w:val="21"/>
        </w:rPr>
        <w:t>，</w:t>
      </w:r>
      <w:r w:rsidR="00283B45" w:rsidRPr="00362CE7">
        <w:rPr>
          <w:rFonts w:ascii="黑体" w:eastAsia="黑体" w:hAnsi="黑体" w:cs="黑体" w:hint="eastAsia"/>
          <w:kern w:val="0"/>
          <w:szCs w:val="21"/>
        </w:rPr>
        <w:t>销售机构有权在投资者指定账户中对相应资金进行冻结或通过相关支付渠道(如有)</w:t>
      </w:r>
      <w:r w:rsidR="00866C43" w:rsidRPr="00362CE7">
        <w:rPr>
          <w:rFonts w:ascii="黑体" w:eastAsia="黑体" w:hAnsi="黑体" w:cs="黑体" w:hint="eastAsia"/>
          <w:kern w:val="0"/>
          <w:szCs w:val="21"/>
        </w:rPr>
        <w:t>划转，具体以销售机构实际处理</w:t>
      </w:r>
      <w:r w:rsidR="00283B45" w:rsidRPr="00362CE7">
        <w:rPr>
          <w:rFonts w:ascii="黑体" w:eastAsia="黑体" w:hAnsi="黑体" w:cs="黑体" w:hint="eastAsia"/>
          <w:kern w:val="0"/>
          <w:szCs w:val="21"/>
        </w:rPr>
        <w:t>为准</w:t>
      </w:r>
      <w:r w:rsidR="00DE7E69" w:rsidRPr="00362CE7">
        <w:rPr>
          <w:rFonts w:ascii="黑体" w:eastAsia="黑体" w:hAnsi="黑体" w:cs="黑体" w:hint="eastAsia"/>
          <w:kern w:val="0"/>
          <w:szCs w:val="21"/>
        </w:rPr>
        <w:t>，产品</w:t>
      </w:r>
      <w:r w:rsidR="00DE7E69" w:rsidRPr="00362CE7">
        <w:rPr>
          <w:rFonts w:ascii="黑体" w:eastAsia="黑体" w:hAnsi="黑体" w:cs="黑体"/>
          <w:kern w:val="0"/>
          <w:szCs w:val="21"/>
        </w:rPr>
        <w:t>管理人将在</w:t>
      </w:r>
      <w:r w:rsidR="00834A99" w:rsidRPr="00362CE7">
        <w:rPr>
          <w:rFonts w:ascii="黑体" w:eastAsia="黑体" w:hAnsi="黑体" w:cs="黑体" w:hint="eastAsia"/>
          <w:kern w:val="0"/>
          <w:szCs w:val="21"/>
        </w:rPr>
        <w:t>申购</w:t>
      </w:r>
      <w:r w:rsidR="00757CB3" w:rsidRPr="00362CE7">
        <w:rPr>
          <w:rFonts w:ascii="黑体" w:eastAsia="黑体" w:hAnsi="黑体" w:cs="黑体" w:hint="eastAsia"/>
          <w:kern w:val="0"/>
          <w:szCs w:val="21"/>
        </w:rPr>
        <w:t>开放日后第一个工作日（申购确认日</w:t>
      </w:r>
      <w:r w:rsidR="00757CB3" w:rsidRPr="00362CE7">
        <w:rPr>
          <w:rFonts w:ascii="黑体" w:hAnsi="黑体" w:hint="eastAsia"/>
          <w:kern w:val="0"/>
        </w:rPr>
        <w:t>）</w:t>
      </w:r>
      <w:r w:rsidR="00DE7E69" w:rsidRPr="00362CE7">
        <w:rPr>
          <w:rFonts w:ascii="黑体" w:eastAsia="黑体" w:hAnsi="黑体" w:cs="黑体"/>
          <w:kern w:val="0"/>
          <w:szCs w:val="21"/>
        </w:rPr>
        <w:t>对</w:t>
      </w:r>
      <w:r w:rsidR="006A6664" w:rsidRPr="00362CE7">
        <w:rPr>
          <w:rFonts w:ascii="黑体" w:eastAsia="黑体" w:hAnsi="黑体" w:cs="黑体" w:hint="eastAsia"/>
          <w:kern w:val="0"/>
          <w:szCs w:val="21"/>
        </w:rPr>
        <w:t>上述</w:t>
      </w:r>
      <w:r w:rsidR="00DE7E69" w:rsidRPr="00362CE7">
        <w:rPr>
          <w:rFonts w:ascii="黑体" w:eastAsia="黑体" w:hAnsi="黑体" w:cs="黑体" w:hint="eastAsia"/>
          <w:kern w:val="0"/>
          <w:szCs w:val="21"/>
        </w:rPr>
        <w:t>申</w:t>
      </w:r>
      <w:r w:rsidR="00DE7E69" w:rsidRPr="00362CE7">
        <w:rPr>
          <w:rFonts w:ascii="黑体" w:eastAsia="黑体" w:hAnsi="黑体" w:cs="黑体"/>
          <w:kern w:val="0"/>
          <w:szCs w:val="21"/>
        </w:rPr>
        <w:t>购</w:t>
      </w:r>
      <w:r w:rsidR="00DE7E69" w:rsidRPr="00362CE7">
        <w:rPr>
          <w:rFonts w:ascii="黑体" w:eastAsia="黑体" w:hAnsi="黑体" w:cs="黑体" w:hint="eastAsia"/>
          <w:kern w:val="0"/>
          <w:szCs w:val="21"/>
        </w:rPr>
        <w:t>及</w:t>
      </w:r>
      <w:r w:rsidR="00DE7E69" w:rsidRPr="00362CE7">
        <w:rPr>
          <w:rFonts w:ascii="黑体" w:eastAsia="黑体" w:hAnsi="黑体" w:cs="黑体"/>
          <w:kern w:val="0"/>
          <w:szCs w:val="21"/>
        </w:rPr>
        <w:t>追加</w:t>
      </w:r>
      <w:r w:rsidR="00DE7E69" w:rsidRPr="00362CE7">
        <w:rPr>
          <w:rFonts w:ascii="黑体" w:eastAsia="黑体" w:hAnsi="黑体" w:cs="黑体" w:hint="eastAsia"/>
          <w:kern w:val="0"/>
          <w:szCs w:val="21"/>
        </w:rPr>
        <w:t>申请进行确认和划款。</w:t>
      </w:r>
    </w:p>
    <w:p w14:paraId="32F4E13C" w14:textId="38683F3A" w:rsidR="00643FED" w:rsidRPr="00362CE7" w:rsidRDefault="006666CB"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申购</w:t>
      </w:r>
      <w:r w:rsidR="00AF39EF" w:rsidRPr="00362CE7">
        <w:rPr>
          <w:rFonts w:ascii="黑体" w:eastAsia="黑体" w:hAnsi="黑体" w:cs="黑体"/>
          <w:kern w:val="0"/>
          <w:szCs w:val="21"/>
        </w:rPr>
        <w:t>、追加</w:t>
      </w:r>
      <w:r w:rsidR="00622C9F" w:rsidRPr="00362CE7">
        <w:rPr>
          <w:rFonts w:ascii="黑体" w:eastAsia="黑体" w:hAnsi="黑体" w:cs="黑体" w:hint="eastAsia"/>
          <w:kern w:val="0"/>
          <w:szCs w:val="21"/>
        </w:rPr>
        <w:t>的</w:t>
      </w:r>
      <w:r w:rsidR="00643FED" w:rsidRPr="00362CE7">
        <w:rPr>
          <w:rFonts w:ascii="黑体" w:eastAsia="黑体" w:hAnsi="黑体" w:cs="黑体" w:hint="eastAsia"/>
          <w:kern w:val="0"/>
          <w:szCs w:val="21"/>
        </w:rPr>
        <w:t>价格采用</w:t>
      </w:r>
      <w:r w:rsidR="00757CB3" w:rsidRPr="00362CE7">
        <w:rPr>
          <w:rFonts w:ascii="黑体" w:eastAsia="黑体" w:hAnsi="黑体" w:cs="黑体" w:hint="eastAsia"/>
          <w:kern w:val="0"/>
          <w:szCs w:val="21"/>
        </w:rPr>
        <w:t>申购开放日</w:t>
      </w:r>
      <w:r w:rsidR="00643FED" w:rsidRPr="00362CE7">
        <w:rPr>
          <w:rFonts w:ascii="黑体" w:eastAsia="黑体" w:hAnsi="黑体" w:cs="黑体" w:hint="eastAsia"/>
          <w:kern w:val="0"/>
          <w:szCs w:val="21"/>
        </w:rPr>
        <w:t>的产品净值</w:t>
      </w:r>
      <w:r w:rsidR="007C7765" w:rsidRPr="00362CE7">
        <w:rPr>
          <w:rFonts w:ascii="黑体" w:eastAsia="黑体" w:hAnsi="黑体" w:cs="黑体" w:hint="eastAsia"/>
          <w:kern w:val="0"/>
          <w:szCs w:val="21"/>
        </w:rPr>
        <w:t>。</w:t>
      </w:r>
    </w:p>
    <w:p w14:paraId="14B32884" w14:textId="09A8EB28" w:rsidR="007C7765" w:rsidRPr="00362CE7" w:rsidRDefault="003914A2"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3</w:t>
      </w:r>
      <w:r w:rsidR="007C7765" w:rsidRPr="00362CE7">
        <w:rPr>
          <w:rFonts w:ascii="黑体" w:eastAsia="黑体" w:hAnsi="黑体" w:cs="黑体" w:hint="eastAsia"/>
          <w:kern w:val="0"/>
          <w:szCs w:val="21"/>
        </w:rPr>
        <w:t>、产品采用金额认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007C7765" w:rsidRPr="00362CE7">
        <w:rPr>
          <w:rFonts w:ascii="黑体" w:eastAsia="黑体" w:hAnsi="黑体" w:cs="黑体" w:hint="eastAsia"/>
          <w:kern w:val="0"/>
          <w:szCs w:val="21"/>
        </w:rPr>
        <w:t>规则</w:t>
      </w:r>
      <w:r w:rsidR="007C7765" w:rsidRPr="00362CE7">
        <w:rPr>
          <w:rFonts w:ascii="黑体" w:eastAsia="黑体" w:hAnsi="黑体" w:cs="黑体"/>
          <w:kern w:val="0"/>
          <w:szCs w:val="21"/>
        </w:rPr>
        <w:t>，</w:t>
      </w:r>
      <w:r w:rsidR="007C7765" w:rsidRPr="00362CE7">
        <w:rPr>
          <w:rFonts w:ascii="黑体" w:eastAsia="黑体" w:hAnsi="黑体" w:cs="黑体" w:hint="eastAsia"/>
          <w:kern w:val="0"/>
          <w:szCs w:val="21"/>
        </w:rPr>
        <w:t>即认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007C7765" w:rsidRPr="00362CE7">
        <w:rPr>
          <w:rFonts w:ascii="黑体" w:eastAsia="黑体" w:hAnsi="黑体" w:cs="黑体" w:hint="eastAsia"/>
          <w:kern w:val="0"/>
          <w:szCs w:val="21"/>
        </w:rPr>
        <w:t>以金额确定投资者</w:t>
      </w:r>
      <w:r w:rsidR="007C7765" w:rsidRPr="00362CE7">
        <w:rPr>
          <w:rFonts w:ascii="黑体" w:eastAsia="黑体" w:hAnsi="黑体" w:cs="黑体"/>
          <w:kern w:val="0"/>
          <w:szCs w:val="21"/>
        </w:rPr>
        <w:t>对应的</w:t>
      </w:r>
      <w:r w:rsidR="007C7765" w:rsidRPr="00362CE7">
        <w:rPr>
          <w:rFonts w:ascii="黑体" w:eastAsia="黑体" w:hAnsi="黑体" w:cs="黑体" w:hint="eastAsia"/>
          <w:kern w:val="0"/>
          <w:szCs w:val="21"/>
        </w:rPr>
        <w:t>产品份额</w:t>
      </w:r>
      <w:r w:rsidR="007C7765" w:rsidRPr="00362CE7">
        <w:rPr>
          <w:rFonts w:ascii="黑体" w:eastAsia="黑体" w:hAnsi="黑体" w:cs="黑体"/>
          <w:kern w:val="0"/>
          <w:szCs w:val="21"/>
        </w:rPr>
        <w:t>。</w:t>
      </w:r>
    </w:p>
    <w:p w14:paraId="2659D627" w14:textId="0D0EB0DF" w:rsidR="009B5618" w:rsidRPr="00362CE7" w:rsidRDefault="003914A2"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4</w:t>
      </w:r>
      <w:r w:rsidR="007D51ED" w:rsidRPr="00362CE7">
        <w:rPr>
          <w:rFonts w:ascii="黑体" w:eastAsia="黑体" w:hAnsi="黑体" w:cs="黑体" w:hint="eastAsia"/>
          <w:kern w:val="0"/>
          <w:szCs w:val="21"/>
        </w:rPr>
        <w:t>、</w:t>
      </w:r>
      <w:r w:rsidR="009B5618" w:rsidRPr="00362CE7">
        <w:rPr>
          <w:rFonts w:ascii="黑体" w:eastAsia="黑体" w:hAnsi="黑体" w:cs="黑体" w:hint="eastAsia"/>
          <w:kern w:val="0"/>
          <w:szCs w:val="21"/>
        </w:rPr>
        <w:t>产品</w:t>
      </w:r>
      <w:r w:rsidR="00843232" w:rsidRPr="00362CE7">
        <w:rPr>
          <w:rFonts w:ascii="黑体" w:eastAsia="黑体" w:hAnsi="黑体" w:cs="黑体" w:hint="eastAsia"/>
          <w:kern w:val="0"/>
          <w:szCs w:val="21"/>
        </w:rPr>
        <w:t>募集期</w:t>
      </w:r>
      <w:r w:rsidR="00843232" w:rsidRPr="00362CE7">
        <w:rPr>
          <w:rFonts w:ascii="黑体" w:eastAsia="黑体" w:hAnsi="黑体" w:cs="黑体"/>
          <w:kern w:val="0"/>
          <w:szCs w:val="21"/>
        </w:rPr>
        <w:t>及</w:t>
      </w:r>
      <w:r w:rsidR="00557E54" w:rsidRPr="00362CE7">
        <w:rPr>
          <w:rFonts w:ascii="黑体" w:eastAsia="黑体" w:hAnsi="黑体" w:cs="黑体" w:hint="eastAsia"/>
          <w:kern w:val="0"/>
          <w:szCs w:val="21"/>
        </w:rPr>
        <w:t>存续</w:t>
      </w:r>
      <w:r w:rsidR="009B5618" w:rsidRPr="00362CE7">
        <w:rPr>
          <w:rFonts w:ascii="黑体" w:eastAsia="黑体" w:hAnsi="黑体" w:cs="黑体" w:hint="eastAsia"/>
          <w:kern w:val="0"/>
          <w:szCs w:val="21"/>
        </w:rPr>
        <w:t>期内，</w:t>
      </w:r>
      <w:r w:rsidR="007C7765" w:rsidRPr="00362CE7">
        <w:rPr>
          <w:rFonts w:ascii="黑体" w:eastAsia="黑体" w:hAnsi="黑体" w:cs="黑体" w:hint="eastAsia"/>
          <w:kern w:val="0"/>
          <w:szCs w:val="21"/>
        </w:rPr>
        <w:t>若出现以下情况</w:t>
      </w:r>
      <w:r w:rsidR="009B5618" w:rsidRPr="00362CE7">
        <w:rPr>
          <w:rFonts w:ascii="黑体" w:eastAsia="黑体" w:hAnsi="黑体" w:cs="黑体" w:hint="eastAsia"/>
          <w:kern w:val="0"/>
          <w:szCs w:val="21"/>
        </w:rPr>
        <w:t>，</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009B5618" w:rsidRPr="00362CE7">
        <w:rPr>
          <w:rFonts w:ascii="黑体" w:eastAsia="黑体" w:hAnsi="黑体" w:cs="黑体" w:hint="eastAsia"/>
          <w:kern w:val="0"/>
          <w:szCs w:val="21"/>
        </w:rPr>
        <w:t>有权拒绝或暂停接受</w:t>
      </w:r>
      <w:r w:rsidR="00A479CF" w:rsidRPr="00362CE7">
        <w:rPr>
          <w:rFonts w:ascii="黑体" w:eastAsia="黑体" w:hAnsi="黑体" w:cs="黑体" w:hint="eastAsia"/>
          <w:kern w:val="0"/>
          <w:szCs w:val="21"/>
        </w:rPr>
        <w:t>投资者</w:t>
      </w:r>
      <w:r w:rsidR="009B5618" w:rsidRPr="00362CE7">
        <w:rPr>
          <w:rFonts w:ascii="黑体" w:eastAsia="黑体" w:hAnsi="黑体" w:cs="黑体" w:hint="eastAsia"/>
          <w:kern w:val="0"/>
          <w:szCs w:val="21"/>
        </w:rPr>
        <w:t>的</w:t>
      </w:r>
      <w:r w:rsidR="00843232" w:rsidRPr="00362CE7">
        <w:rPr>
          <w:rFonts w:ascii="黑体" w:eastAsia="黑体" w:hAnsi="黑体" w:cs="黑体" w:hint="eastAsia"/>
          <w:kern w:val="0"/>
          <w:szCs w:val="21"/>
        </w:rPr>
        <w:t>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009B5618" w:rsidRPr="00362CE7">
        <w:rPr>
          <w:rFonts w:ascii="黑体" w:eastAsia="黑体" w:hAnsi="黑体" w:cs="黑体" w:hint="eastAsia"/>
          <w:kern w:val="0"/>
          <w:szCs w:val="21"/>
        </w:rPr>
        <w:t>或追加</w:t>
      </w:r>
      <w:r w:rsidR="00843232" w:rsidRPr="00362CE7">
        <w:rPr>
          <w:rFonts w:ascii="黑体" w:eastAsia="黑体" w:hAnsi="黑体" w:cs="黑体" w:hint="eastAsia"/>
          <w:kern w:val="0"/>
          <w:szCs w:val="21"/>
        </w:rPr>
        <w:t>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009B5618" w:rsidRPr="00362CE7">
        <w:rPr>
          <w:rFonts w:ascii="黑体" w:eastAsia="黑体" w:hAnsi="黑体" w:cs="黑体" w:hint="eastAsia"/>
          <w:kern w:val="0"/>
          <w:szCs w:val="21"/>
        </w:rPr>
        <w:t>申请：</w:t>
      </w:r>
    </w:p>
    <w:p w14:paraId="5F796584" w14:textId="76C529E3" w:rsidR="009B5618" w:rsidRPr="00362CE7" w:rsidRDefault="009B5618"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（1）因不可抗力导致</w:t>
      </w:r>
      <w:r w:rsidR="00DE283F" w:rsidRPr="00362CE7">
        <w:rPr>
          <w:rFonts w:ascii="黑体" w:eastAsia="黑体" w:hAnsi="黑体" w:cs="黑体" w:hint="eastAsia"/>
          <w:kern w:val="0"/>
          <w:szCs w:val="21"/>
        </w:rPr>
        <w:t>产品管理机构</w:t>
      </w:r>
      <w:r w:rsidRPr="00362CE7">
        <w:rPr>
          <w:rFonts w:ascii="黑体" w:eastAsia="黑体" w:hAnsi="黑体" w:cs="黑体" w:hint="eastAsia"/>
          <w:kern w:val="0"/>
          <w:szCs w:val="21"/>
        </w:rPr>
        <w:t>无法接受</w:t>
      </w:r>
      <w:r w:rsidR="00A479CF" w:rsidRPr="00362CE7">
        <w:rPr>
          <w:rFonts w:ascii="黑体" w:eastAsia="黑体" w:hAnsi="黑体" w:cs="黑体" w:hint="eastAsia"/>
          <w:kern w:val="0"/>
          <w:szCs w:val="21"/>
        </w:rPr>
        <w:t>投资者</w:t>
      </w:r>
      <w:r w:rsidR="007C7765" w:rsidRPr="00362CE7">
        <w:rPr>
          <w:rFonts w:ascii="黑体" w:eastAsia="黑体" w:hAnsi="黑体" w:cs="黑体" w:hint="eastAsia"/>
          <w:kern w:val="0"/>
          <w:szCs w:val="21"/>
        </w:rPr>
        <w:t>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007C7765" w:rsidRPr="00362CE7">
        <w:rPr>
          <w:rFonts w:ascii="黑体" w:eastAsia="黑体" w:hAnsi="黑体" w:cs="黑体" w:hint="eastAsia"/>
          <w:kern w:val="0"/>
          <w:szCs w:val="21"/>
        </w:rPr>
        <w:t>或追加认</w:t>
      </w:r>
      <w:r w:rsidR="00736806" w:rsidRPr="00362CE7">
        <w:rPr>
          <w:rFonts w:ascii="黑体" w:eastAsia="黑体" w:hAnsi="黑体" w:cs="黑体" w:hint="eastAsia"/>
          <w:kern w:val="0"/>
          <w:szCs w:val="21"/>
        </w:rPr>
        <w:t>（申）</w:t>
      </w:r>
      <w:r w:rsidR="00FB4E79" w:rsidRPr="00362CE7">
        <w:rPr>
          <w:rFonts w:ascii="黑体" w:eastAsia="黑体" w:hAnsi="黑体" w:cs="黑体" w:hint="eastAsia"/>
          <w:kern w:val="0"/>
          <w:szCs w:val="21"/>
        </w:rPr>
        <w:t>购</w:t>
      </w:r>
      <w:r w:rsidRPr="00362CE7">
        <w:rPr>
          <w:rFonts w:ascii="黑体" w:eastAsia="黑体" w:hAnsi="黑体" w:cs="黑体" w:hint="eastAsia"/>
          <w:kern w:val="0"/>
          <w:szCs w:val="21"/>
        </w:rPr>
        <w:t>申请；</w:t>
      </w:r>
    </w:p>
    <w:p w14:paraId="04E4E447" w14:textId="5C16202E" w:rsidR="00AD67F1" w:rsidRPr="00362CE7" w:rsidRDefault="00AD67F1"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（2）继续接受认（申）购申请可能对产品存量投资者利益构成重大不利影响；</w:t>
      </w:r>
    </w:p>
    <w:p w14:paraId="4694BC56" w14:textId="7E402D6C" w:rsidR="003914A2" w:rsidRPr="00362CE7" w:rsidRDefault="009B5618"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w:t>
      </w:r>
      <w:r w:rsidR="00AD67F1" w:rsidRPr="00362CE7">
        <w:rPr>
          <w:rFonts w:ascii="黑体" w:eastAsia="黑体" w:hAnsi="黑体" w:cs="黑体" w:hint="eastAsia"/>
          <w:kern w:val="0"/>
          <w:szCs w:val="21"/>
        </w:rPr>
        <w:t>3</w:t>
      </w:r>
      <w:r w:rsidRPr="00362CE7">
        <w:rPr>
          <w:rFonts w:ascii="黑体" w:eastAsia="黑体" w:hAnsi="黑体" w:cs="黑体" w:hint="eastAsia"/>
          <w:kern w:val="0"/>
          <w:szCs w:val="21"/>
        </w:rPr>
        <w:t>）法律、法规或相关监管认定的其他情形</w:t>
      </w:r>
      <w:r w:rsidR="00190D09" w:rsidRPr="00362CE7">
        <w:rPr>
          <w:rFonts w:ascii="黑体" w:eastAsia="黑体" w:hAnsi="黑体" w:cs="黑体" w:hint="eastAsia"/>
          <w:kern w:val="0"/>
          <w:szCs w:val="21"/>
        </w:rPr>
        <w:t>，以及本说明书约定的其他情形</w:t>
      </w:r>
      <w:r w:rsidRPr="00362CE7">
        <w:rPr>
          <w:rFonts w:ascii="黑体" w:eastAsia="黑体" w:hAnsi="黑体" w:cs="黑体" w:hint="eastAsia"/>
          <w:kern w:val="0"/>
          <w:szCs w:val="21"/>
        </w:rPr>
        <w:t>。</w:t>
      </w:r>
    </w:p>
    <w:p w14:paraId="420A721B" w14:textId="26F0D2D8" w:rsidR="007D51ED" w:rsidRPr="00362CE7" w:rsidRDefault="00B01C60" w:rsidP="00757CB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5</w:t>
      </w:r>
      <w:r w:rsidR="003914A2" w:rsidRPr="00362CE7">
        <w:rPr>
          <w:rFonts w:ascii="黑体" w:eastAsia="黑体" w:hAnsi="黑体" w:cs="黑体"/>
          <w:kern w:val="0"/>
          <w:szCs w:val="21"/>
        </w:rPr>
        <w:t>、</w:t>
      </w:r>
      <w:r w:rsidR="007D51ED" w:rsidRPr="00362CE7">
        <w:rPr>
          <w:rFonts w:ascii="黑体" w:eastAsia="黑体" w:hAnsi="黑体" w:cs="黑体"/>
          <w:kern w:val="0"/>
          <w:szCs w:val="21"/>
        </w:rPr>
        <w:t>其他</w:t>
      </w:r>
      <w:r w:rsidR="00544B94" w:rsidRPr="00362CE7">
        <w:rPr>
          <w:rFonts w:ascii="黑体" w:eastAsia="黑体" w:hAnsi="黑体" w:cs="黑体" w:hint="eastAsia"/>
          <w:kern w:val="0"/>
          <w:szCs w:val="21"/>
        </w:rPr>
        <w:t>：</w:t>
      </w:r>
      <w:r w:rsidR="00757CB3" w:rsidRPr="00362CE7">
        <w:rPr>
          <w:rFonts w:ascii="黑体" w:eastAsia="黑体" w:hAnsi="黑体" w:cs="黑体" w:hint="eastAsia"/>
          <w:kern w:val="0"/>
          <w:szCs w:val="21"/>
        </w:rPr>
        <w:t>无</w:t>
      </w:r>
    </w:p>
    <w:p w14:paraId="7FD3C6AB" w14:textId="7C552E9F" w:rsidR="009B5618" w:rsidRPr="00362CE7" w:rsidRDefault="009B5618"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007C7765" w:rsidRPr="00362CE7">
        <w:rPr>
          <w:rFonts w:ascii="黑体" w:eastAsia="黑体" w:hAnsi="黑体" w:cs="宋体" w:hint="eastAsia"/>
          <w:kern w:val="0"/>
          <w:szCs w:val="21"/>
        </w:rPr>
        <w:t>二</w:t>
      </w:r>
      <w:r w:rsidRPr="00362CE7">
        <w:rPr>
          <w:rFonts w:ascii="黑体" w:eastAsia="黑体" w:hAnsi="黑体" w:cs="宋体" w:hint="eastAsia"/>
          <w:kern w:val="0"/>
          <w:szCs w:val="21"/>
        </w:rPr>
        <w:t>）赎回</w:t>
      </w:r>
      <w:r w:rsidR="007C7765" w:rsidRPr="00362CE7">
        <w:rPr>
          <w:rFonts w:ascii="黑体" w:eastAsia="黑体" w:hAnsi="黑体" w:cs="宋体" w:hint="eastAsia"/>
          <w:kern w:val="0"/>
          <w:szCs w:val="21"/>
        </w:rPr>
        <w:t>相关规则</w:t>
      </w:r>
    </w:p>
    <w:p w14:paraId="48FF9FA7" w14:textId="198CCD6A" w:rsidR="00D539D4" w:rsidRPr="00362CE7" w:rsidRDefault="00D539D4" w:rsidP="00310FD3">
      <w:pPr>
        <w:autoSpaceDE w:val="0"/>
        <w:autoSpaceDN w:val="0"/>
        <w:adjustRightInd w:val="0"/>
        <w:ind w:firstLineChars="200" w:firstLine="420"/>
        <w:jc w:val="left"/>
        <w:rPr>
          <w:rFonts w:ascii="黑体" w:eastAsia="黑体" w:hAnsi="黑体" w:cs="黑体"/>
          <w:b/>
          <w:kern w:val="0"/>
          <w:szCs w:val="21"/>
        </w:rPr>
      </w:pPr>
      <w:r w:rsidRPr="00362CE7">
        <w:rPr>
          <w:rFonts w:ascii="黑体" w:eastAsia="黑体" w:hAnsi="黑体" w:cs="黑体"/>
          <w:kern w:val="0"/>
          <w:szCs w:val="21"/>
        </w:rPr>
        <w:t>1</w:t>
      </w:r>
      <w:r w:rsidRPr="00362CE7">
        <w:rPr>
          <w:rFonts w:ascii="黑体" w:eastAsia="黑体" w:hAnsi="黑体" w:cs="黑体" w:hint="eastAsia"/>
          <w:kern w:val="0"/>
          <w:szCs w:val="21"/>
        </w:rPr>
        <w:t>、</w:t>
      </w:r>
      <w:r w:rsidR="00570BE1" w:rsidRPr="00362CE7">
        <w:rPr>
          <w:rFonts w:ascii="黑体" w:eastAsia="黑体" w:hAnsi="黑体" w:cs="黑体" w:hint="eastAsia"/>
          <w:kern w:val="0"/>
          <w:szCs w:val="21"/>
        </w:rPr>
        <w:t>投资者</w:t>
      </w:r>
      <w:r w:rsidR="00A2348C" w:rsidRPr="00362CE7">
        <w:rPr>
          <w:rFonts w:ascii="黑体" w:eastAsia="黑体" w:hAnsi="黑体" w:cs="黑体" w:hint="eastAsia"/>
          <w:kern w:val="0"/>
          <w:szCs w:val="21"/>
        </w:rPr>
        <w:t>持有本产品</w:t>
      </w:r>
      <w:r w:rsidR="00570BE1" w:rsidRPr="00362CE7">
        <w:rPr>
          <w:rFonts w:ascii="黑体" w:eastAsia="黑体" w:hAnsi="黑体" w:cs="黑体"/>
          <w:kern w:val="0"/>
          <w:szCs w:val="21"/>
        </w:rPr>
        <w:t>每笔份额的投资周期</w:t>
      </w:r>
      <w:r w:rsidR="00570BE1" w:rsidRPr="00362CE7">
        <w:rPr>
          <w:rFonts w:ascii="黑体" w:eastAsia="黑体" w:hAnsi="黑体" w:cs="黑体" w:hint="eastAsia"/>
          <w:kern w:val="0"/>
          <w:szCs w:val="21"/>
        </w:rPr>
        <w:t>终止日</w:t>
      </w:r>
      <w:r w:rsidRPr="00362CE7">
        <w:rPr>
          <w:rFonts w:ascii="黑体" w:eastAsia="黑体" w:hAnsi="黑体" w:cs="黑体"/>
          <w:kern w:val="0"/>
          <w:szCs w:val="21"/>
        </w:rPr>
        <w:t>，</w:t>
      </w:r>
      <w:r w:rsidR="003C5532" w:rsidRPr="00362CE7">
        <w:rPr>
          <w:rFonts w:ascii="黑体" w:eastAsia="黑体" w:hAnsi="黑体" w:cs="黑体" w:hint="eastAsia"/>
          <w:kern w:val="0"/>
          <w:szCs w:val="21"/>
        </w:rPr>
        <w:t>份额</w:t>
      </w:r>
      <w:r w:rsidR="00570BE1" w:rsidRPr="00362CE7">
        <w:rPr>
          <w:rFonts w:ascii="黑体" w:eastAsia="黑体" w:hAnsi="黑体" w:cs="黑体" w:hint="eastAsia"/>
          <w:kern w:val="0"/>
          <w:szCs w:val="21"/>
        </w:rPr>
        <w:t>自动赎回</w:t>
      </w:r>
      <w:r w:rsidR="00D02E26" w:rsidRPr="00362CE7">
        <w:rPr>
          <w:rFonts w:ascii="黑体" w:eastAsia="黑体" w:hAnsi="黑体" w:cs="黑体" w:hint="eastAsia"/>
          <w:kern w:val="0"/>
          <w:szCs w:val="21"/>
        </w:rPr>
        <w:t>，</w:t>
      </w:r>
      <w:r w:rsidR="00F1708F" w:rsidRPr="00362CE7">
        <w:rPr>
          <w:rFonts w:ascii="黑体" w:eastAsia="黑体" w:hAnsi="黑体" w:cs="黑体" w:hint="eastAsia"/>
          <w:b/>
          <w:kern w:val="0"/>
          <w:szCs w:val="21"/>
        </w:rPr>
        <w:t>投资者</w:t>
      </w:r>
      <w:r w:rsidR="00F1708F" w:rsidRPr="00362CE7">
        <w:rPr>
          <w:rFonts w:ascii="黑体" w:eastAsia="黑体" w:hAnsi="黑体" w:cs="黑体"/>
          <w:b/>
          <w:kern w:val="0"/>
          <w:szCs w:val="21"/>
        </w:rPr>
        <w:t>的</w:t>
      </w:r>
      <w:r w:rsidR="007B351C" w:rsidRPr="00362CE7">
        <w:rPr>
          <w:rFonts w:ascii="黑体" w:eastAsia="黑体" w:hAnsi="黑体" w:cs="黑体" w:hint="eastAsia"/>
          <w:b/>
          <w:kern w:val="0"/>
          <w:szCs w:val="21"/>
        </w:rPr>
        <w:t>赎回</w:t>
      </w:r>
      <w:r w:rsidR="007B351C" w:rsidRPr="00362CE7">
        <w:rPr>
          <w:rFonts w:ascii="黑体" w:eastAsia="黑体" w:hAnsi="黑体" w:cs="黑体"/>
          <w:b/>
          <w:kern w:val="0"/>
          <w:szCs w:val="21"/>
        </w:rPr>
        <w:t>金额</w:t>
      </w:r>
      <w:r w:rsidR="007B351C" w:rsidRPr="00362CE7">
        <w:rPr>
          <w:rFonts w:ascii="黑体" w:eastAsia="黑体" w:hAnsi="黑体" w:cs="黑体" w:hint="eastAsia"/>
          <w:b/>
          <w:kern w:val="0"/>
          <w:szCs w:val="21"/>
        </w:rPr>
        <w:t>将于</w:t>
      </w:r>
      <w:r w:rsidR="00570BE1" w:rsidRPr="00362CE7">
        <w:rPr>
          <w:rFonts w:ascii="黑体" w:eastAsia="黑体" w:hAnsi="黑体" w:cs="黑体"/>
          <w:b/>
          <w:kern w:val="0"/>
          <w:szCs w:val="21"/>
        </w:rPr>
        <w:t>投资周期</w:t>
      </w:r>
      <w:r w:rsidR="00570BE1" w:rsidRPr="00362CE7">
        <w:rPr>
          <w:rFonts w:ascii="黑体" w:eastAsia="黑体" w:hAnsi="黑体" w:cs="黑体" w:hint="eastAsia"/>
          <w:b/>
          <w:kern w:val="0"/>
          <w:szCs w:val="21"/>
        </w:rPr>
        <w:t>终止日</w:t>
      </w:r>
      <w:r w:rsidR="007B351C" w:rsidRPr="00362CE7">
        <w:rPr>
          <w:rFonts w:ascii="黑体" w:eastAsia="黑体" w:hAnsi="黑体" w:cs="黑体" w:hint="eastAsia"/>
          <w:b/>
          <w:kern w:val="0"/>
          <w:szCs w:val="21"/>
        </w:rPr>
        <w:t>后</w:t>
      </w:r>
      <w:r w:rsidR="00757CB3" w:rsidRPr="00362CE7">
        <w:rPr>
          <w:rFonts w:ascii="黑体" w:eastAsia="黑体" w:hAnsi="黑体" w:cs="黑体"/>
          <w:b/>
          <w:kern w:val="0"/>
          <w:szCs w:val="21"/>
        </w:rPr>
        <w:t>3</w:t>
      </w:r>
      <w:r w:rsidR="00757CB3" w:rsidRPr="00362CE7">
        <w:rPr>
          <w:rFonts w:ascii="黑体" w:eastAsia="黑体" w:hAnsi="黑体" w:cs="黑体" w:hint="eastAsia"/>
          <w:b/>
          <w:kern w:val="0"/>
          <w:szCs w:val="21"/>
        </w:rPr>
        <w:t>个</w:t>
      </w:r>
      <w:r w:rsidR="00535FDE" w:rsidRPr="00362CE7">
        <w:rPr>
          <w:rFonts w:ascii="黑体" w:eastAsia="黑体" w:hAnsi="黑体" w:cs="黑体"/>
          <w:b/>
          <w:kern w:val="0"/>
          <w:szCs w:val="21"/>
        </w:rPr>
        <w:t>工作日内</w:t>
      </w:r>
      <w:r w:rsidR="007B351C" w:rsidRPr="00362CE7">
        <w:rPr>
          <w:rFonts w:ascii="黑体" w:eastAsia="黑体" w:hAnsi="黑体" w:cs="黑体" w:hint="eastAsia"/>
          <w:b/>
          <w:kern w:val="0"/>
          <w:szCs w:val="21"/>
        </w:rPr>
        <w:t>到账</w:t>
      </w:r>
      <w:r w:rsidR="00F1708F" w:rsidRPr="00362CE7">
        <w:rPr>
          <w:rFonts w:ascii="黑体" w:eastAsia="黑体" w:hAnsi="黑体" w:cs="黑体" w:hint="eastAsia"/>
          <w:b/>
          <w:kern w:val="0"/>
          <w:szCs w:val="21"/>
        </w:rPr>
        <w:t>。</w:t>
      </w:r>
    </w:p>
    <w:p w14:paraId="31F224C7" w14:textId="149E93DF" w:rsidR="00565F83" w:rsidRPr="00362CE7" w:rsidRDefault="00D02E26" w:rsidP="005020E5">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赎回价格采用</w:t>
      </w:r>
      <w:r w:rsidR="00757CB3" w:rsidRPr="00362CE7">
        <w:rPr>
          <w:rFonts w:ascii="黑体" w:eastAsia="黑体" w:hAnsi="黑体" w:cs="黑体"/>
          <w:kern w:val="0"/>
          <w:szCs w:val="21"/>
        </w:rPr>
        <w:t>投资周期</w:t>
      </w:r>
      <w:r w:rsidR="00757CB3" w:rsidRPr="00362CE7">
        <w:rPr>
          <w:rFonts w:ascii="黑体" w:eastAsia="黑体" w:hAnsi="黑体" w:cs="黑体" w:hint="eastAsia"/>
          <w:kern w:val="0"/>
          <w:szCs w:val="21"/>
        </w:rPr>
        <w:t>终止日前一工作日</w:t>
      </w:r>
      <w:r w:rsidRPr="00362CE7">
        <w:rPr>
          <w:rFonts w:ascii="黑体" w:eastAsia="黑体" w:hAnsi="黑体" w:cs="黑体"/>
          <w:kern w:val="0"/>
          <w:szCs w:val="21"/>
        </w:rPr>
        <w:t>的产品净值。</w:t>
      </w:r>
    </w:p>
    <w:p w14:paraId="0A42AB64" w14:textId="2DED7345" w:rsidR="004025AA" w:rsidRPr="00362CE7" w:rsidRDefault="00A32B0A"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2</w:t>
      </w:r>
      <w:r w:rsidR="007D51ED" w:rsidRPr="00362CE7">
        <w:rPr>
          <w:rFonts w:ascii="黑体" w:eastAsia="黑体" w:hAnsi="黑体" w:cs="黑体" w:hint="eastAsia"/>
          <w:kern w:val="0"/>
          <w:szCs w:val="21"/>
        </w:rPr>
        <w:t>、产品采用份额赎回规则</w:t>
      </w:r>
      <w:r w:rsidR="007D51ED" w:rsidRPr="00362CE7">
        <w:rPr>
          <w:rFonts w:ascii="黑体" w:eastAsia="黑体" w:hAnsi="黑体" w:cs="黑体"/>
          <w:kern w:val="0"/>
          <w:szCs w:val="21"/>
        </w:rPr>
        <w:t>，</w:t>
      </w:r>
      <w:r w:rsidR="007D51ED" w:rsidRPr="00362CE7">
        <w:rPr>
          <w:rFonts w:ascii="黑体" w:eastAsia="黑体" w:hAnsi="黑体" w:cs="黑体" w:hint="eastAsia"/>
          <w:kern w:val="0"/>
          <w:szCs w:val="21"/>
        </w:rPr>
        <w:t>即赎回以份额确定投资者</w:t>
      </w:r>
      <w:r w:rsidR="007D51ED" w:rsidRPr="00362CE7">
        <w:rPr>
          <w:rFonts w:ascii="黑体" w:eastAsia="黑体" w:hAnsi="黑体" w:cs="黑体"/>
          <w:kern w:val="0"/>
          <w:szCs w:val="21"/>
        </w:rPr>
        <w:t>对应的</w:t>
      </w:r>
      <w:r w:rsidR="007D51ED" w:rsidRPr="00362CE7">
        <w:rPr>
          <w:rFonts w:ascii="黑体" w:eastAsia="黑体" w:hAnsi="黑体" w:cs="黑体" w:hint="eastAsia"/>
          <w:kern w:val="0"/>
          <w:szCs w:val="21"/>
        </w:rPr>
        <w:t>产品金额</w:t>
      </w:r>
      <w:r w:rsidR="007D51ED" w:rsidRPr="00362CE7">
        <w:rPr>
          <w:rFonts w:ascii="黑体" w:eastAsia="黑体" w:hAnsi="黑体" w:cs="黑体"/>
          <w:kern w:val="0"/>
          <w:szCs w:val="21"/>
        </w:rPr>
        <w:t>。</w:t>
      </w:r>
    </w:p>
    <w:p w14:paraId="76E26CF9" w14:textId="06C10DF1" w:rsidR="007D51ED" w:rsidRPr="00362CE7" w:rsidRDefault="00A32B0A"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3</w:t>
      </w:r>
      <w:r w:rsidR="007D51ED" w:rsidRPr="00362CE7">
        <w:rPr>
          <w:rFonts w:ascii="黑体" w:eastAsia="黑体" w:hAnsi="黑体" w:cs="黑体" w:hint="eastAsia"/>
          <w:kern w:val="0"/>
          <w:szCs w:val="21"/>
        </w:rPr>
        <w:t>、产品</w:t>
      </w:r>
      <w:r w:rsidR="00557E54" w:rsidRPr="00362CE7">
        <w:rPr>
          <w:rFonts w:ascii="黑体" w:eastAsia="黑体" w:hAnsi="黑体" w:cs="黑体" w:hint="eastAsia"/>
          <w:kern w:val="0"/>
          <w:szCs w:val="21"/>
        </w:rPr>
        <w:t>存续期</w:t>
      </w:r>
      <w:r w:rsidR="007D51ED" w:rsidRPr="00362CE7">
        <w:rPr>
          <w:rFonts w:ascii="黑体" w:eastAsia="黑体" w:hAnsi="黑体" w:cs="黑体" w:hint="eastAsia"/>
          <w:kern w:val="0"/>
          <w:szCs w:val="21"/>
        </w:rPr>
        <w:t>内，若出现以下情况，</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007D51ED" w:rsidRPr="00362CE7">
        <w:rPr>
          <w:rFonts w:ascii="黑体" w:eastAsia="黑体" w:hAnsi="黑体" w:cs="黑体" w:hint="eastAsia"/>
          <w:kern w:val="0"/>
          <w:szCs w:val="21"/>
        </w:rPr>
        <w:t>有权拒绝或暂停接受投资者的</w:t>
      </w:r>
      <w:r w:rsidR="00175DE9" w:rsidRPr="00362CE7">
        <w:rPr>
          <w:rFonts w:ascii="黑体" w:eastAsia="黑体" w:hAnsi="黑体" w:cs="黑体" w:hint="eastAsia"/>
          <w:kern w:val="0"/>
          <w:szCs w:val="21"/>
        </w:rPr>
        <w:t>全部或部分赎回申请</w:t>
      </w:r>
      <w:r w:rsidR="007D51ED" w:rsidRPr="00362CE7">
        <w:rPr>
          <w:rFonts w:ascii="黑体" w:eastAsia="黑体" w:hAnsi="黑体" w:cs="黑体" w:hint="eastAsia"/>
          <w:kern w:val="0"/>
          <w:szCs w:val="21"/>
        </w:rPr>
        <w:t>：</w:t>
      </w:r>
    </w:p>
    <w:p w14:paraId="677B8683" w14:textId="4E3F8850" w:rsidR="007D51ED" w:rsidRPr="00362CE7" w:rsidRDefault="007D51ED"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（1）因不可抗力导致</w:t>
      </w:r>
      <w:r w:rsidR="00DE283F" w:rsidRPr="00362CE7">
        <w:rPr>
          <w:rFonts w:ascii="黑体" w:eastAsia="黑体" w:hAnsi="黑体" w:cs="黑体" w:hint="eastAsia"/>
          <w:kern w:val="0"/>
          <w:szCs w:val="21"/>
        </w:rPr>
        <w:t>产品管理机构</w:t>
      </w:r>
      <w:r w:rsidRPr="00362CE7">
        <w:rPr>
          <w:rFonts w:ascii="黑体" w:eastAsia="黑体" w:hAnsi="黑体" w:cs="黑体" w:hint="eastAsia"/>
          <w:kern w:val="0"/>
          <w:szCs w:val="21"/>
        </w:rPr>
        <w:t>无法接受投资者赎回申请；</w:t>
      </w:r>
    </w:p>
    <w:p w14:paraId="7F81C6D1" w14:textId="58202CA7" w:rsidR="00175DE9" w:rsidRPr="00362CE7" w:rsidRDefault="00175DE9"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w:t>
      </w:r>
      <w:r w:rsidR="005D46BF" w:rsidRPr="00362CE7">
        <w:rPr>
          <w:rFonts w:ascii="黑体" w:eastAsia="黑体" w:hAnsi="黑体" w:cs="黑体" w:hint="eastAsia"/>
          <w:kern w:val="0"/>
          <w:szCs w:val="21"/>
        </w:rPr>
        <w:t>2</w:t>
      </w:r>
      <w:r w:rsidRPr="00362CE7">
        <w:rPr>
          <w:rFonts w:ascii="黑体" w:eastAsia="黑体" w:hAnsi="黑体" w:cs="黑体" w:hint="eastAsia"/>
          <w:kern w:val="0"/>
          <w:szCs w:val="21"/>
        </w:rPr>
        <w:t>）产品</w:t>
      </w:r>
      <w:r w:rsidRPr="00362CE7">
        <w:rPr>
          <w:rFonts w:ascii="黑体" w:eastAsia="黑体" w:hAnsi="黑体" w:cs="黑体"/>
          <w:kern w:val="0"/>
          <w:szCs w:val="21"/>
        </w:rPr>
        <w:t>所投资</w:t>
      </w:r>
      <w:r w:rsidRPr="00362CE7">
        <w:rPr>
          <w:rFonts w:ascii="黑体" w:eastAsia="黑体" w:hAnsi="黑体" w:cs="黑体" w:hint="eastAsia"/>
          <w:kern w:val="0"/>
          <w:szCs w:val="21"/>
        </w:rPr>
        <w:t>资产无法及时、足额变现；</w:t>
      </w:r>
    </w:p>
    <w:p w14:paraId="1C9ABC2B" w14:textId="329EC5DD" w:rsidR="007D51ED" w:rsidRPr="00362CE7" w:rsidRDefault="007D51ED"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w:t>
      </w:r>
      <w:r w:rsidR="005D46BF" w:rsidRPr="00362CE7">
        <w:rPr>
          <w:rFonts w:ascii="黑体" w:eastAsia="黑体" w:hAnsi="黑体" w:cs="黑体" w:hint="eastAsia"/>
          <w:kern w:val="0"/>
          <w:szCs w:val="21"/>
        </w:rPr>
        <w:t>3</w:t>
      </w:r>
      <w:r w:rsidRPr="00362CE7">
        <w:rPr>
          <w:rFonts w:ascii="黑体" w:eastAsia="黑体" w:hAnsi="黑体" w:cs="黑体" w:hint="eastAsia"/>
          <w:kern w:val="0"/>
          <w:szCs w:val="21"/>
        </w:rPr>
        <w:t>）法律、法规或相关监管认定的其他情形。</w:t>
      </w:r>
    </w:p>
    <w:p w14:paraId="0CD70404" w14:textId="17C130A6" w:rsidR="007D51ED" w:rsidRPr="00362CE7" w:rsidRDefault="00BC5E7F"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4</w:t>
      </w:r>
      <w:r w:rsidR="007D51ED" w:rsidRPr="00362CE7">
        <w:rPr>
          <w:rFonts w:ascii="黑体" w:eastAsia="黑体" w:hAnsi="黑体" w:cs="黑体" w:hint="eastAsia"/>
          <w:kern w:val="0"/>
          <w:szCs w:val="21"/>
        </w:rPr>
        <w:t>、</w:t>
      </w:r>
      <w:r w:rsidR="007D51ED" w:rsidRPr="00362CE7">
        <w:rPr>
          <w:rFonts w:ascii="黑体" w:eastAsia="黑体" w:hAnsi="黑体" w:cs="黑体"/>
          <w:kern w:val="0"/>
          <w:szCs w:val="21"/>
        </w:rPr>
        <w:t>其他</w:t>
      </w:r>
      <w:r w:rsidR="00E64A17" w:rsidRPr="00362CE7">
        <w:rPr>
          <w:rFonts w:ascii="黑体" w:eastAsia="黑体" w:hAnsi="黑体" w:cs="黑体" w:hint="eastAsia"/>
          <w:kern w:val="0"/>
          <w:szCs w:val="21"/>
        </w:rPr>
        <w:t>：</w:t>
      </w:r>
      <w:r w:rsidR="00757CB3" w:rsidRPr="00362CE7">
        <w:rPr>
          <w:rFonts w:ascii="黑体" w:eastAsia="黑体" w:hAnsi="黑体" w:cs="黑体" w:hint="eastAsia"/>
          <w:kern w:val="0"/>
          <w:szCs w:val="21"/>
        </w:rPr>
        <w:t>无</w:t>
      </w:r>
    </w:p>
    <w:p w14:paraId="4D1D6E6C" w14:textId="3A983800" w:rsidR="009F3A52" w:rsidRPr="00362CE7" w:rsidRDefault="009F3A52"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Pr="00362CE7">
        <w:rPr>
          <w:rFonts w:ascii="黑体" w:eastAsia="黑体" w:hAnsi="黑体" w:cs="宋体"/>
          <w:kern w:val="0"/>
          <w:szCs w:val="21"/>
        </w:rPr>
        <w:t>三）产品净值公布方式</w:t>
      </w:r>
    </w:p>
    <w:p w14:paraId="796767E9" w14:textId="05C9390F" w:rsidR="006666CB" w:rsidRPr="00362CE7" w:rsidRDefault="006666CB" w:rsidP="00F45D2E">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产品净值</w:t>
      </w:r>
      <w:r w:rsidRPr="00362CE7">
        <w:rPr>
          <w:rFonts w:ascii="黑体" w:eastAsia="黑体" w:hAnsi="黑体" w:cs="黑体"/>
          <w:kern w:val="0"/>
          <w:szCs w:val="21"/>
        </w:rPr>
        <w:t>的计算按照四舍五入原则，保留至小数点后</w:t>
      </w:r>
      <w:r w:rsidR="00A616A8" w:rsidRPr="00362CE7">
        <w:rPr>
          <w:rFonts w:ascii="黑体" w:eastAsia="黑体" w:hAnsi="黑体" w:cs="黑体"/>
          <w:kern w:val="0"/>
          <w:szCs w:val="21"/>
        </w:rPr>
        <w:t>8</w:t>
      </w:r>
      <w:r w:rsidRPr="00362CE7">
        <w:rPr>
          <w:rFonts w:ascii="黑体" w:eastAsia="黑体" w:hAnsi="黑体" w:cs="黑体" w:hint="eastAsia"/>
          <w:kern w:val="0"/>
          <w:szCs w:val="21"/>
        </w:rPr>
        <w:t>位</w:t>
      </w:r>
      <w:r w:rsidRPr="00362CE7">
        <w:rPr>
          <w:rFonts w:ascii="黑体" w:eastAsia="黑体" w:hAnsi="黑体" w:cs="黑体"/>
          <w:kern w:val="0"/>
          <w:szCs w:val="21"/>
        </w:rPr>
        <w:t>。单位</w:t>
      </w:r>
      <w:r w:rsidRPr="00362CE7">
        <w:rPr>
          <w:rFonts w:ascii="黑体" w:eastAsia="黑体" w:hAnsi="黑体" w:cs="黑体" w:hint="eastAsia"/>
          <w:kern w:val="0"/>
          <w:szCs w:val="21"/>
        </w:rPr>
        <w:t>净值</w:t>
      </w:r>
      <w:r w:rsidRPr="00362CE7">
        <w:rPr>
          <w:rFonts w:ascii="黑体" w:eastAsia="黑体" w:hAnsi="黑体" w:cs="黑体"/>
          <w:kern w:val="0"/>
          <w:szCs w:val="21"/>
        </w:rPr>
        <w:t>为</w:t>
      </w:r>
      <w:r w:rsidR="00A616A8" w:rsidRPr="00362CE7">
        <w:rPr>
          <w:rFonts w:ascii="黑体" w:eastAsia="黑体" w:hAnsi="黑体" w:cs="黑体" w:hint="eastAsia"/>
          <w:kern w:val="0"/>
          <w:szCs w:val="21"/>
        </w:rPr>
        <w:t>扣除固定管理费、托管费、销售服务费、产品运作和清算中产生的其他费用、产品运营中发生的增值税及附加税费等费用后</w:t>
      </w:r>
      <w:r w:rsidRPr="00362CE7">
        <w:rPr>
          <w:rFonts w:ascii="黑体" w:eastAsia="黑体" w:hAnsi="黑体" w:cs="黑体"/>
          <w:kern w:val="0"/>
          <w:szCs w:val="21"/>
        </w:rPr>
        <w:t>的单位产品净值。</w:t>
      </w:r>
    </w:p>
    <w:p w14:paraId="455A1A38" w14:textId="77777777" w:rsidR="005209FB" w:rsidRPr="00362CE7" w:rsidRDefault="00A616A8" w:rsidP="005209FB">
      <w:pPr>
        <w:autoSpaceDE w:val="0"/>
        <w:autoSpaceDN w:val="0"/>
        <w:adjustRightInd w:val="0"/>
        <w:ind w:firstLineChars="200" w:firstLine="422"/>
        <w:jc w:val="left"/>
        <w:rPr>
          <w:rFonts w:ascii="黑体" w:eastAsia="黑体" w:hAnsi="黑体" w:cs="黑体"/>
          <w:kern w:val="0"/>
          <w:szCs w:val="21"/>
        </w:rPr>
      </w:pPr>
      <w:r w:rsidRPr="00362CE7">
        <w:rPr>
          <w:rFonts w:ascii="黑体" w:eastAsia="黑体" w:hAnsi="黑体" w:cs="黑体" w:hint="eastAsia"/>
          <w:b/>
          <w:kern w:val="0"/>
          <w:szCs w:val="21"/>
        </w:rPr>
        <w:t>本产品成立后每个工作日披露前一工作日的净值信息</w:t>
      </w:r>
      <w:r w:rsidR="001B666C" w:rsidRPr="00362CE7">
        <w:rPr>
          <w:rFonts w:ascii="黑体" w:eastAsia="黑体" w:hAnsi="黑体" w:cs="黑体" w:hint="eastAsia"/>
          <w:b/>
          <w:kern w:val="0"/>
          <w:szCs w:val="21"/>
        </w:rPr>
        <w:t>，</w:t>
      </w:r>
      <w:r w:rsidR="002C4B05" w:rsidRPr="00362CE7">
        <w:rPr>
          <w:rFonts w:ascii="黑体" w:eastAsia="黑体" w:hAnsi="黑体" w:cs="黑体" w:hint="eastAsia"/>
          <w:kern w:val="0"/>
          <w:szCs w:val="21"/>
        </w:rPr>
        <w:t>每个产品申购开放日结束后2个工作日内公告该产品申购开放日的产品净值和</w:t>
      </w:r>
      <w:r w:rsidR="002C4B05" w:rsidRPr="00362CE7">
        <w:rPr>
          <w:rFonts w:ascii="黑体" w:eastAsia="黑体" w:hAnsi="黑体" w:cs="黑体"/>
          <w:kern w:val="0"/>
          <w:szCs w:val="21"/>
        </w:rPr>
        <w:t>申购价格</w:t>
      </w:r>
      <w:r w:rsidR="002C4B05" w:rsidRPr="00362CE7">
        <w:rPr>
          <w:rFonts w:ascii="黑体" w:eastAsia="黑体" w:hAnsi="黑体" w:cs="黑体" w:hint="eastAsia"/>
          <w:kern w:val="0"/>
          <w:szCs w:val="21"/>
        </w:rPr>
        <w:t>，每个产品投资周期终止日结束后2个工作日内公告该产品投资周期终止日前一</w:t>
      </w:r>
      <w:r w:rsidRPr="00362CE7">
        <w:rPr>
          <w:rFonts w:ascii="黑体" w:eastAsia="黑体" w:hAnsi="黑体" w:cs="黑体" w:hint="eastAsia"/>
          <w:kern w:val="0"/>
          <w:szCs w:val="21"/>
        </w:rPr>
        <w:t>工作日</w:t>
      </w:r>
      <w:r w:rsidR="002C4B05" w:rsidRPr="00362CE7">
        <w:rPr>
          <w:rFonts w:ascii="黑体" w:eastAsia="黑体" w:hAnsi="黑体" w:cs="黑体" w:hint="eastAsia"/>
          <w:kern w:val="0"/>
          <w:szCs w:val="21"/>
        </w:rPr>
        <w:t>的产品净值和赎回价格。</w:t>
      </w:r>
      <w:r w:rsidR="005209FB" w:rsidRPr="00362CE7">
        <w:rPr>
          <w:rFonts w:ascii="黑体" w:eastAsia="黑体" w:hAnsi="黑体" w:cs="黑体" w:hint="eastAsia"/>
          <w:kern w:val="0"/>
          <w:szCs w:val="21"/>
        </w:rPr>
        <w:t>如有</w:t>
      </w:r>
      <w:r w:rsidR="005209FB" w:rsidRPr="00362CE7">
        <w:rPr>
          <w:rFonts w:ascii="黑体" w:eastAsia="黑体" w:hAnsi="黑体" w:cs="黑体"/>
          <w:kern w:val="0"/>
          <w:szCs w:val="21"/>
        </w:rPr>
        <w:t>其它</w:t>
      </w:r>
      <w:r w:rsidR="005209FB" w:rsidRPr="00362CE7">
        <w:rPr>
          <w:rFonts w:ascii="黑体" w:eastAsia="黑体" w:hAnsi="黑体" w:cs="黑体" w:hint="eastAsia"/>
          <w:kern w:val="0"/>
          <w:szCs w:val="21"/>
        </w:rPr>
        <w:t>特殊情况的</w:t>
      </w:r>
      <w:r w:rsidR="005209FB" w:rsidRPr="00362CE7">
        <w:rPr>
          <w:rFonts w:ascii="黑体" w:eastAsia="黑体" w:hAnsi="黑体" w:cs="黑体"/>
          <w:kern w:val="0"/>
          <w:szCs w:val="21"/>
        </w:rPr>
        <w:t>，以</w:t>
      </w:r>
      <w:r w:rsidR="005209FB" w:rsidRPr="00362CE7">
        <w:rPr>
          <w:rFonts w:ascii="黑体" w:eastAsia="黑体" w:hAnsi="黑体" w:cs="黑体" w:hint="eastAsia"/>
          <w:kern w:val="0"/>
          <w:szCs w:val="21"/>
        </w:rPr>
        <w:t>产品管理人</w:t>
      </w:r>
      <w:r w:rsidR="005209FB" w:rsidRPr="00362CE7">
        <w:rPr>
          <w:rFonts w:ascii="黑体" w:eastAsia="黑体" w:hAnsi="黑体" w:cs="黑体"/>
          <w:kern w:val="0"/>
          <w:szCs w:val="21"/>
        </w:rPr>
        <w:t>公告</w:t>
      </w:r>
      <w:r w:rsidR="005209FB" w:rsidRPr="00362CE7">
        <w:rPr>
          <w:rFonts w:ascii="黑体" w:eastAsia="黑体" w:hAnsi="黑体" w:cs="黑体" w:hint="eastAsia"/>
          <w:kern w:val="0"/>
          <w:szCs w:val="21"/>
        </w:rPr>
        <w:t>为准</w:t>
      </w:r>
      <w:r w:rsidR="005209FB" w:rsidRPr="00362CE7">
        <w:rPr>
          <w:rFonts w:ascii="黑体" w:eastAsia="黑体" w:hAnsi="黑体" w:cs="黑体"/>
          <w:kern w:val="0"/>
          <w:szCs w:val="21"/>
        </w:rPr>
        <w:t>。</w:t>
      </w:r>
    </w:p>
    <w:p w14:paraId="57512DB3" w14:textId="119968E7" w:rsidR="002C4B05" w:rsidRPr="00362CE7" w:rsidRDefault="002C4B05" w:rsidP="005209FB">
      <w:pPr>
        <w:autoSpaceDE w:val="0"/>
        <w:autoSpaceDN w:val="0"/>
        <w:adjustRightInd w:val="0"/>
        <w:ind w:firstLine="420"/>
        <w:jc w:val="left"/>
        <w:rPr>
          <w:rFonts w:ascii="黑体" w:eastAsia="黑体" w:hAnsi="黑体" w:cs="黑体"/>
          <w:kern w:val="0"/>
          <w:szCs w:val="21"/>
        </w:rPr>
      </w:pPr>
    </w:p>
    <w:p w14:paraId="122853B2" w14:textId="65D4B7AF" w:rsidR="009D2667" w:rsidRPr="00362CE7" w:rsidRDefault="009D2667" w:rsidP="00E07E34">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009F3A52" w:rsidRPr="00362CE7">
        <w:rPr>
          <w:rFonts w:ascii="黑体" w:eastAsia="黑体" w:hAnsi="黑体" w:cs="宋体" w:hint="eastAsia"/>
          <w:kern w:val="0"/>
          <w:szCs w:val="21"/>
        </w:rPr>
        <w:t>四</w:t>
      </w:r>
      <w:r w:rsidRPr="00362CE7">
        <w:rPr>
          <w:rFonts w:ascii="黑体" w:eastAsia="黑体" w:hAnsi="黑体" w:cs="宋体"/>
          <w:kern w:val="0"/>
          <w:szCs w:val="21"/>
        </w:rPr>
        <w:t>）</w:t>
      </w:r>
      <w:r w:rsidRPr="00362CE7">
        <w:rPr>
          <w:rFonts w:ascii="黑体" w:eastAsia="黑体" w:hAnsi="黑体" w:cs="宋体" w:hint="eastAsia"/>
          <w:kern w:val="0"/>
          <w:szCs w:val="21"/>
        </w:rPr>
        <w:t>投资者持有份额及金额计算规则</w:t>
      </w:r>
    </w:p>
    <w:p w14:paraId="301F8E43" w14:textId="26807515" w:rsidR="009D2667" w:rsidRPr="00362CE7" w:rsidRDefault="009D2667"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1、计算规则</w:t>
      </w:r>
    </w:p>
    <w:p w14:paraId="1C2032EA" w14:textId="77777777" w:rsidR="00A616A8" w:rsidRPr="00362CE7" w:rsidRDefault="00A616A8" w:rsidP="00A616A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认购确认份额 = 认购金额 / 认购价格</w:t>
      </w:r>
    </w:p>
    <w:p w14:paraId="1A4DEEB6" w14:textId="77777777" w:rsidR="00A616A8" w:rsidRPr="00362CE7" w:rsidRDefault="00A616A8" w:rsidP="00A616A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申购确认份额 = 申购金额 / 申购价格</w:t>
      </w:r>
    </w:p>
    <w:p w14:paraId="3ACB7C55" w14:textId="77777777" w:rsidR="00A616A8" w:rsidRPr="00362CE7" w:rsidRDefault="00A616A8" w:rsidP="00A616A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赎回确认金额 = 赎回份额 * 赎回价格</w:t>
      </w:r>
    </w:p>
    <w:p w14:paraId="308343A4" w14:textId="261CB4A2" w:rsidR="009D2667" w:rsidRPr="00362CE7" w:rsidRDefault="004171DB"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计算得出</w:t>
      </w:r>
      <w:r w:rsidRPr="00362CE7">
        <w:rPr>
          <w:rFonts w:ascii="黑体" w:eastAsia="黑体" w:hAnsi="黑体" w:cs="黑体"/>
          <w:kern w:val="0"/>
          <w:szCs w:val="21"/>
        </w:rPr>
        <w:t>的</w:t>
      </w:r>
      <w:r w:rsidRPr="00362CE7">
        <w:rPr>
          <w:rFonts w:ascii="黑体" w:eastAsia="黑体" w:hAnsi="黑体" w:cs="黑体" w:hint="eastAsia"/>
          <w:kern w:val="0"/>
          <w:szCs w:val="21"/>
        </w:rPr>
        <w:t>金额</w:t>
      </w:r>
      <w:r w:rsidR="00DB25E5" w:rsidRPr="00362CE7">
        <w:rPr>
          <w:rFonts w:ascii="黑体" w:eastAsia="黑体" w:hAnsi="黑体" w:cs="黑体" w:hint="eastAsia"/>
          <w:kern w:val="0"/>
          <w:szCs w:val="21"/>
        </w:rPr>
        <w:t>采取</w:t>
      </w:r>
      <w:r w:rsidR="009D2667" w:rsidRPr="00362CE7">
        <w:rPr>
          <w:rFonts w:ascii="黑体" w:eastAsia="黑体" w:hAnsi="黑体" w:cs="黑体" w:hint="eastAsia"/>
          <w:kern w:val="0"/>
          <w:szCs w:val="21"/>
        </w:rPr>
        <w:t>四舍五入后精确到小数点后2位</w:t>
      </w:r>
      <w:r w:rsidR="00A616A8" w:rsidRPr="00362CE7">
        <w:rPr>
          <w:rFonts w:ascii="黑体" w:eastAsia="黑体" w:hAnsi="黑体" w:cs="黑体" w:hint="eastAsia"/>
          <w:kern w:val="0"/>
          <w:szCs w:val="21"/>
        </w:rPr>
        <w:t>或采取截位规则</w:t>
      </w:r>
      <w:r w:rsidR="009D2667" w:rsidRPr="00362CE7">
        <w:rPr>
          <w:rFonts w:ascii="黑体" w:eastAsia="黑体" w:hAnsi="黑体" w:cs="黑体" w:hint="eastAsia"/>
          <w:kern w:val="0"/>
          <w:szCs w:val="21"/>
        </w:rPr>
        <w:t>，</w:t>
      </w:r>
      <w:r w:rsidRPr="00362CE7">
        <w:rPr>
          <w:rFonts w:ascii="黑体" w:eastAsia="黑体" w:hAnsi="黑体" w:cs="黑体" w:hint="eastAsia"/>
          <w:kern w:val="0"/>
          <w:szCs w:val="21"/>
        </w:rPr>
        <w:t>计算得出</w:t>
      </w:r>
      <w:r w:rsidRPr="00362CE7">
        <w:rPr>
          <w:rFonts w:ascii="黑体" w:eastAsia="黑体" w:hAnsi="黑体" w:cs="黑体"/>
          <w:kern w:val="0"/>
          <w:szCs w:val="21"/>
        </w:rPr>
        <w:t>的</w:t>
      </w:r>
      <w:r w:rsidRPr="00362CE7">
        <w:rPr>
          <w:rFonts w:ascii="黑体" w:eastAsia="黑体" w:hAnsi="黑体" w:cs="黑体" w:hint="eastAsia"/>
          <w:kern w:val="0"/>
          <w:szCs w:val="21"/>
        </w:rPr>
        <w:t>份额</w:t>
      </w:r>
      <w:r w:rsidR="00DB25E5" w:rsidRPr="00362CE7">
        <w:rPr>
          <w:rFonts w:ascii="黑体" w:eastAsia="黑体" w:hAnsi="黑体" w:cs="黑体" w:hint="eastAsia"/>
          <w:kern w:val="0"/>
          <w:szCs w:val="21"/>
        </w:rPr>
        <w:t>采取截位规则取</w:t>
      </w:r>
      <w:r w:rsidR="009D2667" w:rsidRPr="00362CE7">
        <w:rPr>
          <w:rFonts w:ascii="黑体" w:eastAsia="黑体" w:hAnsi="黑体" w:cs="黑体" w:hint="eastAsia"/>
          <w:kern w:val="0"/>
          <w:szCs w:val="21"/>
        </w:rPr>
        <w:t>小数点后</w:t>
      </w:r>
      <w:r w:rsidRPr="00362CE7">
        <w:rPr>
          <w:rFonts w:ascii="黑体" w:eastAsia="黑体" w:hAnsi="黑体" w:cs="黑体" w:hint="eastAsia"/>
          <w:kern w:val="0"/>
          <w:szCs w:val="21"/>
        </w:rPr>
        <w:t>2</w:t>
      </w:r>
      <w:r w:rsidR="009D2667" w:rsidRPr="00362CE7">
        <w:rPr>
          <w:rFonts w:ascii="黑体" w:eastAsia="黑体" w:hAnsi="黑体" w:cs="黑体" w:hint="eastAsia"/>
          <w:kern w:val="0"/>
          <w:szCs w:val="21"/>
        </w:rPr>
        <w:t>位</w:t>
      </w:r>
      <w:r w:rsidR="0098231D" w:rsidRPr="00362CE7">
        <w:rPr>
          <w:rFonts w:ascii="黑体" w:eastAsia="黑体" w:hAnsi="黑体" w:cs="黑体" w:hint="eastAsia"/>
          <w:kern w:val="0"/>
          <w:szCs w:val="21"/>
        </w:rPr>
        <w:t>，具体以产品管理人实际确认为准</w:t>
      </w:r>
      <w:r w:rsidR="009D2667" w:rsidRPr="00362CE7">
        <w:rPr>
          <w:rFonts w:ascii="黑体" w:eastAsia="黑体" w:hAnsi="黑体" w:cs="黑体" w:hint="eastAsia"/>
          <w:kern w:val="0"/>
          <w:szCs w:val="21"/>
        </w:rPr>
        <w:t>。</w:t>
      </w:r>
    </w:p>
    <w:p w14:paraId="79C6C347" w14:textId="49F16005" w:rsidR="00E67F41" w:rsidRPr="00362CE7" w:rsidRDefault="00E67F41" w:rsidP="00F45D2E">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lastRenderedPageBreak/>
        <w:t>2、计算示例</w:t>
      </w:r>
    </w:p>
    <w:p w14:paraId="4A92B0B8"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情景</w:t>
      </w:r>
      <w:r w:rsidRPr="00362CE7">
        <w:rPr>
          <w:rFonts w:ascii="黑体" w:eastAsia="黑体" w:hAnsi="黑体" w:cs="黑体"/>
          <w:color w:val="000000" w:themeColor="text1"/>
          <w:kern w:val="0"/>
          <w:szCs w:val="21"/>
        </w:rPr>
        <w:t>1</w:t>
      </w:r>
      <w:r w:rsidRPr="00362CE7">
        <w:rPr>
          <w:rFonts w:ascii="黑体" w:eastAsia="黑体" w:hAnsi="黑体" w:cs="黑体" w:hint="eastAsia"/>
          <w:color w:val="000000" w:themeColor="text1"/>
          <w:kern w:val="0"/>
          <w:szCs w:val="21"/>
        </w:rPr>
        <w:t>：假设投资者于募集期内认购本产品，投资本金为</w:t>
      </w:r>
      <w:r w:rsidRPr="00362CE7">
        <w:rPr>
          <w:rFonts w:ascii="黑体" w:eastAsia="黑体" w:hAnsi="黑体" w:cs="黑体"/>
          <w:color w:val="000000" w:themeColor="text1"/>
          <w:kern w:val="0"/>
          <w:szCs w:val="21"/>
        </w:rPr>
        <w:t xml:space="preserve">100,000.00 </w:t>
      </w:r>
      <w:r w:rsidRPr="00362CE7">
        <w:rPr>
          <w:rFonts w:ascii="黑体" w:eastAsia="黑体" w:hAnsi="黑体" w:cs="黑体" w:hint="eastAsia"/>
          <w:color w:val="000000" w:themeColor="text1"/>
          <w:kern w:val="0"/>
          <w:szCs w:val="21"/>
        </w:rPr>
        <w:t>元人民币，购买价格为</w:t>
      </w:r>
      <w:r w:rsidRPr="00362CE7">
        <w:rPr>
          <w:rFonts w:ascii="黑体" w:eastAsia="黑体" w:hAnsi="黑体" w:cs="黑体"/>
          <w:color w:val="000000" w:themeColor="text1"/>
          <w:kern w:val="0"/>
          <w:szCs w:val="21"/>
        </w:rPr>
        <w:t>1</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份，则投资者认购确认份额为：</w:t>
      </w:r>
    </w:p>
    <w:p w14:paraId="78925C88"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认购确认份额</w:t>
      </w:r>
      <w:r w:rsidRPr="00362CE7">
        <w:rPr>
          <w:rFonts w:ascii="黑体" w:eastAsia="黑体" w:hAnsi="黑体" w:cs="黑体"/>
          <w:color w:val="000000" w:themeColor="text1"/>
          <w:kern w:val="0"/>
          <w:szCs w:val="21"/>
        </w:rPr>
        <w:t>=100,000.00</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1=100,000.00</w:t>
      </w:r>
      <w:r w:rsidRPr="00362CE7">
        <w:rPr>
          <w:rFonts w:ascii="黑体" w:eastAsia="黑体" w:hAnsi="黑体" w:cs="黑体" w:hint="eastAsia"/>
          <w:color w:val="000000" w:themeColor="text1"/>
          <w:kern w:val="0"/>
          <w:szCs w:val="21"/>
        </w:rPr>
        <w:t>（份）</w:t>
      </w:r>
    </w:p>
    <w:p w14:paraId="21F4B782"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情景</w:t>
      </w:r>
      <w:r w:rsidRPr="00362CE7">
        <w:rPr>
          <w:rFonts w:ascii="黑体" w:eastAsia="黑体" w:hAnsi="黑体" w:cs="黑体"/>
          <w:color w:val="000000" w:themeColor="text1"/>
          <w:kern w:val="0"/>
          <w:szCs w:val="21"/>
        </w:rPr>
        <w:t>2</w:t>
      </w:r>
      <w:r w:rsidRPr="00362CE7">
        <w:rPr>
          <w:rFonts w:ascii="黑体" w:eastAsia="黑体" w:hAnsi="黑体" w:cs="黑体" w:hint="eastAsia"/>
          <w:color w:val="000000" w:themeColor="text1"/>
          <w:kern w:val="0"/>
          <w:szCs w:val="21"/>
        </w:rPr>
        <w:t>：假设投资者于产品存续期申购本产品，投资本金为</w:t>
      </w:r>
      <w:r w:rsidRPr="00362CE7">
        <w:rPr>
          <w:rFonts w:ascii="黑体" w:eastAsia="黑体" w:hAnsi="黑体" w:cs="黑体"/>
          <w:color w:val="000000" w:themeColor="text1"/>
          <w:kern w:val="0"/>
          <w:szCs w:val="21"/>
        </w:rPr>
        <w:t xml:space="preserve">100,000.00 </w:t>
      </w:r>
      <w:r w:rsidRPr="00362CE7">
        <w:rPr>
          <w:rFonts w:ascii="黑体" w:eastAsia="黑体" w:hAnsi="黑体" w:cs="黑体" w:hint="eastAsia"/>
          <w:color w:val="000000" w:themeColor="text1"/>
          <w:kern w:val="0"/>
          <w:szCs w:val="21"/>
        </w:rPr>
        <w:t>元人民币，购买价格为</w:t>
      </w:r>
      <w:r w:rsidRPr="00362CE7">
        <w:rPr>
          <w:rFonts w:ascii="黑体" w:eastAsia="黑体" w:hAnsi="黑体" w:cs="黑体"/>
          <w:color w:val="000000" w:themeColor="text1"/>
          <w:kern w:val="0"/>
          <w:szCs w:val="21"/>
        </w:rPr>
        <w:t>1.2</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份，则投资者申购确认份额为：</w:t>
      </w:r>
    </w:p>
    <w:p w14:paraId="4430B17F"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申购确认份额</w:t>
      </w:r>
      <w:r w:rsidRPr="00362CE7">
        <w:rPr>
          <w:rFonts w:ascii="黑体" w:eastAsia="黑体" w:hAnsi="黑体" w:cs="黑体"/>
          <w:color w:val="000000" w:themeColor="text1"/>
          <w:kern w:val="0"/>
          <w:szCs w:val="21"/>
        </w:rPr>
        <w:t>=100,000.00</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1.2=83,333.33</w:t>
      </w:r>
      <w:r w:rsidRPr="00362CE7">
        <w:rPr>
          <w:rFonts w:ascii="黑体" w:eastAsia="黑体" w:hAnsi="黑体" w:cs="黑体" w:hint="eastAsia"/>
          <w:color w:val="000000" w:themeColor="text1"/>
          <w:kern w:val="0"/>
          <w:szCs w:val="21"/>
        </w:rPr>
        <w:t>（份）</w:t>
      </w:r>
    </w:p>
    <w:p w14:paraId="1B16229D"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情景</w:t>
      </w:r>
      <w:r w:rsidRPr="00362CE7">
        <w:rPr>
          <w:rFonts w:ascii="黑体" w:eastAsia="黑体" w:hAnsi="黑体" w:cs="黑体"/>
          <w:color w:val="000000" w:themeColor="text1"/>
          <w:kern w:val="0"/>
          <w:szCs w:val="21"/>
        </w:rPr>
        <w:t>3</w:t>
      </w:r>
      <w:r w:rsidRPr="00362CE7">
        <w:rPr>
          <w:rFonts w:ascii="黑体" w:eastAsia="黑体" w:hAnsi="黑体" w:cs="黑体" w:hint="eastAsia"/>
          <w:color w:val="000000" w:themeColor="text1"/>
          <w:kern w:val="0"/>
          <w:szCs w:val="21"/>
        </w:rPr>
        <w:t>：假设投资者持有份额</w:t>
      </w:r>
      <w:r w:rsidRPr="00362CE7">
        <w:rPr>
          <w:rFonts w:ascii="黑体" w:eastAsia="黑体" w:hAnsi="黑体" w:cs="黑体"/>
          <w:color w:val="000000" w:themeColor="text1"/>
          <w:kern w:val="0"/>
          <w:szCs w:val="21"/>
        </w:rPr>
        <w:t xml:space="preserve">100,000.00 </w:t>
      </w:r>
      <w:r w:rsidRPr="00362CE7">
        <w:rPr>
          <w:rFonts w:ascii="黑体" w:eastAsia="黑体" w:hAnsi="黑体" w:cs="黑体" w:hint="eastAsia"/>
          <w:color w:val="000000" w:themeColor="text1"/>
          <w:kern w:val="0"/>
          <w:szCs w:val="21"/>
        </w:rPr>
        <w:t>份至该部分份额的投资周期终止日，赎回价格为</w:t>
      </w:r>
      <w:r w:rsidRPr="00362CE7">
        <w:rPr>
          <w:rFonts w:ascii="黑体" w:eastAsia="黑体" w:hAnsi="黑体" w:cs="黑体"/>
          <w:color w:val="000000" w:themeColor="text1"/>
          <w:kern w:val="0"/>
          <w:szCs w:val="21"/>
        </w:rPr>
        <w:t xml:space="preserve">1.0243 </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份，若赎回确认金额采取四舍五入后精确到小数点后</w:t>
      </w:r>
      <w:r w:rsidRPr="00362CE7">
        <w:rPr>
          <w:rFonts w:ascii="黑体" w:eastAsia="黑体" w:hAnsi="黑体" w:cs="黑体"/>
          <w:color w:val="000000" w:themeColor="text1"/>
          <w:kern w:val="0"/>
          <w:szCs w:val="21"/>
        </w:rPr>
        <w:t>2</w:t>
      </w:r>
      <w:r w:rsidRPr="00362CE7">
        <w:rPr>
          <w:rFonts w:ascii="黑体" w:eastAsia="黑体" w:hAnsi="黑体" w:cs="黑体" w:hint="eastAsia"/>
          <w:color w:val="000000" w:themeColor="text1"/>
          <w:kern w:val="0"/>
          <w:szCs w:val="21"/>
        </w:rPr>
        <w:t>位则投资者的投资</w:t>
      </w:r>
      <w:r w:rsidRPr="00362CE7">
        <w:rPr>
          <w:rFonts w:ascii="黑体" w:eastAsia="黑体" w:hAnsi="黑体" w:cs="黑体"/>
          <w:color w:val="000000" w:themeColor="text1"/>
          <w:kern w:val="0"/>
          <w:szCs w:val="21"/>
        </w:rPr>
        <w:t>周期终止日</w:t>
      </w:r>
      <w:r w:rsidRPr="00362CE7">
        <w:rPr>
          <w:rFonts w:ascii="黑体" w:eastAsia="黑体" w:hAnsi="黑体" w:cs="黑体" w:hint="eastAsia"/>
          <w:color w:val="000000" w:themeColor="text1"/>
          <w:kern w:val="0"/>
          <w:szCs w:val="21"/>
        </w:rPr>
        <w:t>赎回确认金额为：</w:t>
      </w:r>
    </w:p>
    <w:p w14:paraId="022DC508" w14:textId="77777777" w:rsidR="007C6CF9" w:rsidRPr="00362CE7" w:rsidRDefault="007C6CF9" w:rsidP="007C6CF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投资</w:t>
      </w:r>
      <w:r w:rsidRPr="00362CE7">
        <w:rPr>
          <w:rFonts w:ascii="黑体" w:eastAsia="黑体" w:hAnsi="黑体" w:cs="黑体"/>
          <w:color w:val="000000" w:themeColor="text1"/>
          <w:kern w:val="0"/>
          <w:szCs w:val="21"/>
        </w:rPr>
        <w:t>周期终止日</w:t>
      </w:r>
      <w:r w:rsidRPr="00362CE7">
        <w:rPr>
          <w:rFonts w:ascii="黑体" w:eastAsia="黑体" w:hAnsi="黑体" w:cs="黑体" w:hint="eastAsia"/>
          <w:color w:val="000000" w:themeColor="text1"/>
          <w:kern w:val="0"/>
          <w:szCs w:val="21"/>
        </w:rPr>
        <w:t>赎回确认金额</w:t>
      </w:r>
      <w:r w:rsidRPr="00362CE7">
        <w:rPr>
          <w:rFonts w:ascii="黑体" w:eastAsia="黑体" w:hAnsi="黑体" w:cs="黑体"/>
          <w:color w:val="000000" w:themeColor="text1"/>
          <w:kern w:val="0"/>
          <w:szCs w:val="21"/>
        </w:rPr>
        <w:t>=100,000.00</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1.0243=102,430.00</w:t>
      </w:r>
      <w:r w:rsidRPr="00362CE7">
        <w:rPr>
          <w:rFonts w:ascii="黑体" w:eastAsia="黑体" w:hAnsi="黑体" w:cs="黑体" w:hint="eastAsia"/>
          <w:color w:val="000000" w:themeColor="text1"/>
          <w:kern w:val="0"/>
          <w:szCs w:val="21"/>
        </w:rPr>
        <w:t>（元）</w:t>
      </w:r>
    </w:p>
    <w:p w14:paraId="1E73A0FF" w14:textId="5611C134" w:rsidR="0030538E" w:rsidRPr="00362CE7" w:rsidRDefault="009D2667" w:rsidP="007C6CF9">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测算收益不等于实际收益，投资须谨慎</w:t>
      </w:r>
      <w:r w:rsidR="002905AF" w:rsidRPr="00362CE7">
        <w:rPr>
          <w:rFonts w:ascii="黑体" w:eastAsia="黑体" w:hAnsi="黑体" w:cs="黑体" w:hint="eastAsia"/>
          <w:b/>
          <w:kern w:val="0"/>
          <w:szCs w:val="21"/>
        </w:rPr>
        <w:t>。</w:t>
      </w:r>
    </w:p>
    <w:p w14:paraId="6AC6F427" w14:textId="0D3D5F8C" w:rsidR="00857D8D" w:rsidRPr="00362CE7" w:rsidRDefault="00857D8D" w:rsidP="0043119F">
      <w:pPr>
        <w:autoSpaceDE w:val="0"/>
        <w:autoSpaceDN w:val="0"/>
        <w:adjustRightInd w:val="0"/>
        <w:jc w:val="left"/>
        <w:rPr>
          <w:rFonts w:ascii="黑体" w:eastAsia="黑体" w:hAnsi="黑体" w:cs="黑体"/>
          <w:kern w:val="0"/>
          <w:szCs w:val="21"/>
        </w:rPr>
      </w:pPr>
      <w:r w:rsidRPr="00362CE7">
        <w:rPr>
          <w:rFonts w:ascii="黑体" w:eastAsia="黑体" w:hAnsi="黑体" w:cs="黑体" w:hint="eastAsia"/>
          <w:kern w:val="0"/>
          <w:szCs w:val="21"/>
        </w:rPr>
        <w:t>（</w:t>
      </w:r>
      <w:r w:rsidR="003C0767" w:rsidRPr="00362CE7">
        <w:rPr>
          <w:rFonts w:ascii="黑体" w:eastAsia="黑体" w:hAnsi="黑体" w:cs="黑体" w:hint="eastAsia"/>
          <w:kern w:val="0"/>
          <w:szCs w:val="21"/>
        </w:rPr>
        <w:t>五</w:t>
      </w:r>
      <w:r w:rsidRPr="00362CE7">
        <w:rPr>
          <w:rFonts w:ascii="黑体" w:eastAsia="黑体" w:hAnsi="黑体" w:cs="黑体"/>
          <w:kern w:val="0"/>
          <w:szCs w:val="21"/>
        </w:rPr>
        <w:t>）分红规则</w:t>
      </w:r>
    </w:p>
    <w:p w14:paraId="2C550FD2" w14:textId="30EC6EEB" w:rsidR="0093479E" w:rsidRPr="00362CE7" w:rsidRDefault="00B11B78"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1</w:t>
      </w:r>
      <w:r w:rsidR="0093479E" w:rsidRPr="00362CE7">
        <w:rPr>
          <w:rFonts w:ascii="黑体" w:eastAsia="黑体" w:hAnsi="黑体" w:cs="黑体" w:hint="eastAsia"/>
          <w:kern w:val="0"/>
          <w:szCs w:val="21"/>
        </w:rPr>
        <w:t>、本产品存续期间不分红。</w:t>
      </w:r>
    </w:p>
    <w:p w14:paraId="6D6FC56A" w14:textId="6923CB9A" w:rsidR="00B11B78" w:rsidRPr="00362CE7" w:rsidRDefault="00B11B78" w:rsidP="00B11B78">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2、产品管理人有权根据产品实际运作情况，对本产品的分红规则进行调整，如有相应调整，公司将于调整前</w:t>
      </w:r>
      <w:r w:rsidR="00AD1FF3" w:rsidRPr="00362CE7">
        <w:rPr>
          <w:rFonts w:ascii="黑体" w:eastAsia="黑体" w:hAnsi="黑体" w:cs="黑体"/>
          <w:kern w:val="0"/>
          <w:szCs w:val="21"/>
        </w:rPr>
        <w:t>3个</w:t>
      </w:r>
      <w:r w:rsidRPr="00362CE7">
        <w:rPr>
          <w:rFonts w:ascii="黑体" w:eastAsia="黑体" w:hAnsi="黑体" w:cs="黑体" w:hint="eastAsia"/>
          <w:kern w:val="0"/>
          <w:szCs w:val="21"/>
        </w:rPr>
        <w:t>工作日进行信息披露。</w:t>
      </w:r>
    </w:p>
    <w:p w14:paraId="146476E6" w14:textId="10D6260A" w:rsidR="00643A5F" w:rsidRPr="00362CE7" w:rsidRDefault="00643A5F" w:rsidP="00643A5F">
      <w:pPr>
        <w:autoSpaceDE w:val="0"/>
        <w:autoSpaceDN w:val="0"/>
        <w:adjustRightInd w:val="0"/>
        <w:jc w:val="left"/>
        <w:rPr>
          <w:rFonts w:ascii="黑体" w:eastAsia="黑体" w:hAnsi="黑体" w:cs="ËÎÌå"/>
          <w:kern w:val="0"/>
          <w:szCs w:val="21"/>
        </w:rPr>
      </w:pPr>
      <w:r w:rsidRPr="00362CE7">
        <w:rPr>
          <w:rFonts w:ascii="黑体" w:eastAsia="黑体" w:hAnsi="黑体" w:cs="黑体" w:hint="eastAsia"/>
          <w:kern w:val="0"/>
          <w:szCs w:val="21"/>
        </w:rPr>
        <w:t>（六）</w:t>
      </w:r>
      <w:r w:rsidRPr="00362CE7">
        <w:rPr>
          <w:rFonts w:ascii="黑体" w:eastAsia="黑体" w:hAnsi="黑体" w:cs="ËÎÌå" w:hint="eastAsia"/>
          <w:kern w:val="0"/>
          <w:szCs w:val="21"/>
        </w:rPr>
        <w:t>摆动定价机制</w:t>
      </w:r>
    </w:p>
    <w:p w14:paraId="5265546B" w14:textId="452776C7" w:rsidR="00643A5F" w:rsidRPr="00362CE7" w:rsidRDefault="00643A5F" w:rsidP="00643A5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当本产品发生大额认（申）购或赎回情形时，产品管理人可采用摆动定价机制，以确保产品估值的公平性，并于实施后3个工作日内进行公告。摆动定价机制指当本产品遭遇大额认（申）购或赎回时，通过调整理财产品份额净值的方式，将理财产品调整投资组合的市场冲击成本分配给实际认（申）购、赎回的投资者，从而减少对存量理财产品份额持有人利益的不利影响。</w:t>
      </w:r>
      <w:r w:rsidR="00AD67F1" w:rsidRPr="00362CE7">
        <w:rPr>
          <w:rFonts w:ascii="黑体" w:eastAsia="黑体" w:hAnsi="黑体" w:cs="黑体" w:hint="eastAsia"/>
          <w:kern w:val="0"/>
          <w:szCs w:val="21"/>
        </w:rPr>
        <w:t>具体操作按照相关法律法规、监管规定和自律规则执行。</w:t>
      </w:r>
    </w:p>
    <w:p w14:paraId="5E2973AC" w14:textId="77777777" w:rsidR="00B6354D" w:rsidRPr="00362CE7" w:rsidRDefault="00B6354D" w:rsidP="00310FD3">
      <w:pPr>
        <w:autoSpaceDE w:val="0"/>
        <w:autoSpaceDN w:val="0"/>
        <w:adjustRightInd w:val="0"/>
        <w:ind w:firstLineChars="200" w:firstLine="420"/>
        <w:jc w:val="left"/>
        <w:rPr>
          <w:rFonts w:ascii="黑体" w:eastAsia="黑体" w:hAnsi="黑体" w:cs="黑体"/>
          <w:kern w:val="0"/>
          <w:szCs w:val="21"/>
        </w:rPr>
      </w:pPr>
    </w:p>
    <w:p w14:paraId="68D0CD1D" w14:textId="6988487F" w:rsidR="00716AC6" w:rsidRPr="00362CE7" w:rsidRDefault="00B23C1D" w:rsidP="009B5618">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五</w:t>
      </w:r>
      <w:r w:rsidR="009F3A52" w:rsidRPr="00362CE7">
        <w:rPr>
          <w:rFonts w:ascii="黑体" w:eastAsia="黑体" w:hAnsi="黑体" w:cs="黑体" w:hint="eastAsia"/>
          <w:b/>
          <w:kern w:val="0"/>
          <w:szCs w:val="21"/>
        </w:rPr>
        <w:t>、产品</w:t>
      </w:r>
      <w:r w:rsidR="005D46BF" w:rsidRPr="00362CE7">
        <w:rPr>
          <w:rFonts w:ascii="黑体" w:eastAsia="黑体" w:hAnsi="黑体" w:cs="黑体" w:hint="eastAsia"/>
          <w:b/>
          <w:kern w:val="0"/>
          <w:szCs w:val="21"/>
        </w:rPr>
        <w:t>资产</w:t>
      </w:r>
      <w:r w:rsidR="00716AC6" w:rsidRPr="00362CE7">
        <w:rPr>
          <w:rFonts w:ascii="黑体" w:eastAsia="黑体" w:hAnsi="黑体" w:cs="黑体" w:hint="eastAsia"/>
          <w:b/>
          <w:kern w:val="0"/>
          <w:szCs w:val="21"/>
        </w:rPr>
        <w:t>估值</w:t>
      </w:r>
      <w:r w:rsidR="00703700" w:rsidRPr="00362CE7">
        <w:rPr>
          <w:rFonts w:ascii="黑体" w:eastAsia="黑体" w:hAnsi="黑体" w:cs="黑体" w:hint="eastAsia"/>
          <w:b/>
          <w:kern w:val="0"/>
          <w:szCs w:val="21"/>
        </w:rPr>
        <w:t>原则</w:t>
      </w:r>
      <w:r w:rsidR="00703700" w:rsidRPr="00362CE7">
        <w:rPr>
          <w:rFonts w:ascii="黑体" w:eastAsia="黑体" w:hAnsi="黑体" w:cs="黑体"/>
          <w:b/>
          <w:kern w:val="0"/>
          <w:szCs w:val="21"/>
        </w:rPr>
        <w:t>及方法</w:t>
      </w:r>
    </w:p>
    <w:p w14:paraId="39704D9F" w14:textId="77777777" w:rsidR="00703700" w:rsidRPr="00362CE7" w:rsidRDefault="00703700"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（一）估值日</w:t>
      </w:r>
    </w:p>
    <w:p w14:paraId="245E96CB" w14:textId="08129C78" w:rsidR="00703700" w:rsidRPr="00362CE7" w:rsidRDefault="00F60518"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本产品估值日为国家法定工作日</w:t>
      </w:r>
      <w:r w:rsidR="00703700" w:rsidRPr="00362CE7">
        <w:rPr>
          <w:rFonts w:ascii="黑体" w:eastAsia="黑体" w:hAnsi="黑体" w:cs="黑体" w:hint="eastAsia"/>
          <w:kern w:val="0"/>
          <w:szCs w:val="21"/>
        </w:rPr>
        <w:t>。</w:t>
      </w:r>
    </w:p>
    <w:p w14:paraId="5615AE0B" w14:textId="32DF3DE8" w:rsidR="008E2C29" w:rsidRPr="00362CE7" w:rsidRDefault="008E2C29"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（二</w:t>
      </w:r>
      <w:r w:rsidRPr="00362CE7">
        <w:rPr>
          <w:rFonts w:ascii="黑体" w:eastAsia="黑体" w:hAnsi="黑体" w:cs="宋体"/>
          <w:kern w:val="0"/>
          <w:szCs w:val="21"/>
        </w:rPr>
        <w:t>）</w:t>
      </w:r>
      <w:r w:rsidRPr="00362CE7">
        <w:rPr>
          <w:rFonts w:ascii="黑体" w:eastAsia="黑体" w:hAnsi="黑体" w:cs="宋体" w:hint="eastAsia"/>
          <w:kern w:val="0"/>
          <w:szCs w:val="21"/>
        </w:rPr>
        <w:t>估值</w:t>
      </w:r>
      <w:r w:rsidRPr="00362CE7">
        <w:rPr>
          <w:rFonts w:ascii="黑体" w:eastAsia="黑体" w:hAnsi="黑体" w:cs="宋体"/>
          <w:kern w:val="0"/>
          <w:szCs w:val="21"/>
        </w:rPr>
        <w:t>原则</w:t>
      </w:r>
    </w:p>
    <w:p w14:paraId="624DA77B" w14:textId="77777777" w:rsidR="005A42B4" w:rsidRPr="00362CE7" w:rsidRDefault="005A42B4" w:rsidP="005A42B4">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公司理财产品投资金融资产在</w:t>
      </w:r>
      <w:r w:rsidRPr="00362CE7">
        <w:rPr>
          <w:rFonts w:ascii="黑体" w:eastAsia="黑体" w:hAnsi="黑体" w:cs="黑体"/>
          <w:kern w:val="0"/>
          <w:szCs w:val="21"/>
        </w:rPr>
        <w:t>符合企业会计准则的前提下</w:t>
      </w:r>
      <w:r w:rsidRPr="00362CE7">
        <w:rPr>
          <w:rFonts w:ascii="黑体" w:eastAsia="黑体" w:hAnsi="黑体" w:cs="黑体" w:hint="eastAsia"/>
          <w:kern w:val="0"/>
          <w:szCs w:val="21"/>
        </w:rPr>
        <w:t>坚持公允价值计量原则，鼓励使用市值计量。符合以下条件之一的，可按照企业会计准则以摊余成本进行计量：</w:t>
      </w:r>
    </w:p>
    <w:p w14:paraId="581F0FEB" w14:textId="77777777" w:rsidR="005A42B4" w:rsidRPr="00362CE7" w:rsidRDefault="005A42B4" w:rsidP="005A42B4">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（1）资产管理产品为封闭式产品，且所投金融资产以收取合同现金流量为目的并且持有到期。</w:t>
      </w:r>
    </w:p>
    <w:p w14:paraId="3AB29C56" w14:textId="77777777" w:rsidR="005A42B4" w:rsidRPr="00362CE7" w:rsidRDefault="005A42B4" w:rsidP="005A42B4">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（2）资产管理产品为封闭式产品，且所投金融资产暂不具备活跃交易市场，或者在活跃市场中没有报价、也不能采用估值技术可靠计量公允价值。</w:t>
      </w:r>
    </w:p>
    <w:p w14:paraId="712473A5" w14:textId="35C9A8F2" w:rsidR="005A42B4" w:rsidRPr="00362CE7" w:rsidRDefault="005A42B4" w:rsidP="005A42B4">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w:t>
      </w:r>
      <w:r w:rsidR="00207684" w:rsidRPr="00362CE7">
        <w:rPr>
          <w:rFonts w:ascii="黑体" w:eastAsia="黑体" w:hAnsi="黑体" w:cs="黑体" w:hint="eastAsia"/>
          <w:kern w:val="0"/>
          <w:szCs w:val="21"/>
        </w:rPr>
        <w:t>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w:t>
      </w:r>
      <w:r w:rsidR="00207684" w:rsidRPr="00362CE7">
        <w:rPr>
          <w:rFonts w:ascii="黑体" w:eastAsia="黑体" w:hAnsi="黑体" w:cs="黑体" w:hint="eastAsia"/>
          <w:kern w:val="0"/>
          <w:szCs w:val="21"/>
        </w:rPr>
        <w:lastRenderedPageBreak/>
        <w:t>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14:paraId="1E756A11" w14:textId="77777777" w:rsidR="005A42B4" w:rsidRPr="00362CE7" w:rsidRDefault="005A42B4" w:rsidP="005A42B4">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如财政部、中央银行、银保监会等有关部门对估值原则另有规定的，从其规定。</w:t>
      </w:r>
    </w:p>
    <w:p w14:paraId="5BCBAEE7" w14:textId="170A3C72" w:rsidR="00703700" w:rsidRPr="00362CE7" w:rsidRDefault="008E2C29"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（三</w:t>
      </w:r>
      <w:r w:rsidR="00703700" w:rsidRPr="00362CE7">
        <w:rPr>
          <w:rFonts w:ascii="黑体" w:eastAsia="黑体" w:hAnsi="黑体" w:cs="宋体" w:hint="eastAsia"/>
          <w:kern w:val="0"/>
          <w:szCs w:val="21"/>
        </w:rPr>
        <w:t>）估值对象</w:t>
      </w:r>
    </w:p>
    <w:p w14:paraId="4F36B1D3" w14:textId="4C8C489C" w:rsidR="00703700" w:rsidRPr="00362CE7" w:rsidRDefault="005D2180"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本</w:t>
      </w:r>
      <w:r w:rsidR="00703700" w:rsidRPr="00362CE7">
        <w:rPr>
          <w:rFonts w:ascii="黑体" w:eastAsia="黑体" w:hAnsi="黑体" w:cs="黑体" w:hint="eastAsia"/>
          <w:kern w:val="0"/>
          <w:szCs w:val="21"/>
        </w:rPr>
        <w:t>产品所持有的所有资产。</w:t>
      </w:r>
    </w:p>
    <w:p w14:paraId="4F1FD07F" w14:textId="4A1CBF77" w:rsidR="00716AC6" w:rsidRPr="00362CE7" w:rsidRDefault="00716AC6" w:rsidP="00310FD3">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008E2C29" w:rsidRPr="00362CE7">
        <w:rPr>
          <w:rFonts w:ascii="黑体" w:eastAsia="黑体" w:hAnsi="黑体" w:cs="宋体" w:hint="eastAsia"/>
          <w:kern w:val="0"/>
          <w:szCs w:val="21"/>
        </w:rPr>
        <w:t>四</w:t>
      </w:r>
      <w:r w:rsidRPr="00362CE7">
        <w:rPr>
          <w:rFonts w:ascii="黑体" w:eastAsia="黑体" w:hAnsi="黑体" w:cs="宋体" w:hint="eastAsia"/>
          <w:kern w:val="0"/>
          <w:szCs w:val="21"/>
        </w:rPr>
        <w:t>）资产估值方法</w:t>
      </w:r>
    </w:p>
    <w:p w14:paraId="3373B6BC" w14:textId="77777777" w:rsidR="00750677" w:rsidRPr="00362CE7" w:rsidRDefault="00750677" w:rsidP="00750677">
      <w:pPr>
        <w:pStyle w:val="af"/>
        <w:numPr>
          <w:ilvl w:val="0"/>
          <w:numId w:val="9"/>
        </w:numPr>
        <w:autoSpaceDE w:val="0"/>
        <w:autoSpaceDN w:val="0"/>
        <w:adjustRightInd w:val="0"/>
        <w:ind w:firstLineChars="0"/>
        <w:rPr>
          <w:rFonts w:ascii="黑体" w:eastAsia="黑体" w:hAnsi="黑体" w:cs="黑体"/>
          <w:kern w:val="0"/>
          <w:szCs w:val="21"/>
        </w:rPr>
      </w:pPr>
      <w:r w:rsidRPr="00362CE7">
        <w:rPr>
          <w:rFonts w:ascii="黑体" w:eastAsia="黑体" w:hAnsi="黑体" w:cs="黑体" w:hint="eastAsia"/>
          <w:kern w:val="0"/>
          <w:szCs w:val="21"/>
        </w:rPr>
        <w:t>权益类</w:t>
      </w:r>
      <w:r w:rsidRPr="00362CE7">
        <w:rPr>
          <w:rFonts w:ascii="黑体" w:eastAsia="黑体" w:hAnsi="黑体" w:cs="黑体"/>
          <w:kern w:val="0"/>
          <w:szCs w:val="21"/>
        </w:rPr>
        <w:t>证券</w:t>
      </w:r>
    </w:p>
    <w:p w14:paraId="79360CFB"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14:paraId="299CEC5A" w14:textId="77777777" w:rsidR="00750677" w:rsidRPr="00362CE7" w:rsidRDefault="00750677" w:rsidP="00750677">
      <w:pPr>
        <w:pStyle w:val="af"/>
        <w:numPr>
          <w:ilvl w:val="0"/>
          <w:numId w:val="9"/>
        </w:numPr>
        <w:autoSpaceDE w:val="0"/>
        <w:autoSpaceDN w:val="0"/>
        <w:adjustRightInd w:val="0"/>
        <w:ind w:firstLineChars="0"/>
        <w:rPr>
          <w:rFonts w:ascii="黑体" w:eastAsia="黑体" w:hAnsi="黑体" w:cs="黑体"/>
          <w:kern w:val="0"/>
          <w:szCs w:val="21"/>
        </w:rPr>
      </w:pPr>
      <w:r w:rsidRPr="00362CE7">
        <w:rPr>
          <w:rFonts w:ascii="黑体" w:eastAsia="黑体" w:hAnsi="黑体" w:cs="黑体" w:hint="eastAsia"/>
          <w:kern w:val="0"/>
          <w:szCs w:val="21"/>
        </w:rPr>
        <w:t>固定收益类证券</w:t>
      </w:r>
    </w:p>
    <w:p w14:paraId="0423F338" w14:textId="77777777" w:rsidR="00750677" w:rsidRPr="00362CE7" w:rsidRDefault="00750677" w:rsidP="00750677">
      <w:pPr>
        <w:autoSpaceDE w:val="0"/>
        <w:autoSpaceDN w:val="0"/>
        <w:adjustRightInd w:val="0"/>
        <w:ind w:left="420"/>
        <w:rPr>
          <w:rFonts w:ascii="黑体" w:eastAsia="黑体" w:hAnsi="黑体" w:cs="黑体"/>
          <w:kern w:val="0"/>
          <w:szCs w:val="21"/>
        </w:rPr>
      </w:pPr>
      <w:r w:rsidRPr="00362CE7">
        <w:rPr>
          <w:rFonts w:ascii="黑体" w:eastAsia="黑体" w:hAnsi="黑体" w:cs="黑体" w:hint="eastAsia"/>
          <w:kern w:val="0"/>
          <w:szCs w:val="21"/>
        </w:rPr>
        <w:t>理财产品直接持有的在证券交易所和全国银行间市场交易的债券，以交易为目的的，</w:t>
      </w:r>
    </w:p>
    <w:p w14:paraId="7236597F" w14:textId="77777777" w:rsidR="00750677" w:rsidRPr="00362CE7" w:rsidRDefault="00750677" w:rsidP="00750677">
      <w:pPr>
        <w:autoSpaceDE w:val="0"/>
        <w:autoSpaceDN w:val="0"/>
        <w:adjustRightInd w:val="0"/>
        <w:rPr>
          <w:rFonts w:ascii="黑体" w:eastAsia="黑体" w:hAnsi="黑体" w:cs="黑体"/>
          <w:kern w:val="0"/>
          <w:szCs w:val="21"/>
        </w:rPr>
      </w:pPr>
      <w:r w:rsidRPr="00362CE7">
        <w:rPr>
          <w:rFonts w:ascii="黑体" w:eastAsia="黑体" w:hAnsi="黑体" w:cs="黑体" w:hint="eastAsia"/>
          <w:kern w:val="0"/>
          <w:szCs w:val="21"/>
        </w:rPr>
        <w:t>按第三方估值机构（中债、中证等）提供的估值数据，对本组合持有的债券进行估值，具体第三方估值机构由管理人和托管行具体协商确定；以收取合同现金流量为目的并持有到期的，在符合</w:t>
      </w:r>
      <w:r w:rsidRPr="00362CE7">
        <w:rPr>
          <w:rFonts w:ascii="黑体" w:eastAsia="黑体" w:hAnsi="黑体" w:cs="黑体"/>
          <w:kern w:val="0"/>
          <w:szCs w:val="21"/>
        </w:rPr>
        <w:t>监管</w:t>
      </w:r>
      <w:r w:rsidRPr="00362CE7">
        <w:rPr>
          <w:rFonts w:ascii="黑体" w:eastAsia="黑体" w:hAnsi="黑体" w:cs="黑体" w:hint="eastAsia"/>
          <w:kern w:val="0"/>
          <w:szCs w:val="21"/>
        </w:rPr>
        <w:t>规定</w:t>
      </w:r>
      <w:r w:rsidRPr="00362CE7">
        <w:rPr>
          <w:rFonts w:ascii="黑体" w:eastAsia="黑体" w:hAnsi="黑体" w:cs="黑体"/>
          <w:kern w:val="0"/>
          <w:szCs w:val="21"/>
        </w:rPr>
        <w:t>的情况下</w:t>
      </w:r>
      <w:r w:rsidRPr="00362CE7">
        <w:rPr>
          <w:rFonts w:ascii="黑体" w:eastAsia="黑体" w:hAnsi="黑体" w:cs="黑体" w:hint="eastAsia"/>
          <w:kern w:val="0"/>
          <w:szCs w:val="21"/>
        </w:rPr>
        <w:t>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w:t>
      </w:r>
      <w:r w:rsidRPr="00362CE7">
        <w:rPr>
          <w:rFonts w:ascii="黑体" w:eastAsia="黑体" w:hAnsi="黑体" w:cs="黑体"/>
          <w:kern w:val="0"/>
          <w:szCs w:val="21"/>
        </w:rPr>
        <w:t>资产支持证券和资产支持票据原则上按第三方估值机构（中债、中证等）提供的估值</w:t>
      </w:r>
      <w:r w:rsidRPr="00362CE7">
        <w:rPr>
          <w:rFonts w:ascii="黑体" w:eastAsia="黑体" w:hAnsi="黑体" w:cs="黑体" w:hint="eastAsia"/>
          <w:kern w:val="0"/>
          <w:szCs w:val="21"/>
        </w:rPr>
        <w:t>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14:paraId="2A145925"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3</w:t>
      </w:r>
      <w:r w:rsidRPr="00362CE7">
        <w:rPr>
          <w:rFonts w:ascii="黑体" w:eastAsia="黑体" w:hAnsi="黑体" w:cs="黑体" w:hint="eastAsia"/>
          <w:kern w:val="0"/>
          <w:szCs w:val="21"/>
        </w:rPr>
        <w:t>、存款类资产</w:t>
      </w:r>
    </w:p>
    <w:p w14:paraId="69ACAB98"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包括：活期存款、定期存款、通知存款、存放同业、大额存单等。按照</w:t>
      </w:r>
      <w:r w:rsidRPr="00362CE7">
        <w:rPr>
          <w:rFonts w:ascii="黑体" w:eastAsia="黑体" w:hAnsi="黑体" w:cs="黑体"/>
          <w:kern w:val="0"/>
          <w:szCs w:val="21"/>
        </w:rPr>
        <w:t>约定利率在持有期内</w:t>
      </w:r>
      <w:r w:rsidRPr="00362CE7">
        <w:rPr>
          <w:rFonts w:ascii="黑体" w:eastAsia="黑体" w:hAnsi="黑体" w:cs="黑体" w:hint="eastAsia"/>
          <w:kern w:val="0"/>
          <w:szCs w:val="21"/>
        </w:rPr>
        <w:t>逐日计提</w:t>
      </w:r>
      <w:r w:rsidRPr="00362CE7">
        <w:rPr>
          <w:rFonts w:ascii="黑体" w:eastAsia="黑体" w:hAnsi="黑体" w:cs="黑体"/>
          <w:kern w:val="0"/>
          <w:szCs w:val="21"/>
        </w:rPr>
        <w:t>应收利息，</w:t>
      </w:r>
      <w:r w:rsidRPr="00362CE7">
        <w:rPr>
          <w:rFonts w:ascii="黑体" w:eastAsia="黑体" w:hAnsi="黑体" w:cs="黑体" w:hint="eastAsia"/>
          <w:kern w:val="0"/>
          <w:szCs w:val="21"/>
        </w:rPr>
        <w:t>在</w:t>
      </w:r>
      <w:r w:rsidRPr="00362CE7">
        <w:rPr>
          <w:rFonts w:ascii="黑体" w:eastAsia="黑体" w:hAnsi="黑体" w:cs="黑体"/>
          <w:kern w:val="0"/>
          <w:szCs w:val="21"/>
        </w:rPr>
        <w:t>利息到账日以实收利息入账。</w:t>
      </w:r>
    </w:p>
    <w:p w14:paraId="203FC72E"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4</w:t>
      </w:r>
      <w:r w:rsidRPr="00362CE7">
        <w:rPr>
          <w:rFonts w:ascii="黑体" w:eastAsia="黑体" w:hAnsi="黑体" w:cs="黑体" w:hint="eastAsia"/>
          <w:kern w:val="0"/>
          <w:szCs w:val="21"/>
        </w:rPr>
        <w:t>、非上市基金</w:t>
      </w:r>
    </w:p>
    <w:p w14:paraId="49C8E4D6"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理财产品投资的境内非货币市场基金，按所投资基金估值日的份额净值估值；境内货币市场基金，按所投资基金前一估值日后至估值日期间（含节假日）的万份收益计提估值日基金收益。</w:t>
      </w:r>
    </w:p>
    <w:p w14:paraId="3AFFB744"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5</w:t>
      </w:r>
      <w:r w:rsidRPr="00362CE7">
        <w:rPr>
          <w:rFonts w:ascii="黑体" w:eastAsia="黑体" w:hAnsi="黑体" w:cs="黑体" w:hint="eastAsia"/>
          <w:kern w:val="0"/>
          <w:szCs w:val="21"/>
        </w:rPr>
        <w:t>、上市证券投资基金</w:t>
      </w:r>
    </w:p>
    <w:p w14:paraId="7F267727"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14:paraId="01B61001"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6</w:t>
      </w:r>
      <w:r w:rsidRPr="00362CE7">
        <w:rPr>
          <w:rFonts w:ascii="黑体" w:eastAsia="黑体" w:hAnsi="黑体" w:cs="黑体" w:hint="eastAsia"/>
          <w:kern w:val="0"/>
          <w:szCs w:val="21"/>
        </w:rPr>
        <w:t>、净值型资管产品</w:t>
      </w:r>
    </w:p>
    <w:p w14:paraId="40909B27"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净值型资管产品包括基金资管计划、信托计划等。理财产品投资的资产管理产品，按资产管理人提供的资管产品份额净值估值，净值频率以管理人发布为准。</w:t>
      </w:r>
    </w:p>
    <w:p w14:paraId="069D0822"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7</w:t>
      </w:r>
      <w:r w:rsidRPr="00362CE7">
        <w:rPr>
          <w:rFonts w:ascii="黑体" w:eastAsia="黑体" w:hAnsi="黑体" w:cs="黑体" w:hint="eastAsia"/>
          <w:kern w:val="0"/>
          <w:szCs w:val="21"/>
        </w:rPr>
        <w:t>、衍生品</w:t>
      </w:r>
    </w:p>
    <w:p w14:paraId="514DA61D"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对证券交易所或银行间市场上交易的衍生品，若存在活跃市场的情况下，以活跃市场上未经调整的报价作为计量日的公允价值；若活跃市场报价未能代表计量日公允价值的情况</w:t>
      </w:r>
      <w:r w:rsidRPr="00362CE7">
        <w:rPr>
          <w:rFonts w:ascii="黑体" w:eastAsia="黑体" w:hAnsi="黑体" w:cs="黑体" w:hint="eastAsia"/>
          <w:kern w:val="0"/>
          <w:szCs w:val="21"/>
        </w:rPr>
        <w:lastRenderedPageBreak/>
        <w:t>下，对市场报价进行调整以确认计量日的公允价值；对于不存在市场活动或市场活动很少的情况下，当采用第三方估值或估值技术确定其公允价值。</w:t>
      </w:r>
    </w:p>
    <w:p w14:paraId="2AEA955B"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对非上市交易的衍生品，且第三方估值机构（中证或中债）未提供估值价格的，采用估值技术确定其公允价值。</w:t>
      </w:r>
    </w:p>
    <w:p w14:paraId="04709057"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8</w:t>
      </w:r>
      <w:r w:rsidRPr="00362CE7">
        <w:rPr>
          <w:rFonts w:ascii="黑体" w:eastAsia="黑体" w:hAnsi="黑体" w:cs="黑体" w:hint="eastAsia"/>
          <w:kern w:val="0"/>
          <w:szCs w:val="21"/>
        </w:rPr>
        <w:t>、非标准化债权资产</w:t>
      </w:r>
    </w:p>
    <w:p w14:paraId="6D5E09A2"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符合《关于规范金融机构资产管理业务的指导意见》中规定</w:t>
      </w:r>
      <w:r w:rsidRPr="00362CE7">
        <w:rPr>
          <w:rFonts w:ascii="黑体" w:eastAsia="黑体" w:hAnsi="黑体" w:cs="黑体"/>
          <w:kern w:val="0"/>
          <w:szCs w:val="21"/>
        </w:rPr>
        <w:t>的可以使用摊余成本法</w:t>
      </w:r>
      <w:r w:rsidRPr="00362CE7">
        <w:rPr>
          <w:rFonts w:ascii="黑体" w:eastAsia="黑体" w:hAnsi="黑体" w:cs="黑体" w:hint="eastAsia"/>
          <w:kern w:val="0"/>
          <w:szCs w:val="21"/>
        </w:rPr>
        <w:t>计量的非标准化债权资产，可使用摊余成本法计量，</w:t>
      </w:r>
      <w:r w:rsidRPr="00362CE7">
        <w:rPr>
          <w:rFonts w:ascii="黑体" w:eastAsia="黑体" w:hAnsi="黑体" w:cs="黑体"/>
          <w:kern w:val="0"/>
          <w:szCs w:val="21"/>
        </w:rPr>
        <w:t>其余采用公允价值法</w:t>
      </w:r>
      <w:r w:rsidRPr="00362CE7">
        <w:rPr>
          <w:rFonts w:ascii="黑体" w:eastAsia="黑体" w:hAnsi="黑体" w:cs="黑体" w:hint="eastAsia"/>
          <w:kern w:val="0"/>
          <w:szCs w:val="21"/>
        </w:rPr>
        <w:t>计量</w:t>
      </w:r>
      <w:r w:rsidRPr="00362CE7">
        <w:rPr>
          <w:rFonts w:ascii="黑体" w:eastAsia="黑体" w:hAnsi="黑体" w:cs="黑体"/>
          <w:kern w:val="0"/>
          <w:szCs w:val="21"/>
        </w:rPr>
        <w:t>。</w:t>
      </w:r>
    </w:p>
    <w:p w14:paraId="4BA47640"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9</w:t>
      </w:r>
      <w:r w:rsidRPr="00362CE7">
        <w:rPr>
          <w:rFonts w:ascii="黑体" w:eastAsia="黑体" w:hAnsi="黑体" w:cs="黑体" w:hint="eastAsia"/>
          <w:kern w:val="0"/>
          <w:szCs w:val="21"/>
        </w:rPr>
        <w:t>、其他</w:t>
      </w:r>
    </w:p>
    <w:p w14:paraId="7F594C63"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hint="eastAsia"/>
          <w:kern w:val="0"/>
          <w:szCs w:val="21"/>
        </w:rPr>
        <w:t>各类资产具体估值方法的确认，可参考《企业会计准则》以及</w:t>
      </w:r>
      <w:r w:rsidRPr="00362CE7">
        <w:rPr>
          <w:rFonts w:ascii="黑体" w:eastAsia="黑体" w:hAnsi="黑体" w:cs="黑体"/>
          <w:kern w:val="0"/>
          <w:szCs w:val="21"/>
        </w:rPr>
        <w:t>相关监管政策</w:t>
      </w:r>
      <w:r w:rsidRPr="00362CE7">
        <w:rPr>
          <w:rFonts w:ascii="黑体" w:eastAsia="黑体" w:hAnsi="黑体" w:cs="黑体" w:hint="eastAsia"/>
          <w:kern w:val="0"/>
          <w:szCs w:val="21"/>
        </w:rPr>
        <w:t>的规定。</w:t>
      </w:r>
    </w:p>
    <w:p w14:paraId="1FD47BAF" w14:textId="77777777" w:rsidR="00750677" w:rsidRPr="00362CE7" w:rsidRDefault="00750677" w:rsidP="00750677">
      <w:pPr>
        <w:autoSpaceDE w:val="0"/>
        <w:autoSpaceDN w:val="0"/>
        <w:adjustRightInd w:val="0"/>
        <w:ind w:firstLineChars="200" w:firstLine="420"/>
        <w:rPr>
          <w:rFonts w:ascii="黑体" w:eastAsia="黑体" w:hAnsi="黑体" w:cs="黑体"/>
          <w:kern w:val="0"/>
          <w:szCs w:val="21"/>
        </w:rPr>
      </w:pPr>
      <w:r w:rsidRPr="00362CE7">
        <w:rPr>
          <w:rFonts w:ascii="黑体" w:eastAsia="黑体" w:hAnsi="黑体" w:cs="黑体"/>
          <w:kern w:val="0"/>
          <w:szCs w:val="21"/>
        </w:rPr>
        <w:t>10</w:t>
      </w:r>
      <w:r w:rsidRPr="00362CE7">
        <w:rPr>
          <w:rFonts w:ascii="黑体" w:eastAsia="黑体" w:hAnsi="黑体" w:cs="黑体" w:hint="eastAsia"/>
          <w:kern w:val="0"/>
          <w:szCs w:val="21"/>
        </w:rPr>
        <w:t>、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14:paraId="3599BD05" w14:textId="77777777" w:rsidR="00750677" w:rsidRPr="00362CE7" w:rsidRDefault="00750677"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Pr="00362CE7">
        <w:rPr>
          <w:rFonts w:ascii="黑体" w:eastAsia="黑体" w:hAnsi="黑体" w:cs="黑体"/>
          <w:kern w:val="0"/>
          <w:szCs w:val="21"/>
        </w:rPr>
        <w:t>1</w:t>
      </w:r>
      <w:r w:rsidRPr="00362CE7">
        <w:rPr>
          <w:rFonts w:ascii="黑体" w:eastAsia="黑体" w:hAnsi="黑体" w:cs="黑体" w:hint="eastAsia"/>
          <w:kern w:val="0"/>
          <w:szCs w:val="21"/>
        </w:rPr>
        <w:t>、在任何情况下，产品管理人与托管人所共同认可的估值方式均视为客观、公允的估值方法。该产品估值均以产品公布的估值结果为准。</w:t>
      </w:r>
    </w:p>
    <w:p w14:paraId="6524B8FB" w14:textId="0E001733" w:rsidR="00B44770" w:rsidRPr="00362CE7" w:rsidRDefault="008E2C29" w:rsidP="00310FD3">
      <w:pPr>
        <w:autoSpaceDE w:val="0"/>
        <w:autoSpaceDN w:val="0"/>
        <w:adjustRightInd w:val="0"/>
        <w:jc w:val="left"/>
        <w:rPr>
          <w:rFonts w:ascii="黑体" w:eastAsia="黑体" w:hAnsi="黑体" w:cs="ËÎÌå"/>
          <w:kern w:val="0"/>
          <w:szCs w:val="21"/>
        </w:rPr>
      </w:pPr>
      <w:r w:rsidRPr="00362CE7">
        <w:rPr>
          <w:rFonts w:ascii="黑体" w:eastAsia="黑体" w:hAnsi="黑体" w:cs="ËÎÌå" w:hint="eastAsia"/>
          <w:kern w:val="0"/>
          <w:szCs w:val="21"/>
        </w:rPr>
        <w:t>（五</w:t>
      </w:r>
      <w:r w:rsidR="00B44770" w:rsidRPr="00362CE7">
        <w:rPr>
          <w:rFonts w:ascii="黑体" w:eastAsia="黑体" w:hAnsi="黑体" w:cs="ËÎÌå" w:hint="eastAsia"/>
          <w:kern w:val="0"/>
          <w:szCs w:val="21"/>
        </w:rPr>
        <w:t>）估值错误的处理</w:t>
      </w:r>
    </w:p>
    <w:p w14:paraId="21FBA9C7" w14:textId="3C194623" w:rsidR="00F2007E" w:rsidRPr="00362CE7" w:rsidRDefault="000853EA"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产品</w:t>
      </w:r>
      <w:r w:rsidRPr="00362CE7">
        <w:rPr>
          <w:rFonts w:ascii="黑体" w:eastAsia="黑体" w:hAnsi="黑体" w:cs="黑体"/>
          <w:kern w:val="0"/>
          <w:szCs w:val="21"/>
        </w:rPr>
        <w:t>管理人</w:t>
      </w:r>
      <w:r w:rsidR="00B44770" w:rsidRPr="00362CE7">
        <w:rPr>
          <w:rFonts w:ascii="黑体" w:eastAsia="黑体" w:hAnsi="黑体" w:cs="黑体" w:hint="eastAsia"/>
          <w:kern w:val="0"/>
          <w:szCs w:val="21"/>
        </w:rPr>
        <w:t>和</w:t>
      </w:r>
      <w:r w:rsidR="00DE283F" w:rsidRPr="00362CE7">
        <w:rPr>
          <w:rFonts w:ascii="黑体" w:eastAsia="黑体" w:hAnsi="黑体" w:cs="黑体" w:hint="eastAsia"/>
          <w:kern w:val="0"/>
          <w:szCs w:val="21"/>
        </w:rPr>
        <w:t>托管机构</w:t>
      </w:r>
      <w:r w:rsidR="00B44770" w:rsidRPr="00362CE7">
        <w:rPr>
          <w:rFonts w:ascii="黑体" w:eastAsia="黑体" w:hAnsi="黑体" w:cs="黑体" w:hint="eastAsia"/>
          <w:kern w:val="0"/>
          <w:szCs w:val="21"/>
        </w:rPr>
        <w:t>将采取必要、适当合理的措施确保产品资产估值的准确性、及时性。当产品单位净值出现错误时，</w:t>
      </w:r>
      <w:r w:rsidRPr="00362CE7">
        <w:rPr>
          <w:rFonts w:ascii="黑体" w:eastAsia="黑体" w:hAnsi="黑体" w:cs="黑体" w:hint="eastAsia"/>
          <w:kern w:val="0"/>
          <w:szCs w:val="21"/>
        </w:rPr>
        <w:t>产品</w:t>
      </w:r>
      <w:r w:rsidRPr="00362CE7">
        <w:rPr>
          <w:rFonts w:ascii="黑体" w:eastAsia="黑体" w:hAnsi="黑体" w:cs="黑体"/>
          <w:kern w:val="0"/>
          <w:szCs w:val="21"/>
        </w:rPr>
        <w:t>管理人</w:t>
      </w:r>
      <w:r w:rsidR="00B44770" w:rsidRPr="00362CE7">
        <w:rPr>
          <w:rFonts w:ascii="黑体" w:eastAsia="黑体" w:hAnsi="黑体" w:cs="黑体" w:hint="eastAsia"/>
          <w:kern w:val="0"/>
          <w:szCs w:val="21"/>
        </w:rPr>
        <w:t>应当立即予以纠正，并采取合理的措施防止损失进一步扩大。由于本产品估值所用的价格来源出现错误，或由于其它不可抗力原因，</w:t>
      </w:r>
      <w:r w:rsidRPr="00362CE7">
        <w:rPr>
          <w:rFonts w:ascii="黑体" w:eastAsia="黑体" w:hAnsi="黑体" w:cs="黑体" w:hint="eastAsia"/>
          <w:kern w:val="0"/>
          <w:szCs w:val="21"/>
        </w:rPr>
        <w:t>产品</w:t>
      </w:r>
      <w:r w:rsidRPr="00362CE7">
        <w:rPr>
          <w:rFonts w:ascii="黑体" w:eastAsia="黑体" w:hAnsi="黑体" w:cs="黑体"/>
          <w:kern w:val="0"/>
          <w:szCs w:val="21"/>
        </w:rPr>
        <w:t>管理人</w:t>
      </w:r>
      <w:r w:rsidR="00B44770" w:rsidRPr="00362CE7">
        <w:rPr>
          <w:rFonts w:ascii="黑体" w:eastAsia="黑体" w:hAnsi="黑体" w:cs="黑体" w:hint="eastAsia"/>
          <w:kern w:val="0"/>
          <w:szCs w:val="21"/>
        </w:rPr>
        <w:t>和</w:t>
      </w:r>
      <w:r w:rsidR="00DE283F" w:rsidRPr="00362CE7">
        <w:rPr>
          <w:rFonts w:ascii="黑体" w:eastAsia="黑体" w:hAnsi="黑体" w:cs="黑体" w:hint="eastAsia"/>
          <w:kern w:val="0"/>
          <w:szCs w:val="21"/>
        </w:rPr>
        <w:t>托管机构</w:t>
      </w:r>
      <w:r w:rsidR="00B44770" w:rsidRPr="00362CE7">
        <w:rPr>
          <w:rFonts w:ascii="黑体" w:eastAsia="黑体" w:hAnsi="黑体" w:cs="黑体" w:hint="eastAsia"/>
          <w:kern w:val="0"/>
          <w:szCs w:val="21"/>
        </w:rPr>
        <w:t>虽然已经采取必要、适当、合理的措施进行检查，但是未能发现该错误的，由此造成的产品资产估值错误，</w:t>
      </w:r>
      <w:r w:rsidRPr="00362CE7">
        <w:rPr>
          <w:rFonts w:ascii="黑体" w:eastAsia="黑体" w:hAnsi="黑体" w:cs="黑体" w:hint="eastAsia"/>
          <w:kern w:val="0"/>
          <w:szCs w:val="21"/>
        </w:rPr>
        <w:t>产品</w:t>
      </w:r>
      <w:r w:rsidRPr="00362CE7">
        <w:rPr>
          <w:rFonts w:ascii="黑体" w:eastAsia="黑体" w:hAnsi="黑体" w:cs="黑体"/>
          <w:kern w:val="0"/>
          <w:szCs w:val="21"/>
        </w:rPr>
        <w:t>管理人</w:t>
      </w:r>
      <w:r w:rsidR="00B44770" w:rsidRPr="00362CE7">
        <w:rPr>
          <w:rFonts w:ascii="黑体" w:eastAsia="黑体" w:hAnsi="黑体" w:cs="黑体" w:hint="eastAsia"/>
          <w:kern w:val="0"/>
          <w:szCs w:val="21"/>
        </w:rPr>
        <w:t>和</w:t>
      </w:r>
      <w:r w:rsidR="00DE283F" w:rsidRPr="00362CE7">
        <w:rPr>
          <w:rFonts w:ascii="黑体" w:eastAsia="黑体" w:hAnsi="黑体" w:cs="黑体" w:hint="eastAsia"/>
          <w:kern w:val="0"/>
          <w:szCs w:val="21"/>
        </w:rPr>
        <w:t>托管机构</w:t>
      </w:r>
      <w:r w:rsidR="006E3111" w:rsidRPr="00362CE7">
        <w:rPr>
          <w:rFonts w:ascii="黑体" w:eastAsia="黑体" w:hAnsi="黑体" w:cs="黑体" w:hint="eastAsia"/>
          <w:kern w:val="0"/>
          <w:szCs w:val="21"/>
        </w:rPr>
        <w:t>不承担</w:t>
      </w:r>
      <w:r w:rsidR="00B44770" w:rsidRPr="00362CE7">
        <w:rPr>
          <w:rFonts w:ascii="黑体" w:eastAsia="黑体" w:hAnsi="黑体" w:cs="黑体" w:hint="eastAsia"/>
          <w:kern w:val="0"/>
          <w:szCs w:val="21"/>
        </w:rPr>
        <w:t>责任。但</w:t>
      </w:r>
      <w:r w:rsidRPr="00362CE7">
        <w:rPr>
          <w:rFonts w:ascii="黑体" w:eastAsia="黑体" w:hAnsi="黑体" w:cs="黑体" w:hint="eastAsia"/>
          <w:kern w:val="0"/>
          <w:szCs w:val="21"/>
        </w:rPr>
        <w:t>产品</w:t>
      </w:r>
      <w:r w:rsidRPr="00362CE7">
        <w:rPr>
          <w:rFonts w:ascii="黑体" w:eastAsia="黑体" w:hAnsi="黑体" w:cs="黑体"/>
          <w:kern w:val="0"/>
          <w:szCs w:val="21"/>
        </w:rPr>
        <w:t>管理人</w:t>
      </w:r>
      <w:r w:rsidR="00B44770" w:rsidRPr="00362CE7">
        <w:rPr>
          <w:rFonts w:ascii="黑体" w:eastAsia="黑体" w:hAnsi="黑体" w:cs="黑体" w:hint="eastAsia"/>
          <w:kern w:val="0"/>
          <w:szCs w:val="21"/>
        </w:rPr>
        <w:t>和</w:t>
      </w:r>
      <w:r w:rsidR="00DE283F" w:rsidRPr="00362CE7">
        <w:rPr>
          <w:rFonts w:ascii="黑体" w:eastAsia="黑体" w:hAnsi="黑体" w:cs="黑体" w:hint="eastAsia"/>
          <w:kern w:val="0"/>
          <w:szCs w:val="21"/>
        </w:rPr>
        <w:t>托管机构</w:t>
      </w:r>
      <w:r w:rsidR="00B44770" w:rsidRPr="00362CE7">
        <w:rPr>
          <w:rFonts w:ascii="黑体" w:eastAsia="黑体" w:hAnsi="黑体" w:cs="黑体" w:hint="eastAsia"/>
          <w:kern w:val="0"/>
          <w:szCs w:val="21"/>
        </w:rPr>
        <w:t>应当积极采取必要的措施消除</w:t>
      </w:r>
      <w:r w:rsidR="000D5CC0" w:rsidRPr="00362CE7">
        <w:rPr>
          <w:rFonts w:ascii="黑体" w:eastAsia="黑体" w:hAnsi="黑体" w:cs="黑体" w:hint="eastAsia"/>
          <w:kern w:val="0"/>
          <w:szCs w:val="21"/>
        </w:rPr>
        <w:t>或减轻</w:t>
      </w:r>
      <w:r w:rsidR="00B44770" w:rsidRPr="00362CE7">
        <w:rPr>
          <w:rFonts w:ascii="黑体" w:eastAsia="黑体" w:hAnsi="黑体" w:cs="黑体" w:hint="eastAsia"/>
          <w:kern w:val="0"/>
          <w:szCs w:val="21"/>
        </w:rPr>
        <w:t>由此造成的影响。</w:t>
      </w:r>
    </w:p>
    <w:p w14:paraId="4EACF230" w14:textId="62D49EE7" w:rsidR="00F2007E" w:rsidRPr="00362CE7" w:rsidRDefault="008E2C29" w:rsidP="00310FD3">
      <w:pPr>
        <w:autoSpaceDE w:val="0"/>
        <w:autoSpaceDN w:val="0"/>
        <w:adjustRightInd w:val="0"/>
        <w:jc w:val="left"/>
        <w:rPr>
          <w:rFonts w:ascii="黑体" w:eastAsia="黑体" w:hAnsi="黑体" w:cs="ËÎÌå"/>
          <w:kern w:val="0"/>
          <w:szCs w:val="21"/>
        </w:rPr>
      </w:pPr>
      <w:r w:rsidRPr="00362CE7">
        <w:rPr>
          <w:rFonts w:ascii="黑体" w:eastAsia="黑体" w:hAnsi="黑体" w:cs="ËÎÌå" w:hint="eastAsia"/>
          <w:kern w:val="0"/>
          <w:szCs w:val="21"/>
        </w:rPr>
        <w:t>（六</w:t>
      </w:r>
      <w:r w:rsidR="00F2007E" w:rsidRPr="00362CE7">
        <w:rPr>
          <w:rFonts w:ascii="黑体" w:eastAsia="黑体" w:hAnsi="黑体" w:cs="ËÎÌå" w:hint="eastAsia"/>
          <w:kern w:val="0"/>
          <w:szCs w:val="21"/>
        </w:rPr>
        <w:t>）暂停估值</w:t>
      </w:r>
    </w:p>
    <w:p w14:paraId="69A88A1E" w14:textId="5C907667" w:rsidR="00AF7D8F" w:rsidRPr="00362CE7" w:rsidRDefault="00F2007E" w:rsidP="00310FD3">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当</w:t>
      </w:r>
      <w:r w:rsidR="002C3837" w:rsidRPr="00362CE7">
        <w:rPr>
          <w:rFonts w:ascii="黑体" w:eastAsia="黑体" w:hAnsi="黑体" w:cs="黑体" w:hint="eastAsia"/>
          <w:kern w:val="0"/>
          <w:szCs w:val="21"/>
        </w:rPr>
        <w:t>本</w:t>
      </w:r>
      <w:r w:rsidRPr="00362CE7">
        <w:rPr>
          <w:rFonts w:ascii="黑体" w:eastAsia="黑体" w:hAnsi="黑体" w:cs="黑体" w:hint="eastAsia"/>
          <w:kern w:val="0"/>
          <w:szCs w:val="21"/>
        </w:rPr>
        <w:t>产品资产的估值因不可抗力或其它情形致使</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Pr="00362CE7">
        <w:rPr>
          <w:rFonts w:ascii="黑体" w:eastAsia="黑体" w:hAnsi="黑体" w:cs="黑体" w:hint="eastAsia"/>
          <w:kern w:val="0"/>
          <w:szCs w:val="21"/>
        </w:rPr>
        <w:t>、</w:t>
      </w:r>
      <w:r w:rsidR="00DE283F" w:rsidRPr="00362CE7">
        <w:rPr>
          <w:rFonts w:ascii="黑体" w:eastAsia="黑体" w:hAnsi="黑体" w:cs="黑体" w:hint="eastAsia"/>
          <w:kern w:val="0"/>
          <w:szCs w:val="21"/>
        </w:rPr>
        <w:t>托管机构</w:t>
      </w:r>
      <w:r w:rsidRPr="00362CE7">
        <w:rPr>
          <w:rFonts w:ascii="黑体" w:eastAsia="黑体" w:hAnsi="黑体" w:cs="黑体" w:hint="eastAsia"/>
          <w:kern w:val="0"/>
          <w:szCs w:val="21"/>
        </w:rPr>
        <w:t>无法准确评估产品资产价值</w:t>
      </w:r>
      <w:r w:rsidR="00AD67F1" w:rsidRPr="00362CE7">
        <w:rPr>
          <w:rFonts w:ascii="黑体" w:eastAsia="黑体" w:hAnsi="黑体" w:cs="黑体" w:hint="eastAsia"/>
          <w:kern w:val="0"/>
          <w:szCs w:val="21"/>
        </w:rPr>
        <w:t>的</w:t>
      </w:r>
      <w:r w:rsidR="00643A5F" w:rsidRPr="00362CE7">
        <w:rPr>
          <w:rFonts w:ascii="黑体" w:eastAsia="黑体" w:hAnsi="黑体" w:cs="黑体" w:hint="eastAsia"/>
          <w:kern w:val="0"/>
          <w:szCs w:val="21"/>
        </w:rPr>
        <w:t>，当本产品在前一估值日内，产品资产净值</w:t>
      </w:r>
      <w:r w:rsidR="00643A5F" w:rsidRPr="00362CE7">
        <w:rPr>
          <w:rFonts w:ascii="黑体" w:eastAsia="黑体" w:hAnsi="黑体" w:cs="黑体"/>
          <w:kern w:val="0"/>
          <w:szCs w:val="21"/>
        </w:rPr>
        <w:t>50%以上的资产不具备活跃交易市场或者在活跃市场中无报价，且不能采用估值技术可靠计量公允价值</w:t>
      </w:r>
      <w:r w:rsidR="00AD67F1" w:rsidRPr="00362CE7">
        <w:rPr>
          <w:rFonts w:ascii="黑体" w:eastAsia="黑体" w:hAnsi="黑体" w:cs="黑体" w:hint="eastAsia"/>
          <w:kern w:val="0"/>
          <w:szCs w:val="21"/>
        </w:rPr>
        <w:t>的</w:t>
      </w:r>
      <w:r w:rsidR="00643A5F" w:rsidRPr="00362CE7">
        <w:rPr>
          <w:rFonts w:ascii="黑体" w:eastAsia="黑体" w:hAnsi="黑体" w:cs="黑体" w:hint="eastAsia"/>
          <w:kern w:val="0"/>
          <w:szCs w:val="21"/>
        </w:rPr>
        <w:t>，</w:t>
      </w:r>
      <w:r w:rsidRPr="00362CE7">
        <w:rPr>
          <w:rFonts w:ascii="黑体" w:eastAsia="黑体" w:hAnsi="黑体" w:cs="黑体" w:hint="eastAsia"/>
          <w:kern w:val="0"/>
          <w:szCs w:val="21"/>
        </w:rPr>
        <w:t>或</w:t>
      </w:r>
      <w:r w:rsidR="00643A5F" w:rsidRPr="00362CE7">
        <w:rPr>
          <w:rFonts w:ascii="黑体" w:eastAsia="黑体" w:hAnsi="黑体" w:cs="黑体" w:hint="eastAsia"/>
          <w:kern w:val="0"/>
          <w:szCs w:val="21"/>
        </w:rPr>
        <w:t>当本产品</w:t>
      </w:r>
      <w:r w:rsidRPr="00362CE7">
        <w:rPr>
          <w:rFonts w:ascii="黑体" w:eastAsia="黑体" w:hAnsi="黑体" w:cs="黑体" w:hint="eastAsia"/>
          <w:kern w:val="0"/>
          <w:szCs w:val="21"/>
        </w:rPr>
        <w:t>存在中国银保监会认定的导致无法准确估值的其它情形</w:t>
      </w:r>
      <w:r w:rsidR="00AD67F1" w:rsidRPr="00362CE7">
        <w:rPr>
          <w:rFonts w:ascii="黑体" w:eastAsia="黑体" w:hAnsi="黑体" w:cs="黑体" w:hint="eastAsia"/>
          <w:kern w:val="0"/>
          <w:szCs w:val="21"/>
        </w:rPr>
        <w:t>的</w:t>
      </w:r>
      <w:r w:rsidRPr="00362CE7">
        <w:rPr>
          <w:rFonts w:ascii="黑体" w:eastAsia="黑体" w:hAnsi="黑体" w:cs="黑体" w:hint="eastAsia"/>
          <w:kern w:val="0"/>
          <w:szCs w:val="21"/>
        </w:rPr>
        <w:t>，</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Pr="00362CE7">
        <w:rPr>
          <w:rFonts w:ascii="黑体" w:eastAsia="黑体" w:hAnsi="黑体" w:cs="黑体" w:hint="eastAsia"/>
          <w:kern w:val="0"/>
          <w:szCs w:val="21"/>
        </w:rPr>
        <w:t>可暂停产品的估值直至另行通知，</w:t>
      </w:r>
      <w:r w:rsidR="00643A5F" w:rsidRPr="00362CE7">
        <w:rPr>
          <w:rFonts w:ascii="黑体" w:eastAsia="黑体" w:hAnsi="黑体" w:cs="黑体" w:hint="eastAsia"/>
          <w:kern w:val="0"/>
          <w:szCs w:val="21"/>
        </w:rPr>
        <w:t>并采取延缓支付赎回款项或暂停接受理财产品认购、赎回申请等措施，同时在3个工作日内告知本产品的投资者，并说明运用相关措施的原因、拟采取的应对安排等。</w:t>
      </w:r>
      <w:r w:rsidRPr="00362CE7">
        <w:rPr>
          <w:rFonts w:ascii="黑体" w:eastAsia="黑体" w:hAnsi="黑体" w:cs="黑体" w:hint="eastAsia"/>
          <w:kern w:val="0"/>
          <w:szCs w:val="21"/>
        </w:rPr>
        <w:t>由此造成的损失，</w:t>
      </w:r>
      <w:r w:rsidR="000853EA" w:rsidRPr="00362CE7">
        <w:rPr>
          <w:rFonts w:ascii="黑体" w:eastAsia="黑体" w:hAnsi="黑体" w:cs="黑体" w:hint="eastAsia"/>
          <w:kern w:val="0"/>
          <w:szCs w:val="21"/>
        </w:rPr>
        <w:t>产品</w:t>
      </w:r>
      <w:r w:rsidR="000853EA" w:rsidRPr="00362CE7">
        <w:rPr>
          <w:rFonts w:ascii="黑体" w:eastAsia="黑体" w:hAnsi="黑体" w:cs="黑体"/>
          <w:kern w:val="0"/>
          <w:szCs w:val="21"/>
        </w:rPr>
        <w:t>管理人</w:t>
      </w:r>
      <w:r w:rsidRPr="00362CE7">
        <w:rPr>
          <w:rFonts w:ascii="黑体" w:eastAsia="黑体" w:hAnsi="黑体" w:cs="黑体" w:hint="eastAsia"/>
          <w:kern w:val="0"/>
          <w:szCs w:val="21"/>
        </w:rPr>
        <w:t>和</w:t>
      </w:r>
      <w:r w:rsidR="00DE283F" w:rsidRPr="00362CE7">
        <w:rPr>
          <w:rFonts w:ascii="黑体" w:eastAsia="黑体" w:hAnsi="黑体" w:cs="黑体" w:hint="eastAsia"/>
          <w:kern w:val="0"/>
          <w:szCs w:val="21"/>
        </w:rPr>
        <w:t>托管机构</w:t>
      </w:r>
      <w:r w:rsidR="006E3111" w:rsidRPr="00362CE7">
        <w:rPr>
          <w:rFonts w:ascii="黑体" w:eastAsia="黑体" w:hAnsi="黑体" w:cs="黑体" w:hint="eastAsia"/>
          <w:kern w:val="0"/>
          <w:szCs w:val="21"/>
        </w:rPr>
        <w:t>不承担</w:t>
      </w:r>
      <w:r w:rsidRPr="00362CE7">
        <w:rPr>
          <w:rFonts w:ascii="黑体" w:eastAsia="黑体" w:hAnsi="黑体" w:cs="黑体" w:hint="eastAsia"/>
          <w:kern w:val="0"/>
          <w:szCs w:val="21"/>
        </w:rPr>
        <w:t>责任。</w:t>
      </w:r>
    </w:p>
    <w:p w14:paraId="50AE5AD4" w14:textId="77777777" w:rsidR="007873C1" w:rsidRPr="00362CE7" w:rsidRDefault="007873C1" w:rsidP="009F3A52">
      <w:pPr>
        <w:autoSpaceDE w:val="0"/>
        <w:autoSpaceDN w:val="0"/>
        <w:adjustRightInd w:val="0"/>
        <w:ind w:firstLineChars="236" w:firstLine="496"/>
        <w:jc w:val="left"/>
        <w:rPr>
          <w:rFonts w:ascii="黑体" w:eastAsia="黑体" w:hAnsi="黑体" w:cs="ËÎÌå"/>
          <w:kern w:val="0"/>
          <w:szCs w:val="21"/>
        </w:rPr>
      </w:pPr>
    </w:p>
    <w:p w14:paraId="5018AC0C" w14:textId="4900035B" w:rsidR="00716AC6" w:rsidRPr="00362CE7" w:rsidRDefault="00B23C1D" w:rsidP="00DD2406">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六</w:t>
      </w:r>
      <w:r w:rsidR="00716AC6" w:rsidRPr="00362CE7">
        <w:rPr>
          <w:rFonts w:ascii="黑体" w:eastAsia="黑体" w:hAnsi="黑体" w:cs="黑体" w:hint="eastAsia"/>
          <w:b/>
          <w:kern w:val="0"/>
          <w:szCs w:val="21"/>
        </w:rPr>
        <w:t>、产品费用</w:t>
      </w:r>
      <w:r w:rsidR="00C14279" w:rsidRPr="00362CE7">
        <w:rPr>
          <w:rFonts w:ascii="黑体" w:eastAsia="黑体" w:hAnsi="黑体" w:cs="黑体" w:hint="eastAsia"/>
          <w:b/>
          <w:kern w:val="0"/>
          <w:szCs w:val="21"/>
        </w:rPr>
        <w:t>、收益</w:t>
      </w:r>
      <w:r w:rsidR="00DD2406" w:rsidRPr="00362CE7">
        <w:rPr>
          <w:rFonts w:ascii="黑体" w:eastAsia="黑体" w:hAnsi="黑体" w:cs="黑体" w:hint="eastAsia"/>
          <w:b/>
          <w:kern w:val="0"/>
          <w:szCs w:val="21"/>
        </w:rPr>
        <w:t>及</w:t>
      </w:r>
      <w:r w:rsidR="00716AC6" w:rsidRPr="00362CE7">
        <w:rPr>
          <w:rFonts w:ascii="黑体" w:eastAsia="黑体" w:hAnsi="黑体" w:cs="黑体" w:hint="eastAsia"/>
          <w:b/>
          <w:kern w:val="0"/>
          <w:szCs w:val="21"/>
        </w:rPr>
        <w:t>税收说明</w:t>
      </w:r>
    </w:p>
    <w:p w14:paraId="63BA1A4E" w14:textId="77777777" w:rsidR="0078165B" w:rsidRPr="00362CE7" w:rsidRDefault="0078165B" w:rsidP="004B04B2">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（一）产品费用计提方法、计提标准和支付方式</w:t>
      </w:r>
    </w:p>
    <w:p w14:paraId="75900C0F" w14:textId="53DDB034" w:rsidR="0078165B" w:rsidRPr="00362CE7" w:rsidRDefault="0078165B" w:rsidP="00310FD3">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本产品收取的费用包括</w:t>
      </w:r>
      <w:r w:rsidR="00750677" w:rsidRPr="00362CE7">
        <w:rPr>
          <w:rFonts w:ascii="黑体" w:eastAsia="黑体" w:hAnsi="黑体" w:cs="黑体" w:hint="eastAsia"/>
          <w:b/>
          <w:kern w:val="0"/>
          <w:szCs w:val="21"/>
        </w:rPr>
        <w:t>固定管理费、销售服务费、托管费等</w:t>
      </w:r>
      <w:r w:rsidRPr="00362CE7">
        <w:rPr>
          <w:rFonts w:ascii="黑体" w:eastAsia="黑体" w:hAnsi="黑体" w:cs="黑体"/>
          <w:b/>
          <w:kern w:val="0"/>
          <w:szCs w:val="21"/>
        </w:rPr>
        <w:t>，具体计提方法、计提标准和支付方式如下：</w:t>
      </w:r>
    </w:p>
    <w:p w14:paraId="322B809B" w14:textId="48BC55FE" w:rsidR="0078165B" w:rsidRPr="00362CE7" w:rsidRDefault="0078165B"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1</w:t>
      </w:r>
      <w:r w:rsidR="00A9684D" w:rsidRPr="00362CE7">
        <w:rPr>
          <w:rFonts w:ascii="黑体" w:eastAsia="黑体" w:hAnsi="黑体" w:cs="黑体" w:hint="eastAsia"/>
          <w:b/>
          <w:kern w:val="0"/>
          <w:szCs w:val="21"/>
        </w:rPr>
        <w:t>、</w:t>
      </w:r>
      <w:r w:rsidRPr="00362CE7">
        <w:rPr>
          <w:rFonts w:ascii="黑体" w:eastAsia="黑体" w:hAnsi="黑体" w:cs="黑体" w:hint="eastAsia"/>
          <w:b/>
          <w:kern w:val="0"/>
          <w:szCs w:val="21"/>
        </w:rPr>
        <w:t>销售服务费：</w:t>
      </w:r>
      <w:r w:rsidR="00463069" w:rsidRPr="00362CE7">
        <w:rPr>
          <w:rFonts w:ascii="黑体" w:eastAsia="黑体" w:hAnsi="黑体" w:cs="黑体" w:hint="eastAsia"/>
          <w:b/>
          <w:color w:val="000000" w:themeColor="text1"/>
          <w:kern w:val="0"/>
          <w:szCs w:val="21"/>
        </w:rPr>
        <w:t>本产品销售服务费按</w:t>
      </w:r>
      <w:r w:rsidR="00463069" w:rsidRPr="00362CE7">
        <w:rPr>
          <w:rFonts w:ascii="黑体" w:eastAsia="黑体" w:hAnsi="黑体" w:cs="黑体"/>
          <w:b/>
          <w:color w:val="000000" w:themeColor="text1"/>
          <w:kern w:val="0"/>
          <w:szCs w:val="21"/>
        </w:rPr>
        <w:t>当日产品扣除回购融资、产品运作及清算中产生的其他费用、产品运营中发生的增值税及附加税费等费用后的资产净值的</w:t>
      </w:r>
      <w:r w:rsidR="00750677" w:rsidRPr="00362CE7">
        <w:rPr>
          <w:rFonts w:ascii="黑体" w:eastAsia="黑体" w:hAnsi="黑体" w:cs="黑体"/>
          <w:b/>
          <w:kern w:val="0"/>
          <w:szCs w:val="21"/>
        </w:rPr>
        <w:t>0.10</w:t>
      </w:r>
      <w:r w:rsidR="00750677" w:rsidRPr="00362CE7">
        <w:rPr>
          <w:rFonts w:ascii="黑体" w:eastAsia="黑体" w:hAnsi="黑体" w:cs="黑体" w:hint="eastAsia"/>
          <w:b/>
          <w:kern w:val="0"/>
          <w:szCs w:val="21"/>
        </w:rPr>
        <w:t>%年费率</w:t>
      </w:r>
      <w:r w:rsidR="002D3554" w:rsidRPr="00362CE7">
        <w:rPr>
          <w:rFonts w:ascii="黑体" w:eastAsia="黑体" w:hAnsi="黑体" w:cs="黑体" w:hint="eastAsia"/>
          <w:b/>
          <w:kern w:val="0"/>
          <w:szCs w:val="21"/>
        </w:rPr>
        <w:t>计提</w:t>
      </w:r>
      <w:r w:rsidRPr="00362CE7">
        <w:rPr>
          <w:rFonts w:ascii="黑体" w:eastAsia="黑体" w:hAnsi="黑体" w:cs="黑体" w:hint="eastAsia"/>
          <w:b/>
          <w:kern w:val="0"/>
          <w:szCs w:val="21"/>
        </w:rPr>
        <w:t>。计算方法如下：</w:t>
      </w:r>
    </w:p>
    <w:p w14:paraId="5E3A4667" w14:textId="77777777" w:rsidR="00463069" w:rsidRPr="00362CE7" w:rsidRDefault="00463069" w:rsidP="00463069">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color w:val="000000" w:themeColor="text1"/>
          <w:kern w:val="0"/>
          <w:szCs w:val="21"/>
        </w:rPr>
        <w:t>F=E×销售服务费率（年化）÷365</w:t>
      </w:r>
      <w:r w:rsidRPr="00362CE7">
        <w:rPr>
          <w:rFonts w:ascii="黑体" w:eastAsia="黑体" w:hAnsi="黑体" w:cs="黑体"/>
          <w:color w:val="000000" w:themeColor="text1"/>
          <w:kern w:val="0"/>
          <w:szCs w:val="21"/>
        </w:rPr>
        <w:br/>
        <w:t xml:space="preserve">    F 为</w:t>
      </w:r>
      <w:r w:rsidRPr="00362CE7">
        <w:rPr>
          <w:rFonts w:ascii="黑体" w:eastAsia="黑体" w:hAnsi="黑体" w:cs="黑体" w:hint="eastAsia"/>
          <w:color w:val="000000" w:themeColor="text1"/>
          <w:kern w:val="0"/>
          <w:szCs w:val="21"/>
        </w:rPr>
        <w:t>产品各份额</w:t>
      </w:r>
      <w:r w:rsidRPr="00362CE7">
        <w:rPr>
          <w:rFonts w:ascii="黑体" w:eastAsia="黑体" w:hAnsi="黑体" w:cs="黑体"/>
          <w:color w:val="000000" w:themeColor="text1"/>
          <w:kern w:val="0"/>
          <w:szCs w:val="21"/>
        </w:rPr>
        <w:t>每一自然日应计提的销售服务费</w:t>
      </w:r>
      <w:r w:rsidRPr="00362CE7">
        <w:rPr>
          <w:rFonts w:ascii="黑体" w:eastAsia="黑体" w:hAnsi="黑体" w:cs="黑体"/>
          <w:color w:val="000000" w:themeColor="text1"/>
          <w:kern w:val="0"/>
          <w:szCs w:val="21"/>
        </w:rPr>
        <w:br/>
        <w:t xml:space="preserve">    E 为</w:t>
      </w:r>
      <w:r w:rsidRPr="00362CE7">
        <w:rPr>
          <w:rFonts w:ascii="黑体" w:eastAsia="黑体" w:hAnsi="黑体" w:cs="黑体" w:hint="eastAsia"/>
          <w:color w:val="000000" w:themeColor="text1"/>
          <w:kern w:val="0"/>
          <w:szCs w:val="21"/>
        </w:rPr>
        <w:t>估值日产品该份额扣除回购融资、产品运作及清算中产生的其他费用、产品运营中发生的增值税及附加税费等费用后的资产净值</w:t>
      </w:r>
    </w:p>
    <w:p w14:paraId="7D99081F" w14:textId="64067DB5" w:rsidR="0078165B" w:rsidRPr="00362CE7" w:rsidRDefault="0078165B" w:rsidP="00310FD3">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2</w:t>
      </w:r>
      <w:r w:rsidR="00A9684D" w:rsidRPr="00362CE7">
        <w:rPr>
          <w:rFonts w:ascii="黑体" w:eastAsia="黑体" w:hAnsi="黑体" w:cs="黑体" w:hint="eastAsia"/>
          <w:b/>
          <w:kern w:val="0"/>
          <w:szCs w:val="21"/>
        </w:rPr>
        <w:t>、</w:t>
      </w:r>
      <w:r w:rsidRPr="00362CE7">
        <w:rPr>
          <w:rFonts w:ascii="黑体" w:eastAsia="黑体" w:hAnsi="黑体" w:cs="黑体" w:hint="eastAsia"/>
          <w:b/>
          <w:kern w:val="0"/>
          <w:szCs w:val="21"/>
        </w:rPr>
        <w:t>固定管理费：</w:t>
      </w:r>
      <w:r w:rsidR="00463069" w:rsidRPr="00362CE7">
        <w:rPr>
          <w:rFonts w:ascii="黑体" w:eastAsia="黑体" w:hAnsi="黑体" w:cs="黑体" w:hint="eastAsia"/>
          <w:b/>
          <w:color w:val="000000" w:themeColor="text1"/>
          <w:kern w:val="0"/>
          <w:szCs w:val="21"/>
        </w:rPr>
        <w:t>本产品固定管理费按</w:t>
      </w:r>
      <w:r w:rsidR="00463069" w:rsidRPr="00362CE7">
        <w:rPr>
          <w:rFonts w:ascii="黑体" w:eastAsia="黑体" w:hAnsi="黑体" w:cs="黑体"/>
          <w:b/>
          <w:color w:val="000000" w:themeColor="text1"/>
          <w:kern w:val="0"/>
          <w:szCs w:val="21"/>
        </w:rPr>
        <w:t>当日产品扣除回购融资、产品运作及清算中产生的其他费用、产品运营中发生的增值税及附加税费等费用后的资产净值的</w:t>
      </w:r>
      <w:r w:rsidR="00750677" w:rsidRPr="00362CE7">
        <w:rPr>
          <w:rFonts w:ascii="黑体" w:eastAsia="黑体" w:hAnsi="黑体" w:cs="黑体"/>
          <w:b/>
          <w:kern w:val="0"/>
          <w:szCs w:val="21"/>
        </w:rPr>
        <w:t>0.30%年费率</w:t>
      </w:r>
      <w:r w:rsidR="002D3554" w:rsidRPr="00362CE7">
        <w:rPr>
          <w:rFonts w:ascii="黑体" w:eastAsia="黑体" w:hAnsi="黑体" w:cs="黑体" w:hint="eastAsia"/>
          <w:b/>
          <w:kern w:val="0"/>
          <w:szCs w:val="21"/>
        </w:rPr>
        <w:t>计提</w:t>
      </w:r>
      <w:r w:rsidRPr="00362CE7">
        <w:rPr>
          <w:rFonts w:ascii="黑体" w:eastAsia="黑体" w:hAnsi="黑体" w:cs="黑体" w:hint="eastAsia"/>
          <w:b/>
          <w:kern w:val="0"/>
          <w:szCs w:val="21"/>
        </w:rPr>
        <w:t>。计算方法如下：</w:t>
      </w:r>
    </w:p>
    <w:p w14:paraId="508673E6" w14:textId="77777777" w:rsidR="00750677" w:rsidRPr="00362CE7" w:rsidRDefault="00750677" w:rsidP="00750677">
      <w:pPr>
        <w:autoSpaceDE w:val="0"/>
        <w:autoSpaceDN w:val="0"/>
        <w:adjustRightInd w:val="0"/>
        <w:ind w:firstLineChars="200" w:firstLine="420"/>
        <w:rPr>
          <w:rFonts w:ascii="黑体" w:eastAsia="黑体" w:hAnsi="黑体" w:cs="黑体"/>
          <w:color w:val="000000" w:themeColor="text1"/>
          <w:kern w:val="0"/>
          <w:szCs w:val="21"/>
        </w:rPr>
      </w:pPr>
      <w:r w:rsidRPr="00362CE7">
        <w:rPr>
          <w:rFonts w:ascii="黑体" w:eastAsia="黑体" w:hAnsi="黑体" w:cs="黑体"/>
          <w:color w:val="000000" w:themeColor="text1"/>
          <w:kern w:val="0"/>
          <w:szCs w:val="21"/>
        </w:rPr>
        <w:lastRenderedPageBreak/>
        <w:t xml:space="preserve">H=Y </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 xml:space="preserve"> </w:t>
      </w:r>
      <w:r w:rsidRPr="00362CE7">
        <w:rPr>
          <w:rFonts w:ascii="黑体" w:eastAsia="黑体" w:hAnsi="黑体" w:cs="黑体" w:hint="eastAsia"/>
          <w:color w:val="000000" w:themeColor="text1"/>
          <w:kern w:val="0"/>
          <w:szCs w:val="21"/>
        </w:rPr>
        <w:t>固定管理费率（年化）÷</w:t>
      </w:r>
      <w:r w:rsidRPr="00362CE7">
        <w:rPr>
          <w:rFonts w:ascii="黑体" w:eastAsia="黑体" w:hAnsi="黑体" w:cs="黑体"/>
          <w:color w:val="000000" w:themeColor="text1"/>
          <w:kern w:val="0"/>
          <w:szCs w:val="21"/>
        </w:rPr>
        <w:t>365</w:t>
      </w:r>
    </w:p>
    <w:p w14:paraId="51192E1F" w14:textId="77777777" w:rsidR="00750677" w:rsidRPr="00362CE7" w:rsidRDefault="00750677" w:rsidP="00750677">
      <w:pPr>
        <w:autoSpaceDE w:val="0"/>
        <w:autoSpaceDN w:val="0"/>
        <w:adjustRightInd w:val="0"/>
        <w:ind w:firstLineChars="200" w:firstLine="420"/>
        <w:rPr>
          <w:rFonts w:ascii="黑体" w:eastAsia="黑体" w:hAnsi="黑体" w:cs="黑体"/>
          <w:color w:val="000000" w:themeColor="text1"/>
          <w:kern w:val="0"/>
          <w:szCs w:val="21"/>
        </w:rPr>
      </w:pPr>
      <w:r w:rsidRPr="00362CE7">
        <w:rPr>
          <w:rFonts w:ascii="黑体" w:eastAsia="黑体" w:hAnsi="黑体" w:cs="黑体"/>
          <w:color w:val="000000" w:themeColor="text1"/>
          <w:kern w:val="0"/>
          <w:szCs w:val="21"/>
        </w:rPr>
        <w:t xml:space="preserve">H </w:t>
      </w:r>
      <w:r w:rsidRPr="00362CE7">
        <w:rPr>
          <w:rFonts w:ascii="黑体" w:eastAsia="黑体" w:hAnsi="黑体" w:cs="黑体" w:hint="eastAsia"/>
          <w:color w:val="000000" w:themeColor="text1"/>
          <w:kern w:val="0"/>
          <w:szCs w:val="21"/>
        </w:rPr>
        <w:t>为每一自然日应计提的固定管理费</w:t>
      </w:r>
    </w:p>
    <w:p w14:paraId="4E0B46DC" w14:textId="77777777" w:rsidR="00750677" w:rsidRPr="00362CE7" w:rsidRDefault="00750677"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color w:val="000000" w:themeColor="text1"/>
          <w:kern w:val="0"/>
          <w:szCs w:val="21"/>
        </w:rPr>
        <w:t xml:space="preserve">Y </w:t>
      </w:r>
      <w:r w:rsidRPr="00362CE7">
        <w:rPr>
          <w:rFonts w:ascii="黑体" w:eastAsia="黑体" w:hAnsi="黑体" w:cs="黑体" w:hint="eastAsia"/>
          <w:color w:val="000000" w:themeColor="text1"/>
          <w:kern w:val="0"/>
          <w:szCs w:val="21"/>
        </w:rPr>
        <w:t>为估值日产品扣除回购融资、产品运作及清算中产生的其他费用、产品运营中发生的增值税及附加税费等费用后的资产净值</w:t>
      </w:r>
    </w:p>
    <w:p w14:paraId="60EDFA80" w14:textId="27F5D52A" w:rsidR="00D90FB8" w:rsidRPr="00362CE7" w:rsidRDefault="0078165B" w:rsidP="00310FD3">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3</w:t>
      </w:r>
      <w:r w:rsidR="00A9684D" w:rsidRPr="00362CE7">
        <w:rPr>
          <w:rFonts w:ascii="黑体" w:eastAsia="黑体" w:hAnsi="黑体" w:cs="黑体" w:hint="eastAsia"/>
          <w:b/>
          <w:kern w:val="0"/>
          <w:szCs w:val="21"/>
        </w:rPr>
        <w:t>、</w:t>
      </w:r>
      <w:r w:rsidRPr="00362CE7">
        <w:rPr>
          <w:rFonts w:ascii="黑体" w:eastAsia="黑体" w:hAnsi="黑体" w:cs="黑体" w:hint="eastAsia"/>
          <w:b/>
          <w:kern w:val="0"/>
          <w:szCs w:val="21"/>
        </w:rPr>
        <w:t>浮动管理费：</w:t>
      </w:r>
      <w:bookmarkStart w:id="1" w:name="_Hlk33053712"/>
      <w:r w:rsidR="00750677" w:rsidRPr="00362CE7">
        <w:rPr>
          <w:rFonts w:ascii="黑体" w:eastAsia="黑体" w:hAnsi="黑体" w:cs="黑体" w:hint="eastAsia"/>
          <w:b/>
          <w:kern w:val="0"/>
          <w:szCs w:val="21"/>
        </w:rPr>
        <w:t>无</w:t>
      </w:r>
      <w:r w:rsidR="006E7547" w:rsidRPr="00362CE7" w:rsidDel="006E7547">
        <w:rPr>
          <w:rFonts w:ascii="黑体" w:eastAsia="黑体" w:hAnsi="黑体" w:cs="黑体"/>
          <w:b/>
          <w:kern w:val="0"/>
          <w:szCs w:val="21"/>
        </w:rPr>
        <w:t xml:space="preserve"> </w:t>
      </w:r>
      <w:bookmarkEnd w:id="1"/>
    </w:p>
    <w:p w14:paraId="713C0CE7" w14:textId="491CDB70" w:rsidR="0078165B" w:rsidRPr="00362CE7" w:rsidRDefault="0078165B"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4</w:t>
      </w:r>
      <w:r w:rsidR="00A9684D" w:rsidRPr="00362CE7">
        <w:rPr>
          <w:rFonts w:ascii="黑体" w:eastAsia="黑体" w:hAnsi="黑体" w:cs="黑体" w:hint="eastAsia"/>
          <w:b/>
          <w:kern w:val="0"/>
          <w:szCs w:val="21"/>
        </w:rPr>
        <w:t>、</w:t>
      </w:r>
      <w:r w:rsidRPr="00362CE7">
        <w:rPr>
          <w:rFonts w:ascii="黑体" w:eastAsia="黑体" w:hAnsi="黑体" w:cs="黑体" w:hint="eastAsia"/>
          <w:b/>
          <w:kern w:val="0"/>
          <w:szCs w:val="21"/>
        </w:rPr>
        <w:t>托管费：</w:t>
      </w:r>
      <w:r w:rsidR="00463069" w:rsidRPr="00362CE7">
        <w:rPr>
          <w:rFonts w:ascii="黑体" w:eastAsia="黑体" w:hAnsi="黑体" w:cs="黑体"/>
          <w:b/>
          <w:color w:val="000000" w:themeColor="text1"/>
          <w:kern w:val="0"/>
          <w:szCs w:val="21"/>
        </w:rPr>
        <w:t>本产品托管费按当日产品扣除回购融资、产品运作及清算中产生的其他费用、产品运营中发生的增值税及附加税费等费用后的资产净值的</w:t>
      </w:r>
      <w:r w:rsidR="00750677" w:rsidRPr="00362CE7">
        <w:rPr>
          <w:rFonts w:ascii="黑体" w:eastAsia="黑体" w:hAnsi="黑体" w:cs="黑体"/>
          <w:b/>
          <w:kern w:val="0"/>
          <w:szCs w:val="21"/>
        </w:rPr>
        <w:t>0.001%年费率</w:t>
      </w:r>
      <w:r w:rsidR="002D3554" w:rsidRPr="00362CE7">
        <w:rPr>
          <w:rFonts w:ascii="黑体" w:eastAsia="黑体" w:hAnsi="黑体" w:cs="黑体" w:hint="eastAsia"/>
          <w:b/>
          <w:kern w:val="0"/>
          <w:szCs w:val="21"/>
        </w:rPr>
        <w:t>计提</w:t>
      </w:r>
      <w:r w:rsidRPr="00362CE7">
        <w:rPr>
          <w:rFonts w:ascii="黑体" w:eastAsia="黑体" w:hAnsi="黑体" w:cs="黑体" w:hint="eastAsia"/>
          <w:b/>
          <w:kern w:val="0"/>
          <w:szCs w:val="21"/>
        </w:rPr>
        <w:t>。计算方法如下：</w:t>
      </w:r>
    </w:p>
    <w:p w14:paraId="529D9BE4" w14:textId="77777777" w:rsidR="00750677" w:rsidRPr="00362CE7" w:rsidRDefault="00750677"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T＝B×托管费率（年化）÷365</w:t>
      </w:r>
    </w:p>
    <w:p w14:paraId="03725552" w14:textId="77777777" w:rsidR="00750677" w:rsidRPr="00362CE7" w:rsidRDefault="00750677"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T为每一自然日应计提的产品托管费</w:t>
      </w:r>
    </w:p>
    <w:p w14:paraId="1F07A0EC" w14:textId="5506EC6C" w:rsidR="00250E9B" w:rsidRPr="00362CE7" w:rsidRDefault="00750677"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B为估值日产品扣除回购融资、产品运作及清算中产生的其他费用、产品运营中发生的增值税及附加税费等费用后的资产净值</w:t>
      </w:r>
    </w:p>
    <w:p w14:paraId="5807F1F8" w14:textId="044215A3" w:rsidR="0078165B" w:rsidRPr="00362CE7" w:rsidRDefault="0078165B"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5</w:t>
      </w:r>
      <w:r w:rsidR="00A9684D" w:rsidRPr="00362CE7">
        <w:rPr>
          <w:rFonts w:ascii="黑体" w:eastAsia="黑体" w:hAnsi="黑体" w:cs="黑体" w:hint="eastAsia"/>
          <w:b/>
          <w:kern w:val="0"/>
          <w:szCs w:val="21"/>
        </w:rPr>
        <w:t>、</w:t>
      </w:r>
      <w:r w:rsidRPr="00362CE7">
        <w:rPr>
          <w:rFonts w:ascii="黑体" w:eastAsia="黑体" w:hAnsi="黑体" w:cs="黑体" w:hint="eastAsia"/>
          <w:b/>
          <w:kern w:val="0"/>
          <w:szCs w:val="21"/>
        </w:rPr>
        <w:t>手续费</w:t>
      </w:r>
      <w:r w:rsidRPr="00362CE7">
        <w:rPr>
          <w:rFonts w:ascii="黑体" w:eastAsia="黑体" w:hAnsi="黑体" w:cs="黑体"/>
          <w:b/>
          <w:kern w:val="0"/>
          <w:szCs w:val="21"/>
        </w:rPr>
        <w:t>：</w:t>
      </w:r>
      <w:bookmarkStart w:id="2" w:name="_Hlk33053737"/>
      <w:r w:rsidR="00750677" w:rsidRPr="00362CE7">
        <w:rPr>
          <w:rFonts w:ascii="黑体" w:eastAsia="黑体" w:hAnsi="黑体" w:cs="黑体" w:hint="eastAsia"/>
          <w:b/>
          <w:kern w:val="0"/>
          <w:szCs w:val="21"/>
        </w:rPr>
        <w:t>无</w:t>
      </w:r>
    </w:p>
    <w:p w14:paraId="387B5DEE" w14:textId="7644BAB8" w:rsidR="000D5CC0" w:rsidRPr="00362CE7" w:rsidRDefault="0078165B" w:rsidP="00F45D2E">
      <w:pPr>
        <w:autoSpaceDE w:val="0"/>
        <w:autoSpaceDN w:val="0"/>
        <w:adjustRightInd w:val="0"/>
        <w:ind w:firstLineChars="200" w:firstLine="422"/>
        <w:jc w:val="left"/>
        <w:rPr>
          <w:rFonts w:ascii="黑体" w:eastAsia="黑体" w:hAnsi="黑体" w:cs="黑体"/>
          <w:b/>
          <w:kern w:val="0"/>
          <w:szCs w:val="21"/>
        </w:rPr>
      </w:pPr>
      <w:bookmarkStart w:id="3" w:name="_Hlk33107492"/>
      <w:bookmarkEnd w:id="2"/>
      <w:r w:rsidRPr="00362CE7">
        <w:rPr>
          <w:rFonts w:ascii="黑体" w:eastAsia="黑体" w:hAnsi="黑体" w:cs="黑体"/>
          <w:b/>
          <w:kern w:val="0"/>
          <w:szCs w:val="21"/>
        </w:rPr>
        <w:t>6</w:t>
      </w:r>
      <w:r w:rsidR="00A9684D" w:rsidRPr="00362CE7">
        <w:rPr>
          <w:rFonts w:ascii="黑体" w:eastAsia="黑体" w:hAnsi="黑体" w:cs="黑体" w:hint="eastAsia"/>
          <w:b/>
          <w:kern w:val="0"/>
          <w:szCs w:val="21"/>
        </w:rPr>
        <w:t>、</w:t>
      </w:r>
      <w:bookmarkStart w:id="4" w:name="_Hlk33053751"/>
      <w:r w:rsidR="000D5CC0" w:rsidRPr="00362CE7">
        <w:rPr>
          <w:rFonts w:ascii="黑体" w:eastAsia="黑体" w:hAnsi="黑体" w:cs="黑体" w:hint="eastAsia"/>
          <w:b/>
          <w:kern w:val="0"/>
          <w:szCs w:val="21"/>
        </w:rPr>
        <w:t>其他费用：</w:t>
      </w:r>
      <w:r w:rsidR="00750677" w:rsidRPr="00362CE7">
        <w:rPr>
          <w:rFonts w:ascii="黑体" w:eastAsia="黑体" w:hAnsi="黑体" w:cs="黑体" w:hint="eastAsia"/>
          <w:b/>
          <w:kern w:val="0"/>
          <w:szCs w:val="21"/>
        </w:rPr>
        <w:t>无</w:t>
      </w:r>
    </w:p>
    <w:p w14:paraId="43DA9355" w14:textId="31EFB276" w:rsidR="0078165B" w:rsidRPr="00362CE7" w:rsidRDefault="00912794"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7、</w:t>
      </w:r>
      <w:r w:rsidR="008163C2" w:rsidRPr="00362CE7">
        <w:rPr>
          <w:rFonts w:ascii="黑体" w:eastAsia="黑体" w:hAnsi="黑体" w:cs="黑体" w:hint="eastAsia"/>
          <w:b/>
          <w:kern w:val="0"/>
          <w:szCs w:val="21"/>
        </w:rPr>
        <w:t>产品运作和清算中产生的其他</w:t>
      </w:r>
      <w:r w:rsidR="00691920" w:rsidRPr="00362CE7">
        <w:rPr>
          <w:rFonts w:ascii="黑体" w:eastAsia="黑体" w:hAnsi="黑体" w:cs="黑体" w:hint="eastAsia"/>
          <w:b/>
          <w:kern w:val="0"/>
          <w:szCs w:val="21"/>
        </w:rPr>
        <w:t>费用，包括但不限于</w:t>
      </w:r>
      <w:r w:rsidR="008163C2" w:rsidRPr="00362CE7">
        <w:rPr>
          <w:rFonts w:ascii="黑体" w:eastAsia="黑体" w:hAnsi="黑体" w:cs="黑体" w:hint="eastAsia"/>
          <w:b/>
          <w:kern w:val="0"/>
          <w:szCs w:val="21"/>
        </w:rPr>
        <w:t>资金汇划费、结算费、交易手续费、注册登记费、信息披露费、账户服务费、审计费、律师费等</w:t>
      </w:r>
      <w:r w:rsidR="00691920" w:rsidRPr="00362CE7">
        <w:rPr>
          <w:rFonts w:ascii="黑体" w:eastAsia="黑体" w:hAnsi="黑体" w:cs="黑体" w:hint="eastAsia"/>
          <w:b/>
          <w:kern w:val="0"/>
          <w:szCs w:val="21"/>
        </w:rPr>
        <w:t>费用</w:t>
      </w:r>
      <w:r w:rsidR="008163C2" w:rsidRPr="00362CE7">
        <w:rPr>
          <w:rFonts w:ascii="黑体" w:eastAsia="黑体" w:hAnsi="黑体" w:cs="黑体" w:hint="eastAsia"/>
          <w:b/>
          <w:kern w:val="0"/>
          <w:szCs w:val="21"/>
        </w:rPr>
        <w:t>，按照实际发生</w:t>
      </w:r>
      <w:r w:rsidR="00B964FF" w:rsidRPr="00362CE7">
        <w:rPr>
          <w:rFonts w:ascii="黑体" w:eastAsia="黑体" w:hAnsi="黑体" w:cs="黑体" w:hint="eastAsia"/>
          <w:b/>
          <w:kern w:val="0"/>
          <w:szCs w:val="21"/>
        </w:rPr>
        <w:t>情况</w:t>
      </w:r>
      <w:r w:rsidR="008163C2" w:rsidRPr="00362CE7">
        <w:rPr>
          <w:rFonts w:ascii="黑体" w:eastAsia="黑体" w:hAnsi="黑体" w:cs="黑体" w:hint="eastAsia"/>
          <w:b/>
          <w:kern w:val="0"/>
          <w:szCs w:val="21"/>
        </w:rPr>
        <w:t>从产品中列支。</w:t>
      </w:r>
      <w:bookmarkEnd w:id="4"/>
    </w:p>
    <w:p w14:paraId="16923280" w14:textId="5947FF5A" w:rsidR="00835692" w:rsidRPr="00362CE7" w:rsidRDefault="00912794" w:rsidP="004F77F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8</w:t>
      </w:r>
      <w:r w:rsidR="004F77F6" w:rsidRPr="00362CE7">
        <w:rPr>
          <w:rFonts w:ascii="黑体" w:eastAsia="黑体" w:hAnsi="黑体" w:cs="黑体" w:hint="eastAsia"/>
          <w:kern w:val="0"/>
          <w:szCs w:val="21"/>
        </w:rPr>
        <w:t>、上述费用将按</w:t>
      </w:r>
      <w:r w:rsidR="00580CBF" w:rsidRPr="00362CE7">
        <w:rPr>
          <w:rFonts w:ascii="黑体" w:eastAsia="黑体" w:hAnsi="黑体" w:cs="黑体" w:hint="eastAsia"/>
          <w:kern w:val="0"/>
          <w:szCs w:val="21"/>
        </w:rPr>
        <w:t>相关</w:t>
      </w:r>
      <w:r w:rsidR="00580CBF" w:rsidRPr="00362CE7">
        <w:rPr>
          <w:rFonts w:ascii="黑体" w:eastAsia="黑体" w:hAnsi="黑体" w:cs="黑体"/>
          <w:kern w:val="0"/>
          <w:szCs w:val="21"/>
        </w:rPr>
        <w:t>合同</w:t>
      </w:r>
      <w:r w:rsidR="004F77F6" w:rsidRPr="00362CE7">
        <w:rPr>
          <w:rFonts w:ascii="黑体" w:eastAsia="黑体" w:hAnsi="黑体" w:cs="黑体" w:hint="eastAsia"/>
          <w:kern w:val="0"/>
          <w:szCs w:val="21"/>
        </w:rPr>
        <w:t>约定的时间和方式支付给收款方。</w:t>
      </w:r>
    </w:p>
    <w:bookmarkEnd w:id="3"/>
    <w:p w14:paraId="3352EE5C" w14:textId="04DCD3C8" w:rsidR="0078165B" w:rsidRPr="00362CE7" w:rsidRDefault="00912794"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9</w:t>
      </w:r>
      <w:r w:rsidR="00F6279C" w:rsidRPr="00362CE7">
        <w:rPr>
          <w:rFonts w:ascii="黑体" w:eastAsia="黑体" w:hAnsi="黑体" w:cs="黑体" w:hint="eastAsia"/>
          <w:b/>
          <w:kern w:val="0"/>
          <w:szCs w:val="21"/>
        </w:rPr>
        <w:t>、</w:t>
      </w:r>
      <w:r w:rsidR="0078165B" w:rsidRPr="00362CE7">
        <w:rPr>
          <w:rFonts w:ascii="黑体" w:eastAsia="黑体" w:hAnsi="黑体" w:cs="黑体" w:hint="eastAsia"/>
          <w:b/>
          <w:kern w:val="0"/>
          <w:szCs w:val="21"/>
        </w:rPr>
        <w:t>产品管理人有权根据市场情况等调整上述各项</w:t>
      </w:r>
      <w:r w:rsidR="004F77F6" w:rsidRPr="00362CE7">
        <w:rPr>
          <w:rFonts w:ascii="黑体" w:eastAsia="黑体" w:hAnsi="黑体" w:cs="黑体" w:hint="eastAsia"/>
          <w:b/>
          <w:kern w:val="0"/>
          <w:szCs w:val="21"/>
        </w:rPr>
        <w:t>收费</w:t>
      </w:r>
      <w:r w:rsidR="0078165B" w:rsidRPr="00362CE7">
        <w:rPr>
          <w:rFonts w:ascii="黑体" w:eastAsia="黑体" w:hAnsi="黑体" w:cs="黑体" w:hint="eastAsia"/>
          <w:b/>
          <w:kern w:val="0"/>
          <w:szCs w:val="21"/>
        </w:rPr>
        <w:t>项目、收费条件、</w:t>
      </w:r>
      <w:r w:rsidR="004F77F6" w:rsidRPr="00362CE7">
        <w:rPr>
          <w:rFonts w:ascii="黑体" w:eastAsia="黑体" w:hAnsi="黑体" w:cs="黑体" w:hint="eastAsia"/>
          <w:b/>
          <w:kern w:val="0"/>
          <w:szCs w:val="21"/>
        </w:rPr>
        <w:t>收费标准</w:t>
      </w:r>
      <w:r w:rsidR="0078165B" w:rsidRPr="00362CE7">
        <w:rPr>
          <w:rFonts w:ascii="黑体" w:eastAsia="黑体" w:hAnsi="黑体" w:cs="黑体" w:hint="eastAsia"/>
          <w:b/>
          <w:kern w:val="0"/>
          <w:szCs w:val="21"/>
        </w:rPr>
        <w:t>和</w:t>
      </w:r>
      <w:r w:rsidR="004F77F6" w:rsidRPr="00362CE7">
        <w:rPr>
          <w:rFonts w:ascii="黑体" w:eastAsia="黑体" w:hAnsi="黑体" w:cs="黑体" w:hint="eastAsia"/>
          <w:b/>
          <w:kern w:val="0"/>
          <w:szCs w:val="21"/>
        </w:rPr>
        <w:t>收费</w:t>
      </w:r>
      <w:r w:rsidR="0078165B" w:rsidRPr="00362CE7">
        <w:rPr>
          <w:rFonts w:ascii="黑体" w:eastAsia="黑体" w:hAnsi="黑体" w:cs="黑体" w:hint="eastAsia"/>
          <w:b/>
          <w:kern w:val="0"/>
          <w:szCs w:val="21"/>
        </w:rPr>
        <w:t>方式，并至少于调整日之前</w:t>
      </w:r>
      <w:r w:rsidR="00750677" w:rsidRPr="00362CE7">
        <w:rPr>
          <w:rFonts w:ascii="黑体" w:eastAsia="黑体" w:hAnsi="黑体" w:cs="黑体"/>
          <w:b/>
          <w:kern w:val="0"/>
          <w:szCs w:val="21"/>
        </w:rPr>
        <w:t>3</w:t>
      </w:r>
      <w:r w:rsidR="00750677" w:rsidRPr="00362CE7">
        <w:rPr>
          <w:rFonts w:ascii="黑体" w:eastAsia="黑体" w:hAnsi="黑体" w:cs="黑体" w:hint="eastAsia"/>
          <w:b/>
          <w:kern w:val="0"/>
          <w:szCs w:val="21"/>
        </w:rPr>
        <w:t>个</w:t>
      </w:r>
      <w:r w:rsidR="0078165B" w:rsidRPr="00362CE7">
        <w:rPr>
          <w:rFonts w:ascii="黑体" w:eastAsia="黑体" w:hAnsi="黑体" w:cs="黑体" w:hint="eastAsia"/>
          <w:b/>
          <w:kern w:val="0"/>
          <w:szCs w:val="21"/>
        </w:rPr>
        <w:t>工作日进行公告。</w:t>
      </w:r>
      <w:r w:rsidR="00662662" w:rsidRPr="00362CE7">
        <w:rPr>
          <w:rFonts w:ascii="黑体" w:eastAsia="黑体" w:hAnsi="黑体" w:cs="黑体" w:hint="eastAsia"/>
          <w:b/>
          <w:kern w:val="0"/>
          <w:szCs w:val="21"/>
        </w:rPr>
        <w:t>上述情况下产品</w:t>
      </w:r>
      <w:r w:rsidR="00662662" w:rsidRPr="00362CE7">
        <w:rPr>
          <w:rFonts w:ascii="黑体" w:eastAsia="黑体" w:hAnsi="黑体" w:cs="黑体"/>
          <w:b/>
          <w:kern w:val="0"/>
          <w:szCs w:val="21"/>
        </w:rPr>
        <w:t>管理人</w:t>
      </w:r>
      <w:r w:rsidR="00662662" w:rsidRPr="00362CE7">
        <w:rPr>
          <w:rFonts w:ascii="黑体" w:eastAsia="黑体" w:hAnsi="黑体" w:cs="黑体" w:hint="eastAsia"/>
          <w:b/>
          <w:kern w:val="0"/>
          <w:szCs w:val="21"/>
        </w:rPr>
        <w:t>将可能开放赎回，具体以信息披露公告为准。投资者不同意公告内容的，可按公告约定全部赎回本产品。若投资者在公告执行后继续持有本产品的，视同接受公告内容。</w:t>
      </w:r>
    </w:p>
    <w:p w14:paraId="36456A5B" w14:textId="3FDD8025" w:rsidR="00250802" w:rsidRPr="00362CE7" w:rsidRDefault="00250802" w:rsidP="00B02E35">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（二）</w:t>
      </w:r>
      <w:bookmarkStart w:id="5" w:name="_Hlk33085424"/>
      <w:r w:rsidRPr="00362CE7">
        <w:rPr>
          <w:rFonts w:ascii="黑体" w:eastAsia="黑体" w:hAnsi="黑体" w:cs="宋体" w:hint="eastAsia"/>
          <w:kern w:val="0"/>
          <w:szCs w:val="21"/>
        </w:rPr>
        <w:t>产品收益计算示例</w:t>
      </w:r>
      <w:bookmarkEnd w:id="5"/>
    </w:p>
    <w:p w14:paraId="054364E4" w14:textId="77777777" w:rsidR="00750677" w:rsidRPr="00362CE7" w:rsidRDefault="00750677" w:rsidP="00750677">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示例</w:t>
      </w:r>
      <w:r w:rsidRPr="00362CE7">
        <w:rPr>
          <w:rFonts w:ascii="黑体" w:eastAsia="黑体" w:hAnsi="黑体" w:cs="黑体"/>
          <w:color w:val="000000" w:themeColor="text1"/>
          <w:kern w:val="0"/>
          <w:szCs w:val="21"/>
        </w:rPr>
        <w:t>1</w:t>
      </w:r>
      <w:r w:rsidRPr="00362CE7">
        <w:rPr>
          <w:rFonts w:ascii="黑体" w:eastAsia="黑体" w:hAnsi="黑体" w:cs="黑体" w:hint="eastAsia"/>
          <w:color w:val="000000" w:themeColor="text1"/>
          <w:kern w:val="0"/>
          <w:szCs w:val="21"/>
        </w:rPr>
        <w:t>：假设投资者于募集期认购，本金为</w:t>
      </w:r>
      <w:r w:rsidRPr="00362CE7">
        <w:rPr>
          <w:rFonts w:ascii="黑体" w:eastAsia="黑体" w:hAnsi="黑体" w:cs="黑体"/>
          <w:color w:val="000000" w:themeColor="text1"/>
          <w:kern w:val="0"/>
          <w:szCs w:val="21"/>
        </w:rPr>
        <w:t>50000</w:t>
      </w:r>
      <w:r w:rsidRPr="00362CE7">
        <w:rPr>
          <w:rFonts w:ascii="黑体" w:eastAsia="黑体" w:hAnsi="黑体" w:cs="黑体" w:hint="eastAsia"/>
          <w:color w:val="000000" w:themeColor="text1"/>
          <w:kern w:val="0"/>
          <w:szCs w:val="21"/>
        </w:rPr>
        <w:t>元，净值为</w:t>
      </w:r>
      <w:r w:rsidRPr="00362CE7">
        <w:rPr>
          <w:rFonts w:ascii="黑体" w:eastAsia="黑体" w:hAnsi="黑体" w:cs="黑体"/>
          <w:color w:val="000000" w:themeColor="text1"/>
          <w:kern w:val="0"/>
          <w:szCs w:val="21"/>
        </w:rPr>
        <w:t>1.00</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份，则投资者持有份额为</w:t>
      </w:r>
      <w:r w:rsidRPr="00362CE7">
        <w:rPr>
          <w:rFonts w:ascii="黑体" w:eastAsia="黑体" w:hAnsi="黑体" w:cs="黑体"/>
          <w:color w:val="000000" w:themeColor="text1"/>
          <w:kern w:val="0"/>
          <w:szCs w:val="21"/>
        </w:rPr>
        <w:t>50000</w:t>
      </w:r>
      <w:r w:rsidRPr="00362CE7">
        <w:rPr>
          <w:rFonts w:ascii="黑体" w:eastAsia="黑体" w:hAnsi="黑体" w:cs="黑体" w:hint="eastAsia"/>
          <w:color w:val="000000" w:themeColor="text1"/>
          <w:kern w:val="0"/>
          <w:szCs w:val="21"/>
        </w:rPr>
        <w:t>份，赎回价格为</w:t>
      </w:r>
      <w:r w:rsidRPr="00362CE7">
        <w:rPr>
          <w:rFonts w:ascii="黑体" w:eastAsia="黑体" w:hAnsi="黑体" w:cs="黑体"/>
          <w:color w:val="000000" w:themeColor="text1"/>
          <w:kern w:val="0"/>
          <w:szCs w:val="21"/>
        </w:rPr>
        <w:t>1.05</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份，则投资者投资</w:t>
      </w:r>
      <w:r w:rsidRPr="00362CE7">
        <w:rPr>
          <w:rFonts w:ascii="黑体" w:eastAsia="黑体" w:hAnsi="黑体" w:cs="黑体"/>
          <w:color w:val="000000" w:themeColor="text1"/>
          <w:kern w:val="0"/>
          <w:szCs w:val="21"/>
        </w:rPr>
        <w:t>周期终止</w:t>
      </w:r>
      <w:r w:rsidRPr="00362CE7">
        <w:rPr>
          <w:rFonts w:ascii="黑体" w:eastAsia="黑体" w:hAnsi="黑体" w:cs="黑体" w:hint="eastAsia"/>
          <w:color w:val="000000" w:themeColor="text1"/>
          <w:kern w:val="0"/>
          <w:szCs w:val="21"/>
        </w:rPr>
        <w:t>日赎回确认金额：</w:t>
      </w:r>
      <w:r w:rsidRPr="00362CE7">
        <w:rPr>
          <w:rFonts w:ascii="黑体" w:eastAsia="黑体" w:hAnsi="黑体" w:cs="黑体"/>
          <w:color w:val="000000" w:themeColor="text1"/>
          <w:kern w:val="0"/>
          <w:szCs w:val="21"/>
        </w:rPr>
        <w:t>50000</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1.05</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52500</w:t>
      </w:r>
      <w:r w:rsidRPr="00362CE7">
        <w:rPr>
          <w:rFonts w:ascii="黑体" w:eastAsia="黑体" w:hAnsi="黑体" w:cs="黑体" w:hint="eastAsia"/>
          <w:color w:val="000000" w:themeColor="text1"/>
          <w:kern w:val="0"/>
          <w:szCs w:val="21"/>
        </w:rPr>
        <w:t>元，投资者理财收益</w:t>
      </w:r>
      <w:r w:rsidRPr="00362CE7">
        <w:rPr>
          <w:rFonts w:ascii="黑体" w:eastAsia="黑体" w:hAnsi="黑体" w:cs="黑体"/>
          <w:color w:val="000000" w:themeColor="text1"/>
          <w:kern w:val="0"/>
          <w:szCs w:val="21"/>
        </w:rPr>
        <w:t>2500</w:t>
      </w:r>
      <w:r w:rsidRPr="00362CE7">
        <w:rPr>
          <w:rFonts w:ascii="黑体" w:eastAsia="黑体" w:hAnsi="黑体" w:cs="黑体" w:hint="eastAsia"/>
          <w:color w:val="000000" w:themeColor="text1"/>
          <w:kern w:val="0"/>
          <w:szCs w:val="21"/>
        </w:rPr>
        <w:t>元。</w:t>
      </w:r>
    </w:p>
    <w:p w14:paraId="05822F89" w14:textId="77777777" w:rsidR="00750677" w:rsidRPr="00362CE7" w:rsidRDefault="00750677" w:rsidP="00750677">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示例</w:t>
      </w:r>
      <w:r w:rsidRPr="00362CE7">
        <w:rPr>
          <w:rFonts w:ascii="黑体" w:eastAsia="黑体" w:hAnsi="黑体" w:cs="黑体"/>
          <w:color w:val="000000" w:themeColor="text1"/>
          <w:kern w:val="0"/>
          <w:szCs w:val="21"/>
        </w:rPr>
        <w:t>2</w:t>
      </w:r>
      <w:r w:rsidRPr="00362CE7">
        <w:rPr>
          <w:rFonts w:ascii="黑体" w:eastAsia="黑体" w:hAnsi="黑体" w:cs="黑体" w:hint="eastAsia"/>
          <w:color w:val="000000" w:themeColor="text1"/>
          <w:kern w:val="0"/>
          <w:szCs w:val="21"/>
        </w:rPr>
        <w:t>：假设投资者于产品存续期申购，本金为</w:t>
      </w:r>
      <w:r w:rsidRPr="00362CE7">
        <w:rPr>
          <w:rFonts w:ascii="黑体" w:eastAsia="黑体" w:hAnsi="黑体" w:cs="黑体"/>
          <w:color w:val="000000" w:themeColor="text1"/>
          <w:kern w:val="0"/>
          <w:szCs w:val="21"/>
        </w:rPr>
        <w:t>50000</w:t>
      </w:r>
      <w:r w:rsidRPr="00362CE7">
        <w:rPr>
          <w:rFonts w:ascii="黑体" w:eastAsia="黑体" w:hAnsi="黑体" w:cs="黑体" w:hint="eastAsia"/>
          <w:color w:val="000000" w:themeColor="text1"/>
          <w:kern w:val="0"/>
          <w:szCs w:val="21"/>
        </w:rPr>
        <w:t>元，申购价格为</w:t>
      </w:r>
      <w:r w:rsidRPr="00362CE7">
        <w:rPr>
          <w:rFonts w:ascii="黑体" w:eastAsia="黑体" w:hAnsi="黑体" w:cs="黑体"/>
          <w:color w:val="000000" w:themeColor="text1"/>
          <w:kern w:val="0"/>
          <w:szCs w:val="21"/>
        </w:rPr>
        <w:t>1.05</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份，则投资者持有份额：</w:t>
      </w:r>
      <w:r w:rsidRPr="00362CE7">
        <w:rPr>
          <w:rFonts w:ascii="黑体" w:eastAsia="黑体" w:hAnsi="黑体" w:cs="黑体"/>
          <w:color w:val="000000" w:themeColor="text1"/>
          <w:kern w:val="0"/>
          <w:szCs w:val="21"/>
        </w:rPr>
        <w:t>50000/1.05=47619.04</w:t>
      </w:r>
      <w:r w:rsidRPr="00362CE7">
        <w:rPr>
          <w:rFonts w:ascii="黑体" w:eastAsia="黑体" w:hAnsi="黑体" w:cs="黑体" w:hint="eastAsia"/>
          <w:color w:val="000000" w:themeColor="text1"/>
          <w:kern w:val="0"/>
          <w:szCs w:val="21"/>
        </w:rPr>
        <w:t>份，份额小数点两位后小数采取截位规则。赎回价格为</w:t>
      </w:r>
      <w:r w:rsidRPr="00362CE7">
        <w:rPr>
          <w:rFonts w:ascii="黑体" w:eastAsia="黑体" w:hAnsi="黑体" w:cs="黑体"/>
          <w:color w:val="000000" w:themeColor="text1"/>
          <w:kern w:val="0"/>
          <w:szCs w:val="21"/>
        </w:rPr>
        <w:t>1.1</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份，若赎回确认金额采取四舍五入后精确到小数点后</w:t>
      </w:r>
      <w:r w:rsidRPr="00362CE7">
        <w:rPr>
          <w:rFonts w:ascii="黑体" w:eastAsia="黑体" w:hAnsi="黑体" w:cs="黑体"/>
          <w:color w:val="000000" w:themeColor="text1"/>
          <w:kern w:val="0"/>
          <w:szCs w:val="21"/>
        </w:rPr>
        <w:t>2</w:t>
      </w:r>
      <w:r w:rsidRPr="00362CE7">
        <w:rPr>
          <w:rFonts w:ascii="黑体" w:eastAsia="黑体" w:hAnsi="黑体" w:cs="黑体" w:hint="eastAsia"/>
          <w:color w:val="000000" w:themeColor="text1"/>
          <w:kern w:val="0"/>
          <w:szCs w:val="21"/>
        </w:rPr>
        <w:t>位则投资者投资</w:t>
      </w:r>
      <w:r w:rsidRPr="00362CE7">
        <w:rPr>
          <w:rFonts w:ascii="黑体" w:eastAsia="黑体" w:hAnsi="黑体" w:cs="黑体"/>
          <w:color w:val="000000" w:themeColor="text1"/>
          <w:kern w:val="0"/>
          <w:szCs w:val="21"/>
        </w:rPr>
        <w:t>周期终止</w:t>
      </w:r>
      <w:r w:rsidRPr="00362CE7">
        <w:rPr>
          <w:rFonts w:ascii="黑体" w:eastAsia="黑体" w:hAnsi="黑体" w:cs="黑体" w:hint="eastAsia"/>
          <w:color w:val="000000" w:themeColor="text1"/>
          <w:kern w:val="0"/>
          <w:szCs w:val="21"/>
        </w:rPr>
        <w:t>日赎回确认金额：</w:t>
      </w:r>
      <w:r w:rsidRPr="00362CE7">
        <w:rPr>
          <w:rFonts w:ascii="黑体" w:eastAsia="黑体" w:hAnsi="黑体" w:cs="黑体"/>
          <w:color w:val="000000" w:themeColor="text1"/>
          <w:kern w:val="0"/>
          <w:szCs w:val="21"/>
        </w:rPr>
        <w:t xml:space="preserve"> 47619.04</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 xml:space="preserve"> 1.1=52380.94</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 xml:space="preserve"> </w:t>
      </w:r>
      <w:r w:rsidRPr="00362CE7">
        <w:rPr>
          <w:rFonts w:ascii="黑体" w:eastAsia="黑体" w:hAnsi="黑体" w:cs="黑体" w:hint="eastAsia"/>
          <w:color w:val="000000" w:themeColor="text1"/>
          <w:kern w:val="0"/>
          <w:szCs w:val="21"/>
        </w:rPr>
        <w:t>投资者理财收益</w:t>
      </w:r>
      <w:r w:rsidRPr="00362CE7">
        <w:rPr>
          <w:rFonts w:ascii="黑体" w:eastAsia="黑体" w:hAnsi="黑体" w:cs="黑体"/>
          <w:color w:val="000000" w:themeColor="text1"/>
          <w:kern w:val="0"/>
          <w:szCs w:val="21"/>
        </w:rPr>
        <w:t>2380.94</w:t>
      </w:r>
      <w:r w:rsidRPr="00362CE7">
        <w:rPr>
          <w:rFonts w:ascii="黑体" w:eastAsia="黑体" w:hAnsi="黑体" w:cs="黑体" w:hint="eastAsia"/>
          <w:color w:val="000000" w:themeColor="text1"/>
          <w:kern w:val="0"/>
          <w:szCs w:val="21"/>
        </w:rPr>
        <w:t>元。</w:t>
      </w:r>
    </w:p>
    <w:p w14:paraId="4D478F9F" w14:textId="77777777" w:rsidR="00750677" w:rsidRPr="00362CE7" w:rsidRDefault="00750677" w:rsidP="00750677">
      <w:pPr>
        <w:autoSpaceDE w:val="0"/>
        <w:autoSpaceDN w:val="0"/>
        <w:adjustRightInd w:val="0"/>
        <w:ind w:firstLineChars="200" w:firstLine="420"/>
        <w:jc w:val="left"/>
        <w:rPr>
          <w:rFonts w:ascii="黑体" w:eastAsia="黑体" w:hAnsi="黑体" w:cs="黑体"/>
          <w:color w:val="000000" w:themeColor="text1"/>
          <w:kern w:val="0"/>
          <w:szCs w:val="21"/>
        </w:rPr>
      </w:pPr>
      <w:r w:rsidRPr="00362CE7">
        <w:rPr>
          <w:rFonts w:ascii="黑体" w:eastAsia="黑体" w:hAnsi="黑体" w:cs="黑体" w:hint="eastAsia"/>
          <w:color w:val="000000" w:themeColor="text1"/>
          <w:kern w:val="0"/>
          <w:szCs w:val="21"/>
        </w:rPr>
        <w:t>示例</w:t>
      </w:r>
      <w:r w:rsidRPr="00362CE7">
        <w:rPr>
          <w:rFonts w:ascii="黑体" w:eastAsia="黑体" w:hAnsi="黑体" w:cs="黑体"/>
          <w:color w:val="000000" w:themeColor="text1"/>
          <w:kern w:val="0"/>
          <w:szCs w:val="21"/>
        </w:rPr>
        <w:t>3</w:t>
      </w:r>
      <w:r w:rsidRPr="00362CE7">
        <w:rPr>
          <w:rFonts w:ascii="黑体" w:eastAsia="黑体" w:hAnsi="黑体" w:cs="黑体" w:hint="eastAsia"/>
          <w:color w:val="000000" w:themeColor="text1"/>
          <w:kern w:val="0"/>
          <w:szCs w:val="21"/>
        </w:rPr>
        <w:t>：假设投资者于募集期认购，本金为</w:t>
      </w:r>
      <w:r w:rsidRPr="00362CE7">
        <w:rPr>
          <w:rFonts w:ascii="黑体" w:eastAsia="黑体" w:hAnsi="黑体" w:cs="黑体"/>
          <w:color w:val="000000" w:themeColor="text1"/>
          <w:kern w:val="0"/>
          <w:szCs w:val="21"/>
        </w:rPr>
        <w:t>100000</w:t>
      </w:r>
      <w:r w:rsidRPr="00362CE7">
        <w:rPr>
          <w:rFonts w:ascii="黑体" w:eastAsia="黑体" w:hAnsi="黑体" w:cs="黑体" w:hint="eastAsia"/>
          <w:color w:val="000000" w:themeColor="text1"/>
          <w:kern w:val="0"/>
          <w:szCs w:val="21"/>
        </w:rPr>
        <w:t>元，净值为</w:t>
      </w:r>
      <w:r w:rsidRPr="00362CE7">
        <w:rPr>
          <w:rFonts w:ascii="黑体" w:eastAsia="黑体" w:hAnsi="黑体" w:cs="黑体"/>
          <w:color w:val="000000" w:themeColor="text1"/>
          <w:kern w:val="0"/>
          <w:szCs w:val="21"/>
        </w:rPr>
        <w:t>1.00</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份，则投资者持有份额为</w:t>
      </w:r>
      <w:r w:rsidRPr="00362CE7">
        <w:rPr>
          <w:rFonts w:ascii="黑体" w:eastAsia="黑体" w:hAnsi="黑体" w:cs="黑体"/>
          <w:color w:val="000000" w:themeColor="text1"/>
          <w:kern w:val="0"/>
          <w:szCs w:val="21"/>
        </w:rPr>
        <w:t>100000</w:t>
      </w:r>
      <w:r w:rsidRPr="00362CE7">
        <w:rPr>
          <w:rFonts w:ascii="黑体" w:eastAsia="黑体" w:hAnsi="黑体" w:cs="黑体" w:hint="eastAsia"/>
          <w:color w:val="000000" w:themeColor="text1"/>
          <w:kern w:val="0"/>
          <w:szCs w:val="21"/>
        </w:rPr>
        <w:t>份，赎回价格为</w:t>
      </w:r>
      <w:r w:rsidRPr="00362CE7">
        <w:rPr>
          <w:rFonts w:ascii="黑体" w:eastAsia="黑体" w:hAnsi="黑体" w:cs="黑体"/>
          <w:color w:val="000000" w:themeColor="text1"/>
          <w:kern w:val="0"/>
          <w:szCs w:val="21"/>
        </w:rPr>
        <w:t>0.98</w:t>
      </w:r>
      <w:r w:rsidRPr="00362CE7">
        <w:rPr>
          <w:rFonts w:ascii="黑体" w:eastAsia="黑体" w:hAnsi="黑体" w:cs="黑体" w:hint="eastAsia"/>
          <w:color w:val="000000" w:themeColor="text1"/>
          <w:kern w:val="0"/>
          <w:szCs w:val="21"/>
        </w:rPr>
        <w:t>元</w:t>
      </w:r>
      <w:r w:rsidRPr="00362CE7">
        <w:rPr>
          <w:rFonts w:ascii="黑体" w:eastAsia="黑体" w:hAnsi="黑体" w:cs="黑体"/>
          <w:color w:val="000000" w:themeColor="text1"/>
          <w:kern w:val="0"/>
          <w:szCs w:val="21"/>
        </w:rPr>
        <w:t>/</w:t>
      </w:r>
      <w:r w:rsidRPr="00362CE7">
        <w:rPr>
          <w:rFonts w:ascii="黑体" w:eastAsia="黑体" w:hAnsi="黑体" w:cs="黑体" w:hint="eastAsia"/>
          <w:color w:val="000000" w:themeColor="text1"/>
          <w:kern w:val="0"/>
          <w:szCs w:val="21"/>
        </w:rPr>
        <w:t>份，则投资者投资</w:t>
      </w:r>
      <w:r w:rsidRPr="00362CE7">
        <w:rPr>
          <w:rFonts w:ascii="黑体" w:eastAsia="黑体" w:hAnsi="黑体" w:cs="黑体"/>
          <w:color w:val="000000" w:themeColor="text1"/>
          <w:kern w:val="0"/>
          <w:szCs w:val="21"/>
        </w:rPr>
        <w:t>周期终止</w:t>
      </w:r>
      <w:r w:rsidRPr="00362CE7">
        <w:rPr>
          <w:rFonts w:ascii="黑体" w:eastAsia="黑体" w:hAnsi="黑体" w:cs="黑体" w:hint="eastAsia"/>
          <w:color w:val="000000" w:themeColor="text1"/>
          <w:kern w:val="0"/>
          <w:szCs w:val="21"/>
        </w:rPr>
        <w:t>日赎回确认金额：</w:t>
      </w:r>
      <w:r w:rsidRPr="00362CE7">
        <w:rPr>
          <w:rFonts w:ascii="黑体" w:eastAsia="黑体" w:hAnsi="黑体" w:cs="黑体"/>
          <w:color w:val="000000" w:themeColor="text1"/>
          <w:kern w:val="0"/>
          <w:szCs w:val="21"/>
        </w:rPr>
        <w:t>100000</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0.98</w:t>
      </w:r>
      <w:r w:rsidRPr="00362CE7">
        <w:rPr>
          <w:rFonts w:ascii="黑体" w:eastAsia="黑体" w:hAnsi="黑体" w:cs="黑体" w:hint="eastAsia"/>
          <w:color w:val="000000" w:themeColor="text1"/>
          <w:kern w:val="0"/>
          <w:szCs w:val="21"/>
        </w:rPr>
        <w:t>＝</w:t>
      </w:r>
      <w:r w:rsidRPr="00362CE7">
        <w:rPr>
          <w:rFonts w:ascii="黑体" w:eastAsia="黑体" w:hAnsi="黑体" w:cs="黑体"/>
          <w:color w:val="000000" w:themeColor="text1"/>
          <w:kern w:val="0"/>
          <w:szCs w:val="21"/>
        </w:rPr>
        <w:t>98000</w:t>
      </w:r>
      <w:r w:rsidRPr="00362CE7">
        <w:rPr>
          <w:rFonts w:ascii="黑体" w:eastAsia="黑体" w:hAnsi="黑体" w:cs="黑体" w:hint="eastAsia"/>
          <w:color w:val="000000" w:themeColor="text1"/>
          <w:kern w:val="0"/>
          <w:szCs w:val="21"/>
        </w:rPr>
        <w:t>元，投资者亏损金额为</w:t>
      </w:r>
      <w:r w:rsidRPr="00362CE7">
        <w:rPr>
          <w:rFonts w:ascii="黑体" w:eastAsia="黑体" w:hAnsi="黑体" w:cs="黑体"/>
          <w:color w:val="000000" w:themeColor="text1"/>
          <w:kern w:val="0"/>
          <w:szCs w:val="21"/>
        </w:rPr>
        <w:t>2000</w:t>
      </w:r>
      <w:r w:rsidRPr="00362CE7">
        <w:rPr>
          <w:rFonts w:ascii="黑体" w:eastAsia="黑体" w:hAnsi="黑体" w:cs="黑体" w:hint="eastAsia"/>
          <w:color w:val="000000" w:themeColor="text1"/>
          <w:kern w:val="0"/>
          <w:szCs w:val="21"/>
        </w:rPr>
        <w:t>元。</w:t>
      </w:r>
    </w:p>
    <w:p w14:paraId="0E158CB1" w14:textId="66365429" w:rsidR="00325E46" w:rsidRPr="00362CE7" w:rsidRDefault="00325E46" w:rsidP="00750677">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上述示例采用假设数据计算，测算收益不等于实际收益，投资需谨慎。</w:t>
      </w:r>
    </w:p>
    <w:p w14:paraId="04681EFB" w14:textId="205FA015" w:rsidR="008E46F6" w:rsidRPr="00362CE7" w:rsidRDefault="006D4C80" w:rsidP="00F45D2E">
      <w:pPr>
        <w:autoSpaceDE w:val="0"/>
        <w:autoSpaceDN w:val="0"/>
        <w:adjustRightInd w:val="0"/>
        <w:ind w:firstLineChars="200" w:firstLine="422"/>
        <w:jc w:val="left"/>
        <w:rPr>
          <w:rFonts w:ascii="黑体" w:eastAsia="黑体" w:hAnsi="黑体" w:cs="黑体"/>
          <w:b/>
          <w:kern w:val="0"/>
          <w:szCs w:val="21"/>
        </w:rPr>
      </w:pPr>
      <w:bookmarkStart w:id="6" w:name="_Hlk33085449"/>
      <w:r w:rsidRPr="00362CE7">
        <w:rPr>
          <w:rFonts w:ascii="黑体" w:eastAsia="黑体" w:hAnsi="黑体" w:cs="黑体" w:hint="eastAsia"/>
          <w:b/>
          <w:bCs/>
          <w:kern w:val="0"/>
          <w:szCs w:val="21"/>
        </w:rPr>
        <w:t>在</w:t>
      </w:r>
      <w:r w:rsidR="00325E46" w:rsidRPr="00362CE7">
        <w:rPr>
          <w:rFonts w:ascii="黑体" w:eastAsia="黑体" w:hAnsi="黑体" w:cs="黑体" w:hint="eastAsia"/>
          <w:b/>
          <w:bCs/>
          <w:kern w:val="0"/>
          <w:szCs w:val="21"/>
        </w:rPr>
        <w:t>最不利</w:t>
      </w:r>
      <w:r w:rsidRPr="00362CE7">
        <w:rPr>
          <w:rFonts w:ascii="黑体" w:eastAsia="黑体" w:hAnsi="黑体" w:cs="黑体" w:hint="eastAsia"/>
          <w:b/>
          <w:bCs/>
          <w:kern w:val="0"/>
          <w:szCs w:val="21"/>
        </w:rPr>
        <w:t>情况下</w:t>
      </w:r>
      <w:r w:rsidR="00325E46" w:rsidRPr="00362CE7">
        <w:rPr>
          <w:rFonts w:ascii="黑体" w:eastAsia="黑体" w:hAnsi="黑体" w:cs="黑体" w:hint="eastAsia"/>
          <w:b/>
          <w:bCs/>
          <w:kern w:val="0"/>
          <w:szCs w:val="21"/>
        </w:rPr>
        <w:t>，</w:t>
      </w:r>
      <w:r w:rsidR="00EE3992" w:rsidRPr="00362CE7">
        <w:rPr>
          <w:rFonts w:ascii="黑体" w:eastAsia="黑体" w:hAnsi="黑体" w:cs="黑体" w:hint="eastAsia"/>
          <w:b/>
          <w:bCs/>
          <w:kern w:val="0"/>
          <w:szCs w:val="21"/>
        </w:rPr>
        <w:t>投资者</w:t>
      </w:r>
      <w:r w:rsidRPr="00362CE7">
        <w:rPr>
          <w:rFonts w:ascii="黑体" w:eastAsia="黑体" w:hAnsi="黑体" w:cs="黑体" w:hint="eastAsia"/>
          <w:b/>
          <w:bCs/>
          <w:kern w:val="0"/>
          <w:szCs w:val="21"/>
        </w:rPr>
        <w:t>甚至可能损失全部</w:t>
      </w:r>
      <w:r w:rsidR="00325E46" w:rsidRPr="00362CE7">
        <w:rPr>
          <w:rFonts w:ascii="黑体" w:eastAsia="黑体" w:hAnsi="黑体" w:cs="黑体" w:hint="eastAsia"/>
          <w:b/>
          <w:bCs/>
          <w:kern w:val="0"/>
          <w:szCs w:val="21"/>
        </w:rPr>
        <w:t>本金</w:t>
      </w:r>
      <w:r w:rsidRPr="00362CE7">
        <w:rPr>
          <w:rFonts w:ascii="黑体" w:eastAsia="黑体" w:hAnsi="黑体" w:cs="黑体" w:hint="eastAsia"/>
          <w:kern w:val="0"/>
          <w:szCs w:val="21"/>
        </w:rPr>
        <w:t>。</w:t>
      </w:r>
      <w:r w:rsidRPr="00362CE7">
        <w:rPr>
          <w:rFonts w:ascii="黑体" w:eastAsia="黑体" w:hAnsi="黑体" w:cs="黑体" w:hint="eastAsia"/>
          <w:b/>
          <w:kern w:val="0"/>
          <w:szCs w:val="21"/>
        </w:rPr>
        <w:t>投资者应充分认识投资风险，谨慎投资。</w:t>
      </w:r>
    </w:p>
    <w:p w14:paraId="2198A100" w14:textId="0EFA533C" w:rsidR="00325E46" w:rsidRPr="00362CE7" w:rsidRDefault="008E46F6" w:rsidP="007414CA">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示例：如投资者购买本理财</w:t>
      </w:r>
      <w:r w:rsidR="00325E46" w:rsidRPr="00362CE7">
        <w:rPr>
          <w:rFonts w:ascii="黑体" w:eastAsia="黑体" w:hAnsi="黑体" w:cs="黑体" w:hint="eastAsia"/>
          <w:kern w:val="0"/>
          <w:szCs w:val="21"/>
        </w:rPr>
        <w:t>产品</w:t>
      </w:r>
      <w:r w:rsidR="007414CA" w:rsidRPr="00362CE7">
        <w:rPr>
          <w:rFonts w:ascii="黑体" w:eastAsia="黑体" w:hAnsi="黑体" w:cs="黑体" w:hint="eastAsia"/>
          <w:kern w:val="0"/>
          <w:szCs w:val="21"/>
        </w:rPr>
        <w:t>，本金为10,000.00元，在理财</w:t>
      </w:r>
      <w:r w:rsidR="00325E46" w:rsidRPr="00362CE7">
        <w:rPr>
          <w:rFonts w:ascii="黑体" w:eastAsia="黑体" w:hAnsi="黑体" w:cs="黑体" w:hint="eastAsia"/>
          <w:kern w:val="0"/>
          <w:szCs w:val="21"/>
        </w:rPr>
        <w:t>产品资产</w:t>
      </w:r>
      <w:r w:rsidR="007414CA" w:rsidRPr="00362CE7">
        <w:rPr>
          <w:rFonts w:ascii="黑体" w:eastAsia="黑体" w:hAnsi="黑体" w:cs="黑体" w:hint="eastAsia"/>
          <w:kern w:val="0"/>
          <w:szCs w:val="21"/>
        </w:rPr>
        <w:t>组合项下资产全部亏损的最不利情况下，理财</w:t>
      </w:r>
      <w:r w:rsidR="00325E46" w:rsidRPr="00362CE7">
        <w:rPr>
          <w:rFonts w:ascii="黑体" w:eastAsia="黑体" w:hAnsi="黑体" w:cs="黑体" w:hint="eastAsia"/>
          <w:kern w:val="0"/>
          <w:szCs w:val="21"/>
        </w:rPr>
        <w:t>产品</w:t>
      </w:r>
      <w:r w:rsidR="007414CA" w:rsidRPr="00362CE7">
        <w:rPr>
          <w:rFonts w:ascii="黑体" w:eastAsia="黑体" w:hAnsi="黑体" w:cs="黑体" w:hint="eastAsia"/>
          <w:kern w:val="0"/>
          <w:szCs w:val="21"/>
        </w:rPr>
        <w:t>10,000.00元本金将全部损失</w:t>
      </w:r>
    </w:p>
    <w:bookmarkEnd w:id="6"/>
    <w:p w14:paraId="561AC052" w14:textId="2A633C48" w:rsidR="00A13E20" w:rsidRPr="00362CE7" w:rsidRDefault="00716AC6" w:rsidP="0043119F">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w:t>
      </w:r>
      <w:r w:rsidR="006A3381" w:rsidRPr="00362CE7">
        <w:rPr>
          <w:rFonts w:ascii="黑体" w:eastAsia="黑体" w:hAnsi="黑体" w:cs="宋体" w:hint="eastAsia"/>
          <w:kern w:val="0"/>
          <w:szCs w:val="21"/>
        </w:rPr>
        <w:t>三</w:t>
      </w:r>
      <w:r w:rsidRPr="00362CE7">
        <w:rPr>
          <w:rFonts w:ascii="黑体" w:eastAsia="黑体" w:hAnsi="黑体" w:cs="宋体" w:hint="eastAsia"/>
          <w:kern w:val="0"/>
          <w:szCs w:val="21"/>
        </w:rPr>
        <w:t>）</w:t>
      </w:r>
      <w:r w:rsidR="00A13E20" w:rsidRPr="00362CE7">
        <w:rPr>
          <w:rFonts w:ascii="黑体" w:eastAsia="黑体" w:hAnsi="黑体" w:cs="宋体" w:hint="eastAsia"/>
          <w:kern w:val="0"/>
          <w:szCs w:val="21"/>
        </w:rPr>
        <w:t>业绩比较基准</w:t>
      </w:r>
    </w:p>
    <w:p w14:paraId="3BF74861" w14:textId="77777777" w:rsidR="0059567D" w:rsidRPr="00362CE7" w:rsidRDefault="0059567D" w:rsidP="004171DB">
      <w:pPr>
        <w:autoSpaceDE w:val="0"/>
        <w:autoSpaceDN w:val="0"/>
        <w:adjustRightInd w:val="0"/>
        <w:ind w:firstLineChars="200" w:firstLine="422"/>
        <w:rPr>
          <w:rFonts w:ascii="黑体" w:eastAsia="黑体" w:hAnsi="黑体" w:cs="宋体"/>
          <w:b/>
          <w:kern w:val="0"/>
          <w:szCs w:val="21"/>
        </w:rPr>
      </w:pPr>
      <w:r w:rsidRPr="00362CE7">
        <w:rPr>
          <w:rFonts w:ascii="黑体" w:eastAsia="黑体" w:hAnsi="黑体" w:cs="宋体"/>
          <w:b/>
          <w:kern w:val="0"/>
          <w:szCs w:val="21"/>
        </w:rPr>
        <w:t>1.测算收益不等于实际收益，投资须谨慎。</w:t>
      </w:r>
    </w:p>
    <w:p w14:paraId="09F1B46F" w14:textId="77777777" w:rsidR="00CF4445" w:rsidRPr="00362CE7" w:rsidRDefault="0059567D" w:rsidP="00CF4445">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2.业绩比较基准测算依据：</w:t>
      </w:r>
    </w:p>
    <w:p w14:paraId="06B5AAA0" w14:textId="251D9807" w:rsidR="00716C16" w:rsidRPr="00362CE7" w:rsidRDefault="00716C16" w:rsidP="00716C16">
      <w:pPr>
        <w:autoSpaceDE w:val="0"/>
        <w:autoSpaceDN w:val="0"/>
        <w:adjustRightInd w:val="0"/>
        <w:ind w:firstLineChars="200" w:firstLine="420"/>
        <w:rPr>
          <w:rFonts w:ascii="黑体" w:eastAsia="黑体" w:hAnsi="黑体" w:cs="宋体"/>
          <w:color w:val="000000" w:themeColor="text1"/>
          <w:kern w:val="0"/>
          <w:szCs w:val="21"/>
        </w:rPr>
      </w:pPr>
      <w:r w:rsidRPr="00362CE7">
        <w:rPr>
          <w:rFonts w:ascii="黑体" w:eastAsia="黑体" w:hAnsi="黑体" w:cs="宋体"/>
          <w:color w:val="000000" w:themeColor="text1"/>
          <w:kern w:val="0"/>
          <w:szCs w:val="21"/>
        </w:rPr>
        <w:t>本理财产品业绩比较基准由产品管理人依据理财产品的投资范围和投资策略，基于产品性质和过往经验，并综合考虑市场环境等因素测算得出。本产品计划将100%的资金投资于各类债券、存款、货币市场工具、质押式和买断式债券回购、公募资产管理产品和非标准化债</w:t>
      </w:r>
      <w:r w:rsidRPr="00362CE7">
        <w:rPr>
          <w:rFonts w:ascii="黑体" w:eastAsia="黑体" w:hAnsi="黑体" w:cs="宋体"/>
          <w:color w:val="000000" w:themeColor="text1"/>
          <w:kern w:val="0"/>
          <w:szCs w:val="21"/>
        </w:rPr>
        <w:lastRenderedPageBreak/>
        <w:t>权资产等固定收益类资产，并适时运用骑乘策略、杠杆策略和票息策略等投资策略对投资组合进行收益增厚（投资范围详见【“三、产品投资管理”】部分）。本产品将通过灵活的资产配置策略和积极主动的投资管理，在严格控制风险的基础上，力争为投资者提供持续稳健的投资回报。参照本产品发行时的市场利率水平和投资资产的市场表现，经综合测算，本产品业绩比较基准设定为</w:t>
      </w:r>
      <w:r w:rsidRPr="00362CE7">
        <w:rPr>
          <w:rFonts w:ascii="黑体" w:eastAsia="黑体" w:hAnsi="黑体" w:cs="宋体" w:hint="eastAsia"/>
          <w:color w:val="000000" w:themeColor="text1"/>
          <w:kern w:val="0"/>
          <w:szCs w:val="21"/>
        </w:rPr>
        <w:t>【</w:t>
      </w:r>
      <w:r w:rsidRPr="00362CE7">
        <w:rPr>
          <w:rFonts w:ascii="黑体" w:eastAsia="黑体" w:hAnsi="黑体" w:cs="宋体"/>
          <w:color w:val="000000" w:themeColor="text1"/>
          <w:kern w:val="0"/>
          <w:szCs w:val="21"/>
        </w:rPr>
        <w:t>0.8%</w:t>
      </w:r>
      <w:r w:rsidRPr="00362CE7">
        <w:rPr>
          <w:rFonts w:ascii="黑体" w:eastAsia="黑体" w:hAnsi="黑体" w:cs="宋体" w:hint="eastAsia"/>
          <w:color w:val="000000" w:themeColor="text1"/>
          <w:kern w:val="0"/>
          <w:szCs w:val="21"/>
        </w:rPr>
        <w:t>】</w:t>
      </w:r>
    </w:p>
    <w:p w14:paraId="18A07F04" w14:textId="2D1B3FD6" w:rsidR="0059567D" w:rsidRPr="00362CE7" w:rsidRDefault="0059567D" w:rsidP="004171DB">
      <w:pPr>
        <w:autoSpaceDE w:val="0"/>
        <w:autoSpaceDN w:val="0"/>
        <w:adjustRightInd w:val="0"/>
        <w:ind w:firstLineChars="200" w:firstLine="422"/>
        <w:rPr>
          <w:rFonts w:ascii="黑体" w:eastAsia="黑体" w:hAnsi="黑体" w:cs="宋体"/>
          <w:b/>
          <w:kern w:val="0"/>
          <w:szCs w:val="21"/>
        </w:rPr>
      </w:pPr>
      <w:r w:rsidRPr="00362CE7">
        <w:rPr>
          <w:rFonts w:ascii="黑体" w:eastAsia="黑体" w:hAnsi="黑体" w:cs="宋体" w:hint="eastAsia"/>
          <w:b/>
          <w:kern w:val="0"/>
          <w:szCs w:val="21"/>
        </w:rPr>
        <w:t>业绩比较基准是产品管理人基于产品性质、投资策略、过往经验等因素对产品</w:t>
      </w:r>
      <w:r w:rsidR="00AD67F1" w:rsidRPr="00362CE7">
        <w:rPr>
          <w:rFonts w:ascii="黑体" w:eastAsia="黑体" w:hAnsi="黑体" w:cs="宋体" w:hint="eastAsia"/>
          <w:b/>
          <w:kern w:val="0"/>
          <w:szCs w:val="21"/>
        </w:rPr>
        <w:t>测算得到的年化收益</w:t>
      </w:r>
      <w:r w:rsidRPr="00362CE7">
        <w:rPr>
          <w:rFonts w:ascii="黑体" w:eastAsia="黑体" w:hAnsi="黑体" w:cs="宋体" w:hint="eastAsia"/>
          <w:b/>
          <w:kern w:val="0"/>
          <w:szCs w:val="21"/>
        </w:rPr>
        <w:t>，不代表产品的未来表现和实际收益，不构成对产品</w:t>
      </w:r>
      <w:r w:rsidR="00AD67F1" w:rsidRPr="00362CE7">
        <w:rPr>
          <w:rFonts w:ascii="黑体" w:eastAsia="黑体" w:hAnsi="黑体" w:cs="宋体" w:hint="eastAsia"/>
          <w:b/>
          <w:kern w:val="0"/>
          <w:szCs w:val="21"/>
        </w:rPr>
        <w:t>本金的保证和</w:t>
      </w:r>
      <w:r w:rsidRPr="00362CE7">
        <w:rPr>
          <w:rFonts w:ascii="黑体" w:eastAsia="黑体" w:hAnsi="黑体" w:cs="宋体" w:hint="eastAsia"/>
          <w:b/>
          <w:kern w:val="0"/>
          <w:szCs w:val="21"/>
        </w:rPr>
        <w:t>收益的承诺。产品最终收益以产品到期或赎回或提前终止或提前赎回时实际实现收益为准。</w:t>
      </w:r>
    </w:p>
    <w:p w14:paraId="3C0C6C66" w14:textId="603584C2" w:rsidR="00A13E20" w:rsidRPr="00362CE7" w:rsidRDefault="0059567D" w:rsidP="004171DB">
      <w:pPr>
        <w:autoSpaceDE w:val="0"/>
        <w:autoSpaceDN w:val="0"/>
        <w:adjustRightInd w:val="0"/>
        <w:ind w:firstLineChars="200" w:firstLine="420"/>
        <w:rPr>
          <w:rFonts w:ascii="黑体" w:eastAsia="黑体" w:hAnsi="黑体" w:cs="宋体"/>
          <w:kern w:val="0"/>
          <w:szCs w:val="21"/>
        </w:rPr>
      </w:pPr>
      <w:r w:rsidRPr="00362CE7">
        <w:rPr>
          <w:rFonts w:ascii="黑体" w:eastAsia="黑体" w:hAnsi="黑体" w:cs="宋体" w:hint="eastAsia"/>
          <w:kern w:val="0"/>
          <w:szCs w:val="21"/>
        </w:rPr>
        <w:t>3、当监管政策、市场环境、产品性质等因素发生变化，导致理财产品的业绩比较基准必须进行调整时，产品管理人将通过机构官方渠道、行业统一信息披露渠道或与投资者约定的其他渠道公布调整情况和调整原因。</w:t>
      </w:r>
    </w:p>
    <w:p w14:paraId="6E0679F1" w14:textId="17407026" w:rsidR="00716AC6" w:rsidRPr="00362CE7" w:rsidRDefault="00493C36" w:rsidP="0043119F">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（四）</w:t>
      </w:r>
      <w:r w:rsidR="00716AC6" w:rsidRPr="00362CE7">
        <w:rPr>
          <w:rFonts w:ascii="黑体" w:eastAsia="黑体" w:hAnsi="黑体" w:cs="宋体" w:hint="eastAsia"/>
          <w:kern w:val="0"/>
          <w:szCs w:val="21"/>
        </w:rPr>
        <w:t>税收</w:t>
      </w:r>
    </w:p>
    <w:p w14:paraId="2BCE01CF" w14:textId="42FDD204" w:rsidR="00F0477B" w:rsidRPr="00362CE7" w:rsidRDefault="00F0477B" w:rsidP="0043119F">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1、</w:t>
      </w:r>
      <w:r w:rsidR="000E7012" w:rsidRPr="00362CE7">
        <w:rPr>
          <w:rFonts w:ascii="黑体" w:eastAsia="黑体" w:hAnsi="黑体" w:cs="黑体" w:hint="eastAsia"/>
          <w:b/>
          <w:kern w:val="0"/>
          <w:szCs w:val="21"/>
        </w:rPr>
        <w:t>根据财政部、国家税务总局相关税收监管政策的规定，理财产品运营过程中发生的增值税应税行为，</w:t>
      </w:r>
      <w:r w:rsidR="002D4315" w:rsidRPr="00362CE7">
        <w:rPr>
          <w:rFonts w:ascii="黑体" w:eastAsia="黑体" w:hAnsi="黑体" w:cs="黑体"/>
          <w:b/>
          <w:kern w:val="0"/>
          <w:szCs w:val="21"/>
        </w:rPr>
        <w:t>以</w:t>
      </w:r>
      <w:r w:rsidR="003A79F4" w:rsidRPr="00362CE7">
        <w:rPr>
          <w:rFonts w:ascii="黑体" w:eastAsia="黑体" w:hAnsi="黑体" w:cs="黑体" w:hint="eastAsia"/>
          <w:b/>
          <w:kern w:val="0"/>
          <w:szCs w:val="21"/>
        </w:rPr>
        <w:t>理财产品</w:t>
      </w:r>
      <w:r w:rsidR="000E7012" w:rsidRPr="00362CE7">
        <w:rPr>
          <w:rFonts w:ascii="黑体" w:eastAsia="黑体" w:hAnsi="黑体" w:cs="黑体" w:hint="eastAsia"/>
          <w:b/>
          <w:kern w:val="0"/>
          <w:szCs w:val="21"/>
        </w:rPr>
        <w:t>为增值税纳税</w:t>
      </w:r>
      <w:r w:rsidR="003A79F4" w:rsidRPr="00362CE7">
        <w:rPr>
          <w:rFonts w:ascii="黑体" w:eastAsia="黑体" w:hAnsi="黑体" w:cs="黑体" w:hint="eastAsia"/>
          <w:b/>
          <w:kern w:val="0"/>
          <w:szCs w:val="21"/>
        </w:rPr>
        <w:t>主体，</w:t>
      </w:r>
      <w:r w:rsidR="000E7012" w:rsidRPr="00362CE7">
        <w:rPr>
          <w:rFonts w:ascii="黑体" w:eastAsia="黑体" w:hAnsi="黑体" w:cs="黑体" w:hint="eastAsia"/>
          <w:b/>
          <w:kern w:val="0"/>
          <w:szCs w:val="21"/>
        </w:rPr>
        <w:t>计算并缴纳增值税及附加税费。</w:t>
      </w:r>
      <w:r w:rsidR="000853EA" w:rsidRPr="00362CE7">
        <w:rPr>
          <w:rFonts w:ascii="黑体" w:eastAsia="黑体" w:hAnsi="黑体" w:cs="黑体" w:hint="eastAsia"/>
          <w:b/>
          <w:kern w:val="0"/>
          <w:szCs w:val="21"/>
        </w:rPr>
        <w:t>产品</w:t>
      </w:r>
      <w:r w:rsidR="000853EA" w:rsidRPr="00362CE7">
        <w:rPr>
          <w:rFonts w:ascii="黑体" w:eastAsia="黑体" w:hAnsi="黑体" w:cs="黑体"/>
          <w:b/>
          <w:kern w:val="0"/>
          <w:szCs w:val="21"/>
        </w:rPr>
        <w:t>管理人</w:t>
      </w:r>
      <w:r w:rsidR="00EB61F5" w:rsidRPr="00362CE7">
        <w:rPr>
          <w:rFonts w:ascii="黑体" w:eastAsia="黑体" w:hAnsi="黑体" w:cs="黑体"/>
          <w:b/>
          <w:kern w:val="0"/>
          <w:szCs w:val="21"/>
        </w:rPr>
        <w:t>将按照相关规定计算应缴纳的税费，</w:t>
      </w:r>
      <w:r w:rsidR="00EB61F5" w:rsidRPr="00362CE7">
        <w:rPr>
          <w:rFonts w:ascii="黑体" w:eastAsia="黑体" w:hAnsi="黑体" w:cs="黑体" w:hint="eastAsia"/>
          <w:b/>
          <w:kern w:val="0"/>
          <w:szCs w:val="21"/>
        </w:rPr>
        <w:t>并</w:t>
      </w:r>
      <w:r w:rsidR="00EB61F5" w:rsidRPr="00362CE7">
        <w:rPr>
          <w:rFonts w:ascii="黑体" w:eastAsia="黑体" w:hAnsi="黑体" w:cs="黑体"/>
          <w:b/>
          <w:kern w:val="0"/>
          <w:szCs w:val="21"/>
        </w:rPr>
        <w:t>从本产品财产中</w:t>
      </w:r>
      <w:r w:rsidR="00BE1648" w:rsidRPr="00362CE7">
        <w:rPr>
          <w:rFonts w:ascii="黑体" w:eastAsia="黑体" w:hAnsi="黑体" w:cs="黑体" w:hint="eastAsia"/>
          <w:b/>
          <w:kern w:val="0"/>
          <w:szCs w:val="21"/>
        </w:rPr>
        <w:t>扣除</w:t>
      </w:r>
      <w:r w:rsidR="00EB61F5" w:rsidRPr="00362CE7">
        <w:rPr>
          <w:rFonts w:ascii="黑体" w:eastAsia="黑体" w:hAnsi="黑体" w:cs="黑体"/>
          <w:b/>
          <w:kern w:val="0"/>
          <w:szCs w:val="21"/>
        </w:rPr>
        <w:t>。</w:t>
      </w:r>
    </w:p>
    <w:p w14:paraId="09464649" w14:textId="7AE855C3" w:rsidR="00F0477B" w:rsidRPr="00362CE7" w:rsidRDefault="00F0477B"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2</w:t>
      </w:r>
      <w:r w:rsidRPr="00362CE7">
        <w:rPr>
          <w:rFonts w:ascii="黑体" w:eastAsia="黑体" w:hAnsi="黑体" w:cs="黑体" w:hint="eastAsia"/>
          <w:kern w:val="0"/>
          <w:szCs w:val="21"/>
        </w:rPr>
        <w:t>、除法律法规</w:t>
      </w:r>
      <w:r w:rsidRPr="00362CE7">
        <w:rPr>
          <w:rFonts w:ascii="黑体" w:eastAsia="黑体" w:hAnsi="黑体" w:cs="黑体"/>
          <w:kern w:val="0"/>
          <w:szCs w:val="21"/>
        </w:rPr>
        <w:t>特别要求外，投资者应缴纳的</w:t>
      </w:r>
      <w:r w:rsidR="00B964FF" w:rsidRPr="00362CE7">
        <w:rPr>
          <w:rFonts w:ascii="黑体" w:eastAsia="黑体" w:hAnsi="黑体" w:cs="黑体" w:hint="eastAsia"/>
          <w:kern w:val="0"/>
          <w:szCs w:val="21"/>
        </w:rPr>
        <w:t>税费</w:t>
      </w:r>
      <w:r w:rsidRPr="00362CE7">
        <w:rPr>
          <w:rFonts w:ascii="黑体" w:eastAsia="黑体" w:hAnsi="黑体" w:cs="黑体"/>
          <w:kern w:val="0"/>
          <w:szCs w:val="21"/>
        </w:rPr>
        <w:t>由投资者</w:t>
      </w:r>
      <w:r w:rsidR="00EB61F5" w:rsidRPr="00362CE7">
        <w:rPr>
          <w:rFonts w:ascii="黑体" w:eastAsia="黑体" w:hAnsi="黑体" w:cs="黑体" w:hint="eastAsia"/>
          <w:kern w:val="0"/>
          <w:szCs w:val="21"/>
        </w:rPr>
        <w:t>自行缴纳</w:t>
      </w:r>
      <w:r w:rsidRPr="00362CE7">
        <w:rPr>
          <w:rFonts w:ascii="黑体" w:eastAsia="黑体" w:hAnsi="黑体" w:cs="黑体"/>
          <w:kern w:val="0"/>
          <w:szCs w:val="21"/>
        </w:rPr>
        <w:t>，</w:t>
      </w:r>
      <w:r w:rsidR="000853EA" w:rsidRPr="00362CE7">
        <w:rPr>
          <w:rFonts w:ascii="黑体" w:eastAsia="黑体" w:hAnsi="黑体" w:cs="黑体" w:hint="eastAsia"/>
          <w:kern w:val="0"/>
          <w:szCs w:val="21"/>
        </w:rPr>
        <w:t>产品管理人</w:t>
      </w:r>
      <w:r w:rsidRPr="00362CE7">
        <w:rPr>
          <w:rFonts w:ascii="黑体" w:eastAsia="黑体" w:hAnsi="黑体" w:cs="黑体"/>
          <w:kern w:val="0"/>
          <w:szCs w:val="21"/>
        </w:rPr>
        <w:t>不承担代扣代缴或纳税的义务。</w:t>
      </w:r>
    </w:p>
    <w:p w14:paraId="09810798" w14:textId="075FF395" w:rsidR="000E7012" w:rsidRPr="00362CE7" w:rsidRDefault="00F0477B"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3</w:t>
      </w:r>
      <w:r w:rsidRPr="00362CE7">
        <w:rPr>
          <w:rFonts w:ascii="黑体" w:eastAsia="黑体" w:hAnsi="黑体" w:cs="黑体" w:hint="eastAsia"/>
          <w:kern w:val="0"/>
          <w:szCs w:val="21"/>
        </w:rPr>
        <w:t>、</w:t>
      </w:r>
      <w:r w:rsidR="003A79F4" w:rsidRPr="00362CE7">
        <w:rPr>
          <w:rFonts w:ascii="黑体" w:eastAsia="黑体" w:hAnsi="黑体" w:cs="黑体" w:hint="eastAsia"/>
          <w:kern w:val="0"/>
          <w:szCs w:val="21"/>
        </w:rPr>
        <w:t>后续国家法律法规如对相关税收政策进行调整，</w:t>
      </w:r>
      <w:r w:rsidR="000853EA" w:rsidRPr="00362CE7">
        <w:rPr>
          <w:rFonts w:ascii="黑体" w:eastAsia="黑体" w:hAnsi="黑体" w:cs="黑体" w:hint="eastAsia"/>
          <w:kern w:val="0"/>
          <w:szCs w:val="21"/>
        </w:rPr>
        <w:t>产品管理人</w:t>
      </w:r>
      <w:r w:rsidR="000E7012" w:rsidRPr="00362CE7">
        <w:rPr>
          <w:rFonts w:ascii="黑体" w:eastAsia="黑体" w:hAnsi="黑体" w:cs="黑体" w:hint="eastAsia"/>
          <w:kern w:val="0"/>
          <w:szCs w:val="21"/>
        </w:rPr>
        <w:t>有权根据税收政策相应调整理财产品运营过程中发生的税费</w:t>
      </w:r>
      <w:r w:rsidR="00566C72" w:rsidRPr="00362CE7">
        <w:rPr>
          <w:rFonts w:ascii="黑体" w:eastAsia="黑体" w:hAnsi="黑体" w:cs="黑体" w:hint="eastAsia"/>
          <w:kern w:val="0"/>
          <w:szCs w:val="21"/>
        </w:rPr>
        <w:t>计算及</w:t>
      </w:r>
      <w:r w:rsidR="00566C72" w:rsidRPr="00362CE7">
        <w:rPr>
          <w:rFonts w:ascii="黑体" w:eastAsia="黑体" w:hAnsi="黑体" w:cs="黑体"/>
          <w:kern w:val="0"/>
          <w:szCs w:val="21"/>
        </w:rPr>
        <w:t>缴纳</w:t>
      </w:r>
      <w:r w:rsidR="000E7012" w:rsidRPr="00362CE7">
        <w:rPr>
          <w:rFonts w:ascii="黑体" w:eastAsia="黑体" w:hAnsi="黑体" w:cs="黑体" w:hint="eastAsia"/>
          <w:kern w:val="0"/>
          <w:szCs w:val="21"/>
        </w:rPr>
        <w:t>方式。</w:t>
      </w:r>
    </w:p>
    <w:p w14:paraId="2A4E6FB7" w14:textId="77777777" w:rsidR="002C4EAE" w:rsidRPr="00362CE7" w:rsidRDefault="002C4EAE" w:rsidP="00DD2406">
      <w:pPr>
        <w:autoSpaceDE w:val="0"/>
        <w:autoSpaceDN w:val="0"/>
        <w:adjustRightInd w:val="0"/>
        <w:ind w:firstLineChars="236" w:firstLine="496"/>
        <w:jc w:val="left"/>
        <w:rPr>
          <w:rFonts w:ascii="黑体" w:eastAsia="黑体" w:hAnsi="黑体" w:cs="黑体"/>
          <w:kern w:val="0"/>
          <w:szCs w:val="21"/>
        </w:rPr>
      </w:pPr>
    </w:p>
    <w:p w14:paraId="3A826B67" w14:textId="07105B59" w:rsidR="0066564A" w:rsidRPr="00362CE7" w:rsidRDefault="00B23C1D" w:rsidP="0066564A">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七</w:t>
      </w:r>
      <w:r w:rsidR="00716AC6" w:rsidRPr="00362CE7">
        <w:rPr>
          <w:rFonts w:ascii="黑体" w:eastAsia="黑体" w:hAnsi="黑体" w:cs="黑体" w:hint="eastAsia"/>
          <w:b/>
          <w:kern w:val="0"/>
          <w:szCs w:val="21"/>
        </w:rPr>
        <w:t>、</w:t>
      </w:r>
      <w:r w:rsidR="0066564A" w:rsidRPr="00362CE7">
        <w:rPr>
          <w:rFonts w:ascii="黑体" w:eastAsia="黑体" w:hAnsi="黑体" w:cs="黑体" w:hint="eastAsia"/>
          <w:b/>
          <w:kern w:val="0"/>
          <w:szCs w:val="21"/>
        </w:rPr>
        <w:t>理财产品到期与终止</w:t>
      </w:r>
    </w:p>
    <w:p w14:paraId="385F3273" w14:textId="77777777" w:rsidR="0066564A" w:rsidRPr="00362CE7" w:rsidRDefault="0066564A"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1</w:t>
      </w:r>
      <w:r w:rsidRPr="00362CE7">
        <w:rPr>
          <w:rFonts w:ascii="黑体" w:eastAsia="黑体" w:hAnsi="黑体" w:cs="黑体" w:hint="eastAsia"/>
          <w:b/>
          <w:kern w:val="0"/>
          <w:szCs w:val="21"/>
        </w:rPr>
        <w:t>、正常兑付</w:t>
      </w:r>
    </w:p>
    <w:p w14:paraId="371F2C10" w14:textId="290F0109" w:rsidR="0066564A" w:rsidRPr="00362CE7" w:rsidRDefault="00EE3992" w:rsidP="00F45D2E">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投资者</w:t>
      </w:r>
      <w:r w:rsidR="0066564A" w:rsidRPr="00362CE7">
        <w:rPr>
          <w:rFonts w:ascii="黑体" w:eastAsia="黑体" w:hAnsi="黑体" w:cs="黑体" w:hint="eastAsia"/>
          <w:b/>
          <w:kern w:val="0"/>
          <w:szCs w:val="21"/>
        </w:rPr>
        <w:t>持有产品至产品到期日，</w:t>
      </w:r>
      <w:r w:rsidRPr="00362CE7">
        <w:rPr>
          <w:rFonts w:ascii="黑体" w:eastAsia="黑体" w:hAnsi="黑体" w:cs="黑体" w:hint="eastAsia"/>
          <w:b/>
          <w:kern w:val="0"/>
          <w:szCs w:val="21"/>
        </w:rPr>
        <w:t>投资者</w:t>
      </w:r>
      <w:r w:rsidR="0066564A" w:rsidRPr="00362CE7">
        <w:rPr>
          <w:rFonts w:ascii="黑体" w:eastAsia="黑体" w:hAnsi="黑体" w:cs="黑体" w:hint="eastAsia"/>
          <w:b/>
          <w:kern w:val="0"/>
          <w:szCs w:val="21"/>
        </w:rPr>
        <w:t>的理财</w:t>
      </w:r>
      <w:r w:rsidR="00BE1648" w:rsidRPr="00362CE7">
        <w:rPr>
          <w:rFonts w:ascii="黑体" w:eastAsia="黑体" w:hAnsi="黑体" w:cs="黑体" w:hint="eastAsia"/>
          <w:b/>
          <w:kern w:val="0"/>
          <w:szCs w:val="21"/>
        </w:rPr>
        <w:t>产品投资</w:t>
      </w:r>
      <w:r w:rsidR="0066564A" w:rsidRPr="00362CE7">
        <w:rPr>
          <w:rFonts w:ascii="黑体" w:eastAsia="黑体" w:hAnsi="黑体" w:cs="黑体" w:hint="eastAsia"/>
          <w:b/>
          <w:kern w:val="0"/>
          <w:szCs w:val="21"/>
        </w:rPr>
        <w:t>本金（如有）</w:t>
      </w:r>
      <w:r w:rsidR="00BE1648" w:rsidRPr="00362CE7">
        <w:rPr>
          <w:rFonts w:ascii="黑体" w:eastAsia="黑体" w:hAnsi="黑体" w:cs="黑体" w:hint="eastAsia"/>
          <w:b/>
          <w:kern w:val="0"/>
          <w:szCs w:val="21"/>
        </w:rPr>
        <w:t>和收益（如有）</w:t>
      </w:r>
      <w:r w:rsidR="0066564A" w:rsidRPr="00362CE7">
        <w:rPr>
          <w:rFonts w:ascii="黑体" w:eastAsia="黑体" w:hAnsi="黑体" w:cs="黑体" w:hint="eastAsia"/>
          <w:b/>
          <w:kern w:val="0"/>
          <w:szCs w:val="21"/>
        </w:rPr>
        <w:t>在产品到期后一次性支付。</w:t>
      </w:r>
      <w:r w:rsidRPr="00362CE7">
        <w:rPr>
          <w:rFonts w:ascii="黑体" w:eastAsia="黑体" w:hAnsi="黑体" w:cs="黑体" w:hint="eastAsia"/>
          <w:b/>
          <w:kern w:val="0"/>
          <w:szCs w:val="21"/>
        </w:rPr>
        <w:t>投资者</w:t>
      </w:r>
      <w:r w:rsidR="00580CBF" w:rsidRPr="00362CE7">
        <w:rPr>
          <w:rFonts w:ascii="黑体" w:eastAsia="黑体" w:hAnsi="黑体" w:cs="黑体" w:hint="eastAsia"/>
          <w:b/>
          <w:kern w:val="0"/>
          <w:szCs w:val="21"/>
        </w:rPr>
        <w:t>理财</w:t>
      </w:r>
      <w:r w:rsidR="00BE1648" w:rsidRPr="00362CE7">
        <w:rPr>
          <w:rFonts w:ascii="黑体" w:eastAsia="黑体" w:hAnsi="黑体" w:cs="黑体" w:hint="eastAsia"/>
          <w:b/>
          <w:kern w:val="0"/>
          <w:szCs w:val="21"/>
        </w:rPr>
        <w:t>产品投资</w:t>
      </w:r>
      <w:r w:rsidR="00580CBF" w:rsidRPr="00362CE7">
        <w:rPr>
          <w:rFonts w:ascii="黑体" w:eastAsia="黑体" w:hAnsi="黑体" w:cs="黑体" w:hint="eastAsia"/>
          <w:b/>
          <w:kern w:val="0"/>
          <w:szCs w:val="21"/>
        </w:rPr>
        <w:t>本金</w:t>
      </w:r>
      <w:r w:rsidR="00BA3E95" w:rsidRPr="00362CE7">
        <w:rPr>
          <w:rFonts w:ascii="黑体" w:eastAsia="黑体" w:hAnsi="黑体" w:cs="黑体" w:hint="eastAsia"/>
          <w:b/>
          <w:kern w:val="0"/>
          <w:szCs w:val="21"/>
        </w:rPr>
        <w:t>（如有）</w:t>
      </w:r>
      <w:r w:rsidR="00580CBF" w:rsidRPr="00362CE7">
        <w:rPr>
          <w:rFonts w:ascii="黑体" w:eastAsia="黑体" w:hAnsi="黑体" w:cs="黑体" w:hint="eastAsia"/>
          <w:b/>
          <w:kern w:val="0"/>
          <w:szCs w:val="21"/>
        </w:rPr>
        <w:t>和收益（如有）将</w:t>
      </w:r>
      <w:r w:rsidR="0066564A" w:rsidRPr="00362CE7">
        <w:rPr>
          <w:rFonts w:ascii="黑体" w:eastAsia="黑体" w:hAnsi="黑体" w:cs="黑体" w:hint="eastAsia"/>
          <w:b/>
          <w:kern w:val="0"/>
          <w:szCs w:val="21"/>
        </w:rPr>
        <w:t>于产品到期日后</w:t>
      </w:r>
      <w:r w:rsidR="00750677" w:rsidRPr="00362CE7">
        <w:rPr>
          <w:rFonts w:ascii="黑体" w:eastAsia="黑体" w:hAnsi="黑体" w:cs="黑体"/>
          <w:b/>
          <w:kern w:val="0"/>
          <w:szCs w:val="21"/>
        </w:rPr>
        <w:t>3</w:t>
      </w:r>
      <w:r w:rsidR="00750677" w:rsidRPr="00362CE7">
        <w:rPr>
          <w:rFonts w:ascii="黑体" w:eastAsia="黑体" w:hAnsi="黑体" w:cs="黑体" w:hint="eastAsia"/>
          <w:b/>
          <w:kern w:val="0"/>
          <w:szCs w:val="21"/>
        </w:rPr>
        <w:t>个</w:t>
      </w:r>
      <w:r w:rsidR="0066564A" w:rsidRPr="00362CE7">
        <w:rPr>
          <w:rFonts w:ascii="黑体" w:eastAsia="黑体" w:hAnsi="黑体" w:cs="黑体" w:hint="eastAsia"/>
          <w:b/>
          <w:kern w:val="0"/>
          <w:szCs w:val="21"/>
        </w:rPr>
        <w:t>工作日内划转至</w:t>
      </w:r>
      <w:r w:rsidRPr="00362CE7">
        <w:rPr>
          <w:rFonts w:ascii="黑体" w:eastAsia="黑体" w:hAnsi="黑体" w:cs="黑体" w:hint="eastAsia"/>
          <w:b/>
          <w:kern w:val="0"/>
          <w:szCs w:val="21"/>
        </w:rPr>
        <w:t>投资者</w:t>
      </w:r>
      <w:r w:rsidR="0066564A" w:rsidRPr="00362CE7">
        <w:rPr>
          <w:rFonts w:ascii="黑体" w:eastAsia="黑体" w:hAnsi="黑体" w:cs="黑体" w:hint="eastAsia"/>
          <w:b/>
          <w:kern w:val="0"/>
          <w:szCs w:val="21"/>
        </w:rPr>
        <w:t>指定账户，如遇法定节假日</w:t>
      </w:r>
      <w:r w:rsidR="00BE1648" w:rsidRPr="00362CE7">
        <w:rPr>
          <w:rFonts w:ascii="黑体" w:eastAsia="黑体" w:hAnsi="黑体" w:cs="黑体" w:hint="eastAsia"/>
          <w:b/>
          <w:kern w:val="0"/>
          <w:szCs w:val="21"/>
        </w:rPr>
        <w:t>或</w:t>
      </w:r>
      <w:r w:rsidR="0066564A" w:rsidRPr="00362CE7">
        <w:rPr>
          <w:rFonts w:ascii="黑体" w:eastAsia="黑体" w:hAnsi="黑体" w:cs="黑体" w:hint="eastAsia"/>
          <w:b/>
          <w:kern w:val="0"/>
          <w:szCs w:val="21"/>
        </w:rPr>
        <w:t>公休日则顺延。产品到期日至资金实际到账日之间，</w:t>
      </w:r>
      <w:r w:rsidRPr="00362CE7">
        <w:rPr>
          <w:rFonts w:ascii="黑体" w:eastAsia="黑体" w:hAnsi="黑体" w:cs="黑体" w:hint="eastAsia"/>
          <w:b/>
          <w:kern w:val="0"/>
          <w:szCs w:val="21"/>
        </w:rPr>
        <w:t>投资者</w:t>
      </w:r>
      <w:r w:rsidR="0066564A" w:rsidRPr="00362CE7">
        <w:rPr>
          <w:rFonts w:ascii="黑体" w:eastAsia="黑体" w:hAnsi="黑体" w:cs="黑体" w:hint="eastAsia"/>
          <w:b/>
          <w:kern w:val="0"/>
          <w:szCs w:val="21"/>
        </w:rPr>
        <w:t>资金不计息。</w:t>
      </w:r>
    </w:p>
    <w:p w14:paraId="41EA23D3" w14:textId="77777777" w:rsidR="0066564A" w:rsidRPr="00362CE7" w:rsidRDefault="0066564A" w:rsidP="0043119F">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b/>
          <w:kern w:val="0"/>
          <w:szCs w:val="21"/>
        </w:rPr>
        <w:t>2、提前终止</w:t>
      </w:r>
    </w:p>
    <w:p w14:paraId="4E6D3077" w14:textId="12966DFD" w:rsidR="0066564A" w:rsidRPr="00362CE7" w:rsidRDefault="0066564A" w:rsidP="0043119F">
      <w:pPr>
        <w:autoSpaceDE w:val="0"/>
        <w:autoSpaceDN w:val="0"/>
        <w:adjustRightInd w:val="0"/>
        <w:ind w:firstLineChars="200" w:firstLine="422"/>
        <w:jc w:val="left"/>
        <w:rPr>
          <w:rFonts w:ascii="黑体" w:eastAsia="黑体" w:hAnsi="黑体" w:cs="黑体"/>
          <w:b/>
          <w:kern w:val="0"/>
          <w:szCs w:val="21"/>
        </w:rPr>
      </w:pPr>
      <w:r w:rsidRPr="00362CE7">
        <w:rPr>
          <w:rFonts w:ascii="黑体" w:eastAsia="黑体" w:hAnsi="黑体" w:cs="黑体" w:hint="eastAsia"/>
          <w:b/>
          <w:kern w:val="0"/>
          <w:szCs w:val="21"/>
        </w:rPr>
        <w:t>在本产品存续期内，如遇包括但不限于国家金融政策</w:t>
      </w:r>
      <w:r w:rsidR="00BE1648" w:rsidRPr="00362CE7">
        <w:rPr>
          <w:rFonts w:ascii="黑体" w:eastAsia="黑体" w:hAnsi="黑体" w:cs="黑体" w:hint="eastAsia"/>
          <w:b/>
          <w:kern w:val="0"/>
          <w:szCs w:val="21"/>
        </w:rPr>
        <w:t>发生</w:t>
      </w:r>
      <w:r w:rsidRPr="00362CE7">
        <w:rPr>
          <w:rFonts w:ascii="黑体" w:eastAsia="黑体" w:hAnsi="黑体" w:cs="黑体" w:hint="eastAsia"/>
          <w:b/>
          <w:kern w:val="0"/>
          <w:szCs w:val="21"/>
        </w:rPr>
        <w:t>重大调整、金融市场发生重大波动、</w:t>
      </w:r>
      <w:r w:rsidRPr="00362CE7">
        <w:rPr>
          <w:rFonts w:ascii="黑体" w:eastAsia="黑体" w:hAnsi="黑体" w:cs="黑体"/>
          <w:b/>
          <w:kern w:val="0"/>
          <w:szCs w:val="21"/>
        </w:rPr>
        <w:t>不可抗力</w:t>
      </w:r>
      <w:r w:rsidRPr="00362CE7">
        <w:rPr>
          <w:rFonts w:ascii="黑体" w:eastAsia="黑体" w:hAnsi="黑体" w:cs="黑体" w:hint="eastAsia"/>
          <w:b/>
          <w:kern w:val="0"/>
          <w:szCs w:val="21"/>
        </w:rPr>
        <w:t>或产品管理人认为需要提前终止产品的其他情况，产品管理人有权提前终止产品，并至少于提前终止日前</w:t>
      </w:r>
      <w:r w:rsidR="00750677" w:rsidRPr="00362CE7">
        <w:rPr>
          <w:rFonts w:ascii="黑体" w:eastAsia="黑体" w:hAnsi="黑体" w:cs="黑体"/>
          <w:b/>
          <w:kern w:val="0"/>
          <w:szCs w:val="21"/>
        </w:rPr>
        <w:t>3</w:t>
      </w:r>
      <w:r w:rsidR="00750677" w:rsidRPr="00362CE7">
        <w:rPr>
          <w:rFonts w:ascii="黑体" w:eastAsia="黑体" w:hAnsi="黑体" w:cs="黑体" w:hint="eastAsia"/>
          <w:b/>
          <w:kern w:val="0"/>
          <w:szCs w:val="21"/>
        </w:rPr>
        <w:t>个</w:t>
      </w:r>
      <w:r w:rsidRPr="00362CE7">
        <w:rPr>
          <w:rFonts w:ascii="黑体" w:eastAsia="黑体" w:hAnsi="黑体" w:cs="黑体" w:hint="eastAsia"/>
          <w:b/>
          <w:kern w:val="0"/>
          <w:szCs w:val="21"/>
        </w:rPr>
        <w:t>工作日进行公告，相关兑付</w:t>
      </w:r>
      <w:r w:rsidRPr="00362CE7">
        <w:rPr>
          <w:rFonts w:ascii="黑体" w:eastAsia="黑体" w:hAnsi="黑体" w:cs="黑体"/>
          <w:b/>
          <w:kern w:val="0"/>
          <w:szCs w:val="21"/>
        </w:rPr>
        <w:t>安排规则</w:t>
      </w:r>
      <w:r w:rsidRPr="00362CE7">
        <w:rPr>
          <w:rFonts w:ascii="黑体" w:eastAsia="黑体" w:hAnsi="黑体" w:cs="黑体" w:hint="eastAsia"/>
          <w:b/>
          <w:kern w:val="0"/>
          <w:szCs w:val="21"/>
        </w:rPr>
        <w:t>将在</w:t>
      </w:r>
      <w:r w:rsidRPr="00362CE7">
        <w:rPr>
          <w:rFonts w:ascii="黑体" w:eastAsia="黑体" w:hAnsi="黑体" w:cs="黑体"/>
          <w:b/>
          <w:kern w:val="0"/>
          <w:szCs w:val="21"/>
        </w:rPr>
        <w:t>公告</w:t>
      </w:r>
      <w:r w:rsidRPr="00362CE7">
        <w:rPr>
          <w:rFonts w:ascii="黑体" w:eastAsia="黑体" w:hAnsi="黑体" w:cs="黑体" w:hint="eastAsia"/>
          <w:b/>
          <w:kern w:val="0"/>
          <w:szCs w:val="21"/>
        </w:rPr>
        <w:t>中</w:t>
      </w:r>
      <w:r w:rsidRPr="00362CE7">
        <w:rPr>
          <w:rFonts w:ascii="黑体" w:eastAsia="黑体" w:hAnsi="黑体" w:cs="黑体"/>
          <w:b/>
          <w:kern w:val="0"/>
          <w:szCs w:val="21"/>
        </w:rPr>
        <w:t>披露。</w:t>
      </w:r>
    </w:p>
    <w:p w14:paraId="4DE924C3" w14:textId="77777777" w:rsidR="0066564A" w:rsidRPr="00362CE7" w:rsidRDefault="0066564A" w:rsidP="00F45D2E">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3、其他情况</w:t>
      </w:r>
    </w:p>
    <w:p w14:paraId="074D976D" w14:textId="1836EFBB" w:rsidR="00EB13C3" w:rsidRPr="00362CE7" w:rsidRDefault="0066564A"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如果发生</w:t>
      </w:r>
      <w:r w:rsidR="00875A16" w:rsidRPr="00362CE7">
        <w:rPr>
          <w:rFonts w:ascii="黑体" w:eastAsia="黑体" w:hAnsi="黑体" w:cs="黑体" w:hint="eastAsia"/>
          <w:kern w:val="0"/>
          <w:szCs w:val="21"/>
        </w:rPr>
        <w:t>国家金融政策</w:t>
      </w:r>
      <w:r w:rsidR="00BE1648" w:rsidRPr="00362CE7">
        <w:rPr>
          <w:rFonts w:ascii="黑体" w:eastAsia="黑体" w:hAnsi="黑体" w:cs="黑体" w:hint="eastAsia"/>
          <w:kern w:val="0"/>
          <w:szCs w:val="21"/>
        </w:rPr>
        <w:t>发生</w:t>
      </w:r>
      <w:r w:rsidR="00875A16" w:rsidRPr="00362CE7">
        <w:rPr>
          <w:rFonts w:ascii="黑体" w:eastAsia="黑体" w:hAnsi="黑体" w:cs="黑体" w:hint="eastAsia"/>
          <w:kern w:val="0"/>
          <w:szCs w:val="21"/>
        </w:rPr>
        <w:t>重大调整、</w:t>
      </w:r>
      <w:r w:rsidRPr="00362CE7">
        <w:rPr>
          <w:rFonts w:ascii="黑体" w:eastAsia="黑体" w:hAnsi="黑体" w:cs="黑体" w:hint="eastAsia"/>
          <w:kern w:val="0"/>
          <w:szCs w:val="21"/>
        </w:rPr>
        <w:t>流动性紧张、</w:t>
      </w:r>
      <w:r w:rsidRPr="00362CE7">
        <w:rPr>
          <w:rFonts w:ascii="黑体" w:eastAsia="黑体" w:hAnsi="黑体" w:cs="黑体"/>
          <w:kern w:val="0"/>
          <w:szCs w:val="21"/>
        </w:rPr>
        <w:t>市场环境变化</w:t>
      </w:r>
      <w:r w:rsidR="00875A16" w:rsidRPr="00362CE7">
        <w:rPr>
          <w:rFonts w:ascii="黑体" w:eastAsia="黑体" w:hAnsi="黑体" w:cs="黑体" w:hint="eastAsia"/>
          <w:kern w:val="0"/>
          <w:szCs w:val="21"/>
        </w:rPr>
        <w:t>或</w:t>
      </w:r>
      <w:r w:rsidR="00875A16" w:rsidRPr="00362CE7">
        <w:rPr>
          <w:rFonts w:ascii="黑体" w:eastAsia="黑体" w:hAnsi="黑体" w:cs="黑体"/>
          <w:kern w:val="0"/>
          <w:szCs w:val="21"/>
        </w:rPr>
        <w:t>不可抗力</w:t>
      </w:r>
      <w:r w:rsidRPr="00362CE7">
        <w:rPr>
          <w:rFonts w:ascii="黑体" w:eastAsia="黑体" w:hAnsi="黑体" w:cs="黑体"/>
          <w:kern w:val="0"/>
          <w:szCs w:val="21"/>
        </w:rPr>
        <w:t>等特殊</w:t>
      </w:r>
      <w:r w:rsidRPr="00362CE7">
        <w:rPr>
          <w:rFonts w:ascii="黑体" w:eastAsia="黑体" w:hAnsi="黑体" w:cs="黑体" w:hint="eastAsia"/>
          <w:kern w:val="0"/>
          <w:szCs w:val="21"/>
        </w:rPr>
        <w:t>情形，造成本产品持有的基础资产无法及时、足额变现，产品管理人可以根据实际情况选择向</w:t>
      </w:r>
      <w:r w:rsidR="00EE3992" w:rsidRPr="00362CE7">
        <w:rPr>
          <w:rFonts w:ascii="黑体" w:eastAsia="黑体" w:hAnsi="黑体" w:cs="黑体" w:hint="eastAsia"/>
          <w:kern w:val="0"/>
          <w:szCs w:val="21"/>
        </w:rPr>
        <w:t>投资者</w:t>
      </w:r>
      <w:r w:rsidRPr="00362CE7">
        <w:rPr>
          <w:rFonts w:ascii="黑体" w:eastAsia="黑体" w:hAnsi="黑体" w:cs="黑体" w:hint="eastAsia"/>
          <w:kern w:val="0"/>
          <w:szCs w:val="21"/>
        </w:rPr>
        <w:t>延迟兑付或者分次兑付，并于发生上述情形后的</w:t>
      </w:r>
      <w:r w:rsidR="00750677" w:rsidRPr="00362CE7">
        <w:rPr>
          <w:rFonts w:ascii="黑体" w:eastAsia="黑体" w:hAnsi="黑体" w:cs="黑体"/>
          <w:kern w:val="0"/>
          <w:szCs w:val="21"/>
        </w:rPr>
        <w:t>2</w:t>
      </w:r>
      <w:r w:rsidR="00750677" w:rsidRPr="00362CE7">
        <w:rPr>
          <w:rFonts w:ascii="黑体" w:eastAsia="黑体" w:hAnsi="黑体" w:cs="黑体" w:hint="eastAsia"/>
          <w:kern w:val="0"/>
          <w:szCs w:val="21"/>
        </w:rPr>
        <w:t>个</w:t>
      </w:r>
      <w:r w:rsidRPr="00362CE7">
        <w:rPr>
          <w:rFonts w:ascii="黑体" w:eastAsia="黑体" w:hAnsi="黑体" w:cs="黑体" w:hint="eastAsia"/>
          <w:kern w:val="0"/>
          <w:szCs w:val="21"/>
        </w:rPr>
        <w:t>工作日内公告兑付方案。</w:t>
      </w:r>
    </w:p>
    <w:p w14:paraId="1E208431" w14:textId="77777777" w:rsidR="002C4EAE" w:rsidRPr="00362CE7" w:rsidRDefault="002C4EAE" w:rsidP="0043119F">
      <w:pPr>
        <w:autoSpaceDE w:val="0"/>
        <w:autoSpaceDN w:val="0"/>
        <w:adjustRightInd w:val="0"/>
        <w:ind w:firstLineChars="200" w:firstLine="420"/>
        <w:jc w:val="left"/>
        <w:rPr>
          <w:rFonts w:ascii="黑体" w:eastAsia="黑体" w:hAnsi="黑体" w:cs="黑体"/>
          <w:kern w:val="0"/>
          <w:szCs w:val="21"/>
        </w:rPr>
      </w:pPr>
    </w:p>
    <w:p w14:paraId="0F5B30B9" w14:textId="247EF039" w:rsidR="00846771" w:rsidRPr="00362CE7" w:rsidRDefault="00B23C1D" w:rsidP="00846771">
      <w:pPr>
        <w:autoSpaceDE w:val="0"/>
        <w:autoSpaceDN w:val="0"/>
        <w:adjustRightInd w:val="0"/>
        <w:jc w:val="left"/>
        <w:rPr>
          <w:rFonts w:ascii="黑体" w:eastAsia="黑体" w:hAnsi="黑体" w:cs="宋体"/>
          <w:b/>
          <w:kern w:val="0"/>
          <w:szCs w:val="21"/>
        </w:rPr>
      </w:pPr>
      <w:r w:rsidRPr="00362CE7">
        <w:rPr>
          <w:rFonts w:ascii="黑体" w:eastAsia="黑体" w:hAnsi="黑体" w:cs="宋体" w:hint="eastAsia"/>
          <w:b/>
          <w:kern w:val="0"/>
          <w:szCs w:val="21"/>
        </w:rPr>
        <w:t>八</w:t>
      </w:r>
      <w:r w:rsidR="00846771" w:rsidRPr="00362CE7">
        <w:rPr>
          <w:rFonts w:ascii="黑体" w:eastAsia="黑体" w:hAnsi="黑体" w:cs="宋体" w:hint="eastAsia"/>
          <w:b/>
          <w:kern w:val="0"/>
          <w:szCs w:val="21"/>
        </w:rPr>
        <w:t>、</w:t>
      </w:r>
      <w:r w:rsidR="00BE1648" w:rsidRPr="00362CE7">
        <w:rPr>
          <w:rFonts w:ascii="黑体" w:eastAsia="黑体" w:hAnsi="黑体" w:cs="宋体" w:hint="eastAsia"/>
          <w:b/>
          <w:kern w:val="0"/>
          <w:szCs w:val="21"/>
        </w:rPr>
        <w:t>托管</w:t>
      </w:r>
      <w:r w:rsidR="00846771" w:rsidRPr="00362CE7">
        <w:rPr>
          <w:rFonts w:ascii="黑体" w:eastAsia="黑体" w:hAnsi="黑体" w:cs="宋体" w:hint="eastAsia"/>
          <w:b/>
          <w:kern w:val="0"/>
          <w:szCs w:val="21"/>
        </w:rPr>
        <w:t>机构</w:t>
      </w:r>
      <w:r w:rsidR="00BE1648" w:rsidRPr="00362CE7">
        <w:rPr>
          <w:rFonts w:ascii="黑体" w:eastAsia="黑体" w:hAnsi="黑体" w:cs="宋体" w:hint="eastAsia"/>
          <w:b/>
          <w:kern w:val="0"/>
          <w:szCs w:val="21"/>
        </w:rPr>
        <w:t>和销售机构</w:t>
      </w:r>
    </w:p>
    <w:p w14:paraId="7BB72F3A" w14:textId="1C07A048" w:rsidR="00BE1648" w:rsidRPr="00362CE7" w:rsidRDefault="00C6052C">
      <w:pPr>
        <w:autoSpaceDE w:val="0"/>
        <w:autoSpaceDN w:val="0"/>
        <w:adjustRightInd w:val="0"/>
        <w:jc w:val="left"/>
        <w:rPr>
          <w:rFonts w:ascii="黑体" w:eastAsia="黑体" w:hAnsi="黑体" w:cs="宋体"/>
          <w:bCs/>
          <w:kern w:val="0"/>
          <w:szCs w:val="21"/>
        </w:rPr>
      </w:pPr>
      <w:r w:rsidRPr="00362CE7">
        <w:rPr>
          <w:rFonts w:ascii="黑体" w:eastAsia="黑体" w:hAnsi="黑体" w:cs="宋体" w:hint="eastAsia"/>
          <w:bCs/>
          <w:kern w:val="0"/>
          <w:szCs w:val="21"/>
        </w:rPr>
        <w:t>（一）托管机构</w:t>
      </w:r>
      <w:r w:rsidR="00BE1648" w:rsidRPr="00362CE7">
        <w:rPr>
          <w:rFonts w:ascii="黑体" w:eastAsia="黑体" w:hAnsi="黑体" w:cs="宋体" w:hint="eastAsia"/>
          <w:bCs/>
          <w:kern w:val="0"/>
          <w:szCs w:val="21"/>
        </w:rPr>
        <w:t>基本信息</w:t>
      </w:r>
    </w:p>
    <w:p w14:paraId="186942BD" w14:textId="108ED141" w:rsidR="00750677" w:rsidRPr="00362CE7" w:rsidRDefault="00750677" w:rsidP="00750677">
      <w:pPr>
        <w:autoSpaceDE w:val="0"/>
        <w:autoSpaceDN w:val="0"/>
        <w:adjustRightInd w:val="0"/>
        <w:ind w:leftChars="200" w:left="420"/>
        <w:jc w:val="left"/>
        <w:rPr>
          <w:rFonts w:ascii="黑体" w:eastAsia="黑体" w:hAnsi="黑体" w:cs="宋体"/>
          <w:kern w:val="0"/>
          <w:szCs w:val="21"/>
        </w:rPr>
      </w:pPr>
      <w:r w:rsidRPr="00362CE7">
        <w:rPr>
          <w:rFonts w:ascii="黑体" w:eastAsia="黑体" w:hAnsi="黑体" w:cs="宋体" w:hint="eastAsia"/>
          <w:kern w:val="0"/>
          <w:szCs w:val="21"/>
        </w:rPr>
        <w:t>1、机构名称：宁波银行股份有限公司</w:t>
      </w:r>
    </w:p>
    <w:p w14:paraId="19321917" w14:textId="28F8ECAC" w:rsidR="00750677" w:rsidRPr="00362CE7" w:rsidRDefault="00750677" w:rsidP="00750677">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客服</w:t>
      </w:r>
      <w:r w:rsidRPr="00362CE7">
        <w:rPr>
          <w:rFonts w:ascii="黑体" w:eastAsia="黑体" w:hAnsi="黑体" w:cs="宋体"/>
          <w:bCs/>
          <w:kern w:val="0"/>
          <w:szCs w:val="21"/>
        </w:rPr>
        <w:t>热线</w:t>
      </w:r>
      <w:r w:rsidRPr="00362CE7">
        <w:rPr>
          <w:rFonts w:ascii="黑体" w:eastAsia="黑体" w:hAnsi="黑体" w:cs="宋体" w:hint="eastAsia"/>
          <w:bCs/>
          <w:kern w:val="0"/>
          <w:szCs w:val="21"/>
        </w:rPr>
        <w:t>：</w:t>
      </w:r>
      <w:r w:rsidRPr="00362CE7">
        <w:rPr>
          <w:rFonts w:ascii="黑体" w:eastAsia="黑体" w:hAnsi="黑体" w:cs="宋体"/>
          <w:bCs/>
          <w:kern w:val="0"/>
          <w:szCs w:val="21"/>
        </w:rPr>
        <w:t>95574</w:t>
      </w:r>
    </w:p>
    <w:p w14:paraId="31F94553" w14:textId="104427EF" w:rsidR="00750677" w:rsidRPr="00362CE7" w:rsidRDefault="00750677" w:rsidP="00750677">
      <w:pPr>
        <w:autoSpaceDE w:val="0"/>
        <w:autoSpaceDN w:val="0"/>
        <w:adjustRightInd w:val="0"/>
        <w:ind w:firstLineChars="350" w:firstLine="735"/>
        <w:jc w:val="left"/>
        <w:rPr>
          <w:rFonts w:ascii="黑体" w:hAnsi="黑体"/>
          <w:kern w:val="0"/>
        </w:rPr>
      </w:pPr>
      <w:r w:rsidRPr="00362CE7">
        <w:rPr>
          <w:rFonts w:ascii="黑体" w:eastAsia="黑体" w:hAnsi="黑体" w:cs="宋体" w:hint="eastAsia"/>
          <w:bCs/>
          <w:kern w:val="0"/>
          <w:szCs w:val="21"/>
        </w:rPr>
        <w:t>官方网站</w:t>
      </w:r>
      <w:r w:rsidRPr="00362CE7">
        <w:rPr>
          <w:rFonts w:ascii="黑体" w:eastAsia="黑体" w:hAnsi="黑体" w:cs="宋体"/>
          <w:bCs/>
          <w:kern w:val="0"/>
          <w:szCs w:val="21"/>
        </w:rPr>
        <w:t>：www.nbcb.com.cn</w:t>
      </w:r>
    </w:p>
    <w:p w14:paraId="07AA9A3B" w14:textId="4CD1FDD7" w:rsidR="00C6052C" w:rsidRPr="00362CE7" w:rsidRDefault="000D5DF6" w:rsidP="004171DB">
      <w:pPr>
        <w:autoSpaceDE w:val="0"/>
        <w:autoSpaceDN w:val="0"/>
        <w:adjustRightInd w:val="0"/>
        <w:ind w:leftChars="200" w:left="420"/>
        <w:jc w:val="left"/>
        <w:rPr>
          <w:rFonts w:ascii="黑体" w:eastAsia="黑体" w:hAnsi="黑体" w:cs="宋体"/>
          <w:bCs/>
          <w:kern w:val="0"/>
          <w:szCs w:val="21"/>
        </w:rPr>
      </w:pPr>
      <w:r w:rsidRPr="00362CE7">
        <w:rPr>
          <w:rFonts w:ascii="黑体" w:eastAsia="黑体" w:hAnsi="黑体" w:cs="宋体" w:hint="eastAsia"/>
          <w:bCs/>
          <w:kern w:val="0"/>
          <w:szCs w:val="21"/>
        </w:rPr>
        <w:t>托管机构</w:t>
      </w:r>
      <w:r w:rsidR="00C6052C" w:rsidRPr="00362CE7">
        <w:rPr>
          <w:rFonts w:ascii="黑体" w:eastAsia="黑体" w:hAnsi="黑体" w:cs="宋体" w:hint="eastAsia"/>
          <w:bCs/>
          <w:kern w:val="0"/>
          <w:szCs w:val="21"/>
        </w:rPr>
        <w:t>主要职责</w:t>
      </w:r>
      <w:r w:rsidR="002B0068" w:rsidRPr="00362CE7">
        <w:rPr>
          <w:rFonts w:ascii="黑体" w:eastAsia="黑体" w:hAnsi="黑体" w:cs="宋体" w:hint="eastAsia"/>
          <w:bCs/>
          <w:kern w:val="0"/>
          <w:szCs w:val="21"/>
        </w:rPr>
        <w:t>：</w:t>
      </w:r>
    </w:p>
    <w:p w14:paraId="3868D0D8" w14:textId="34D28C88" w:rsidR="00846771" w:rsidRPr="00362CE7" w:rsidRDefault="00846771"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1、安全</w:t>
      </w:r>
      <w:r w:rsidR="002B0068" w:rsidRPr="00362CE7">
        <w:rPr>
          <w:rFonts w:ascii="黑体" w:eastAsia="黑体" w:hAnsi="黑体" w:cs="黑体" w:hint="eastAsia"/>
          <w:kern w:val="0"/>
          <w:szCs w:val="21"/>
        </w:rPr>
        <w:t>托管理财资金及其所投资的资产或</w:t>
      </w:r>
      <w:r w:rsidRPr="00362CE7">
        <w:rPr>
          <w:rFonts w:ascii="黑体" w:eastAsia="黑体" w:hAnsi="黑体" w:cs="黑体" w:hint="eastAsia"/>
          <w:kern w:val="0"/>
          <w:szCs w:val="21"/>
        </w:rPr>
        <w:t>保管</w:t>
      </w:r>
      <w:r w:rsidR="002B0068" w:rsidRPr="00362CE7">
        <w:rPr>
          <w:rFonts w:ascii="黑体" w:eastAsia="黑体" w:hAnsi="黑体" w:cs="黑体" w:hint="eastAsia"/>
          <w:kern w:val="0"/>
          <w:szCs w:val="21"/>
        </w:rPr>
        <w:t>代表资产的权益凭证或</w:t>
      </w:r>
      <w:r w:rsidRPr="00362CE7">
        <w:rPr>
          <w:rFonts w:ascii="黑体" w:eastAsia="黑体" w:hAnsi="黑体" w:cs="黑体" w:hint="eastAsia"/>
          <w:kern w:val="0"/>
          <w:szCs w:val="21"/>
        </w:rPr>
        <w:t>财产</w:t>
      </w:r>
      <w:r w:rsidR="002B0068" w:rsidRPr="00362CE7">
        <w:rPr>
          <w:rFonts w:ascii="黑体" w:eastAsia="黑体" w:hAnsi="黑体" w:cs="黑体" w:hint="eastAsia"/>
          <w:kern w:val="0"/>
          <w:szCs w:val="21"/>
        </w:rPr>
        <w:t>清单</w:t>
      </w:r>
      <w:r w:rsidRPr="00362CE7">
        <w:rPr>
          <w:rFonts w:ascii="黑体" w:eastAsia="黑体" w:hAnsi="黑体" w:cs="黑体" w:hint="eastAsia"/>
          <w:kern w:val="0"/>
          <w:szCs w:val="21"/>
        </w:rPr>
        <w:t>；</w:t>
      </w:r>
    </w:p>
    <w:p w14:paraId="2820CBAE" w14:textId="55E5CD9F" w:rsidR="00846771" w:rsidRPr="00362CE7" w:rsidRDefault="00846771"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2、为本产品开设独立的托管账户，不同托管账户中的资产应当相互独立；</w:t>
      </w:r>
    </w:p>
    <w:p w14:paraId="0D32AA8E" w14:textId="3237D5DC" w:rsidR="00846771" w:rsidRPr="00362CE7" w:rsidRDefault="00846771"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lastRenderedPageBreak/>
        <w:t>3、按照托管协议约定和</w:t>
      </w:r>
      <w:r w:rsidR="000853EA" w:rsidRPr="00362CE7">
        <w:rPr>
          <w:rFonts w:ascii="黑体" w:eastAsia="黑体" w:hAnsi="黑体" w:cs="黑体" w:hint="eastAsia"/>
          <w:kern w:val="0"/>
          <w:szCs w:val="21"/>
        </w:rPr>
        <w:t>产品管理人</w:t>
      </w:r>
      <w:r w:rsidRPr="00362CE7">
        <w:rPr>
          <w:rFonts w:ascii="黑体" w:eastAsia="黑体" w:hAnsi="黑体" w:cs="黑体" w:hint="eastAsia"/>
          <w:kern w:val="0"/>
          <w:szCs w:val="21"/>
        </w:rPr>
        <w:t>的投资指令，及时办理清算、交割事宜；</w:t>
      </w:r>
    </w:p>
    <w:p w14:paraId="66EE8CE8" w14:textId="77777777" w:rsidR="0032641A" w:rsidRPr="00362CE7" w:rsidRDefault="00846771" w:rsidP="0032641A">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4、</w:t>
      </w:r>
      <w:r w:rsidR="0032641A" w:rsidRPr="00362CE7">
        <w:rPr>
          <w:rFonts w:ascii="黑体" w:eastAsia="黑体" w:hAnsi="黑体" w:cs="黑体" w:hint="eastAsia"/>
          <w:kern w:val="0"/>
          <w:szCs w:val="21"/>
        </w:rPr>
        <w:t>记录理财资金划拨情况，保存产品管理人的资金用途说明；</w:t>
      </w:r>
    </w:p>
    <w:p w14:paraId="1B687B7F" w14:textId="68A080C9" w:rsidR="0032641A" w:rsidRPr="00362CE7" w:rsidRDefault="0032641A" w:rsidP="0032641A">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5、负责本产品财产的会计核算；</w:t>
      </w:r>
    </w:p>
    <w:p w14:paraId="6BC5C2FB" w14:textId="7F47006D" w:rsidR="00846771" w:rsidRPr="00362CE7" w:rsidRDefault="0032641A"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6、</w:t>
      </w:r>
      <w:r w:rsidR="00846771" w:rsidRPr="00362CE7">
        <w:rPr>
          <w:rFonts w:ascii="黑体" w:eastAsia="黑体" w:hAnsi="黑体" w:cs="黑体" w:hint="eastAsia"/>
          <w:kern w:val="0"/>
          <w:szCs w:val="21"/>
        </w:rPr>
        <w:t>建立与</w:t>
      </w:r>
      <w:r w:rsidR="000853EA" w:rsidRPr="00362CE7">
        <w:rPr>
          <w:rFonts w:ascii="黑体" w:eastAsia="黑体" w:hAnsi="黑体" w:cs="黑体" w:hint="eastAsia"/>
          <w:kern w:val="0"/>
          <w:szCs w:val="21"/>
        </w:rPr>
        <w:t>产品管理人</w:t>
      </w:r>
      <w:r w:rsidR="00846771" w:rsidRPr="00362CE7">
        <w:rPr>
          <w:rFonts w:ascii="黑体" w:eastAsia="黑体" w:hAnsi="黑体" w:cs="黑体" w:hint="eastAsia"/>
          <w:kern w:val="0"/>
          <w:szCs w:val="21"/>
        </w:rPr>
        <w:t>的对账机制，</w:t>
      </w:r>
      <w:r w:rsidRPr="00362CE7">
        <w:rPr>
          <w:rFonts w:ascii="黑体" w:eastAsia="黑体" w:hAnsi="黑体" w:cs="黑体" w:hint="eastAsia"/>
          <w:kern w:val="0"/>
          <w:szCs w:val="21"/>
        </w:rPr>
        <w:t>核对本</w:t>
      </w:r>
      <w:r w:rsidR="00846771" w:rsidRPr="00362CE7">
        <w:rPr>
          <w:rFonts w:ascii="黑体" w:eastAsia="黑体" w:hAnsi="黑体" w:cs="黑体" w:hint="eastAsia"/>
          <w:kern w:val="0"/>
          <w:szCs w:val="21"/>
        </w:rPr>
        <w:t>产品</w:t>
      </w:r>
      <w:r w:rsidR="00E25374" w:rsidRPr="00362CE7">
        <w:rPr>
          <w:rFonts w:ascii="黑体" w:eastAsia="黑体" w:hAnsi="黑体" w:cs="黑体" w:hint="eastAsia"/>
          <w:kern w:val="0"/>
          <w:szCs w:val="21"/>
        </w:rPr>
        <w:t>财产交易记录、</w:t>
      </w:r>
      <w:r w:rsidR="00846771" w:rsidRPr="00362CE7">
        <w:rPr>
          <w:rFonts w:ascii="黑体" w:eastAsia="黑体" w:hAnsi="黑体" w:cs="黑体" w:hint="eastAsia"/>
          <w:kern w:val="0"/>
          <w:szCs w:val="21"/>
        </w:rPr>
        <w:t>资金</w:t>
      </w:r>
      <w:r w:rsidR="00E25374" w:rsidRPr="00362CE7">
        <w:rPr>
          <w:rFonts w:ascii="黑体" w:eastAsia="黑体" w:hAnsi="黑体" w:cs="黑体" w:hint="eastAsia"/>
          <w:kern w:val="0"/>
          <w:szCs w:val="21"/>
        </w:rPr>
        <w:t>和财产</w:t>
      </w:r>
      <w:r w:rsidR="00846771" w:rsidRPr="00362CE7">
        <w:rPr>
          <w:rFonts w:ascii="黑体" w:eastAsia="黑体" w:hAnsi="黑体" w:cs="黑体" w:hint="eastAsia"/>
          <w:kern w:val="0"/>
          <w:szCs w:val="21"/>
        </w:rPr>
        <w:t>账目、资产净值等数据；</w:t>
      </w:r>
    </w:p>
    <w:p w14:paraId="1CD5F645" w14:textId="61E84CA8" w:rsidR="00846771"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7</w:t>
      </w:r>
      <w:r w:rsidR="00846771" w:rsidRPr="00362CE7">
        <w:rPr>
          <w:rFonts w:ascii="黑体" w:eastAsia="黑体" w:hAnsi="黑体" w:cs="黑体" w:hint="eastAsia"/>
          <w:kern w:val="0"/>
          <w:szCs w:val="21"/>
        </w:rPr>
        <w:t>、监督</w:t>
      </w:r>
      <w:r w:rsidR="00EB61F5" w:rsidRPr="00362CE7">
        <w:rPr>
          <w:rFonts w:ascii="黑体" w:eastAsia="黑体" w:hAnsi="黑体" w:cs="黑体" w:hint="eastAsia"/>
          <w:kern w:val="0"/>
          <w:szCs w:val="21"/>
        </w:rPr>
        <w:t>本</w:t>
      </w:r>
      <w:r w:rsidR="00846771" w:rsidRPr="00362CE7">
        <w:rPr>
          <w:rFonts w:ascii="黑体" w:eastAsia="黑体" w:hAnsi="黑体" w:cs="黑体" w:hint="eastAsia"/>
          <w:kern w:val="0"/>
          <w:szCs w:val="21"/>
        </w:rPr>
        <w:t>产品投资运作；</w:t>
      </w:r>
    </w:p>
    <w:p w14:paraId="57557BDF" w14:textId="27D1BB00" w:rsidR="00846771"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8</w:t>
      </w:r>
      <w:r w:rsidR="00846771" w:rsidRPr="00362CE7">
        <w:rPr>
          <w:rFonts w:ascii="黑体" w:eastAsia="黑体" w:hAnsi="黑体" w:cs="黑体" w:hint="eastAsia"/>
          <w:kern w:val="0"/>
          <w:szCs w:val="21"/>
        </w:rPr>
        <w:t>、办理与</w:t>
      </w:r>
      <w:r w:rsidR="00EB61F5" w:rsidRPr="00362CE7">
        <w:rPr>
          <w:rFonts w:ascii="黑体" w:eastAsia="黑体" w:hAnsi="黑体" w:cs="黑体" w:hint="eastAsia"/>
          <w:kern w:val="0"/>
          <w:szCs w:val="21"/>
        </w:rPr>
        <w:t>本</w:t>
      </w:r>
      <w:r w:rsidR="00846771" w:rsidRPr="00362CE7">
        <w:rPr>
          <w:rFonts w:ascii="黑体" w:eastAsia="黑体" w:hAnsi="黑体" w:cs="黑体" w:hint="eastAsia"/>
          <w:kern w:val="0"/>
          <w:szCs w:val="21"/>
        </w:rPr>
        <w:t>产品托管业务活动相关的信息披露事项；</w:t>
      </w:r>
    </w:p>
    <w:p w14:paraId="057E0CCE" w14:textId="33FFAD0B" w:rsidR="00846771"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9</w:t>
      </w:r>
      <w:r w:rsidR="00846771" w:rsidRPr="00362CE7">
        <w:rPr>
          <w:rFonts w:ascii="黑体" w:eastAsia="黑体" w:hAnsi="黑体" w:cs="黑体" w:hint="eastAsia"/>
          <w:kern w:val="0"/>
          <w:szCs w:val="21"/>
        </w:rPr>
        <w:t>、</w:t>
      </w:r>
      <w:r w:rsidR="00EB61F5" w:rsidRPr="00362CE7">
        <w:rPr>
          <w:rFonts w:ascii="黑体" w:eastAsia="黑体" w:hAnsi="黑体" w:cs="黑体" w:hint="eastAsia"/>
          <w:kern w:val="0"/>
          <w:szCs w:val="21"/>
        </w:rPr>
        <w:t>将本产</w:t>
      </w:r>
      <w:r w:rsidR="00EB61F5" w:rsidRPr="00362CE7">
        <w:rPr>
          <w:rFonts w:ascii="黑体" w:eastAsia="黑体" w:hAnsi="黑体" w:cs="黑体"/>
          <w:kern w:val="0"/>
          <w:szCs w:val="21"/>
        </w:rPr>
        <w:t>品</w:t>
      </w:r>
      <w:r w:rsidR="00846771" w:rsidRPr="00362CE7">
        <w:rPr>
          <w:rFonts w:ascii="黑体" w:eastAsia="黑体" w:hAnsi="黑体" w:cs="黑体" w:hint="eastAsia"/>
          <w:kern w:val="0"/>
          <w:szCs w:val="21"/>
        </w:rPr>
        <w:t>托管业务活动的记录、账册、报表和其他相关资料保存15年以上；</w:t>
      </w:r>
    </w:p>
    <w:p w14:paraId="4FBDF8CD" w14:textId="729E41C1" w:rsidR="00846771"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10</w:t>
      </w:r>
      <w:r w:rsidR="00846771" w:rsidRPr="00362CE7">
        <w:rPr>
          <w:rFonts w:ascii="黑体" w:eastAsia="黑体" w:hAnsi="黑体" w:cs="黑体" w:hint="eastAsia"/>
          <w:kern w:val="0"/>
          <w:szCs w:val="21"/>
        </w:rPr>
        <w:t>、对</w:t>
      </w:r>
      <w:r w:rsidR="00EB61F5" w:rsidRPr="00362CE7">
        <w:rPr>
          <w:rFonts w:ascii="黑体" w:eastAsia="黑体" w:hAnsi="黑体" w:cs="黑体" w:hint="eastAsia"/>
          <w:kern w:val="0"/>
          <w:szCs w:val="21"/>
        </w:rPr>
        <w:t>本</w:t>
      </w:r>
      <w:r w:rsidR="00846771" w:rsidRPr="00362CE7">
        <w:rPr>
          <w:rFonts w:ascii="黑体" w:eastAsia="黑体" w:hAnsi="黑体" w:cs="黑体" w:hint="eastAsia"/>
          <w:kern w:val="0"/>
          <w:szCs w:val="21"/>
        </w:rPr>
        <w:t>产品投资信息和相关资料承担保密责任，除法律、行政法规、规章规定、审计要求或者合同约定外，不得向任何机构或者个人提供相关信息和资料；</w:t>
      </w:r>
    </w:p>
    <w:p w14:paraId="63FA577A" w14:textId="3C4D833F" w:rsidR="00E25374"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kern w:val="0"/>
          <w:szCs w:val="21"/>
        </w:rPr>
        <w:t>11</w:t>
      </w:r>
      <w:r w:rsidR="00846771" w:rsidRPr="00362CE7">
        <w:rPr>
          <w:rFonts w:ascii="黑体" w:eastAsia="黑体" w:hAnsi="黑体" w:cs="黑体" w:hint="eastAsia"/>
          <w:kern w:val="0"/>
          <w:szCs w:val="21"/>
        </w:rPr>
        <w:t>、</w:t>
      </w:r>
      <w:r w:rsidRPr="00362CE7">
        <w:rPr>
          <w:rFonts w:ascii="黑体" w:eastAsia="黑体" w:hAnsi="黑体" w:cs="黑体" w:hint="eastAsia"/>
          <w:kern w:val="0"/>
          <w:szCs w:val="21"/>
        </w:rPr>
        <w:t>每季度向产品管理人出具本产品的托管业务报告；</w:t>
      </w:r>
    </w:p>
    <w:p w14:paraId="1C2A550A" w14:textId="0F05748A" w:rsidR="00846771" w:rsidRPr="00362CE7" w:rsidRDefault="00E25374"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Pr="00362CE7">
        <w:rPr>
          <w:rFonts w:ascii="黑体" w:eastAsia="黑体" w:hAnsi="黑体" w:cs="黑体"/>
          <w:kern w:val="0"/>
          <w:szCs w:val="21"/>
        </w:rPr>
        <w:t>2</w:t>
      </w:r>
      <w:r w:rsidRPr="00362CE7">
        <w:rPr>
          <w:rFonts w:ascii="黑体" w:eastAsia="黑体" w:hAnsi="黑体" w:cs="黑体" w:hint="eastAsia"/>
          <w:kern w:val="0"/>
          <w:szCs w:val="21"/>
        </w:rPr>
        <w:t>、法律、法规、</w:t>
      </w:r>
      <w:r w:rsidR="00846771" w:rsidRPr="00362CE7">
        <w:rPr>
          <w:rFonts w:ascii="黑体" w:eastAsia="黑体" w:hAnsi="黑体" w:cs="黑体" w:hint="eastAsia"/>
          <w:kern w:val="0"/>
          <w:szCs w:val="21"/>
        </w:rPr>
        <w:t>国务院银行业监督管理机构规定的其他职责。</w:t>
      </w:r>
    </w:p>
    <w:p w14:paraId="5067AE88" w14:textId="3438D412" w:rsidR="001C5C66" w:rsidRPr="00362CE7" w:rsidRDefault="00C6052C" w:rsidP="0043119F">
      <w:pPr>
        <w:autoSpaceDE w:val="0"/>
        <w:autoSpaceDN w:val="0"/>
        <w:adjustRightInd w:val="0"/>
        <w:jc w:val="left"/>
        <w:rPr>
          <w:rFonts w:ascii="黑体" w:eastAsia="黑体" w:hAnsi="黑体" w:cs="宋体"/>
          <w:kern w:val="0"/>
          <w:szCs w:val="21"/>
        </w:rPr>
      </w:pPr>
      <w:bookmarkStart w:id="7" w:name="_Hlk33106867"/>
      <w:r w:rsidRPr="00362CE7">
        <w:rPr>
          <w:rFonts w:ascii="黑体" w:eastAsia="黑体" w:hAnsi="黑体" w:cs="宋体" w:hint="eastAsia"/>
          <w:kern w:val="0"/>
          <w:szCs w:val="21"/>
        </w:rPr>
        <w:t>（二）</w:t>
      </w:r>
      <w:r w:rsidR="001C5C66" w:rsidRPr="00362CE7">
        <w:rPr>
          <w:rFonts w:ascii="黑体" w:eastAsia="黑体" w:hAnsi="黑体" w:cs="宋体" w:hint="eastAsia"/>
          <w:kern w:val="0"/>
          <w:szCs w:val="21"/>
        </w:rPr>
        <w:t>销售机构基本信息</w:t>
      </w:r>
    </w:p>
    <w:p w14:paraId="691B5C09" w14:textId="77777777" w:rsidR="00750677" w:rsidRPr="00362CE7" w:rsidRDefault="00750677" w:rsidP="00750677">
      <w:pPr>
        <w:autoSpaceDE w:val="0"/>
        <w:autoSpaceDN w:val="0"/>
        <w:adjustRightInd w:val="0"/>
        <w:ind w:leftChars="200" w:left="420"/>
        <w:jc w:val="left"/>
        <w:rPr>
          <w:rFonts w:ascii="黑体" w:eastAsia="黑体" w:hAnsi="黑体" w:cs="宋体"/>
          <w:kern w:val="0"/>
          <w:szCs w:val="21"/>
        </w:rPr>
      </w:pPr>
      <w:r w:rsidRPr="00362CE7">
        <w:rPr>
          <w:rFonts w:ascii="黑体" w:eastAsia="黑体" w:hAnsi="黑体" w:cs="宋体" w:hint="eastAsia"/>
          <w:kern w:val="0"/>
          <w:szCs w:val="21"/>
        </w:rPr>
        <w:t>1、机构名称：宁波银行股份有限公司</w:t>
      </w:r>
    </w:p>
    <w:p w14:paraId="59A6B8BC" w14:textId="77777777" w:rsidR="00750677" w:rsidRPr="00362CE7" w:rsidRDefault="00750677" w:rsidP="00750677">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客服</w:t>
      </w:r>
      <w:r w:rsidRPr="00362CE7">
        <w:rPr>
          <w:rFonts w:ascii="黑体" w:eastAsia="黑体" w:hAnsi="黑体" w:cs="宋体"/>
          <w:bCs/>
          <w:kern w:val="0"/>
          <w:szCs w:val="21"/>
        </w:rPr>
        <w:t>热线</w:t>
      </w:r>
      <w:r w:rsidRPr="00362CE7">
        <w:rPr>
          <w:rFonts w:ascii="黑体" w:eastAsia="黑体" w:hAnsi="黑体" w:cs="宋体" w:hint="eastAsia"/>
          <w:bCs/>
          <w:kern w:val="0"/>
          <w:szCs w:val="21"/>
        </w:rPr>
        <w:t>：</w:t>
      </w:r>
      <w:r w:rsidRPr="00362CE7">
        <w:rPr>
          <w:rFonts w:ascii="黑体" w:eastAsia="黑体" w:hAnsi="黑体" w:cs="宋体"/>
          <w:bCs/>
          <w:kern w:val="0"/>
          <w:szCs w:val="21"/>
        </w:rPr>
        <w:t>95574</w:t>
      </w:r>
      <w:r w:rsidRPr="00362CE7">
        <w:rPr>
          <w:rFonts w:ascii="Calibri" w:eastAsia="黑体" w:hAnsi="Calibri" w:cs="Calibri"/>
          <w:bCs/>
          <w:kern w:val="0"/>
          <w:szCs w:val="21"/>
        </w:rPr>
        <w:t> </w:t>
      </w:r>
    </w:p>
    <w:p w14:paraId="6C09DA9D" w14:textId="77777777" w:rsidR="00750677" w:rsidRPr="00362CE7" w:rsidRDefault="00750677" w:rsidP="00750677">
      <w:pPr>
        <w:autoSpaceDE w:val="0"/>
        <w:autoSpaceDN w:val="0"/>
        <w:adjustRightInd w:val="0"/>
        <w:ind w:firstLineChars="350" w:firstLine="735"/>
        <w:jc w:val="left"/>
        <w:rPr>
          <w:rFonts w:ascii="Calibri" w:eastAsia="黑体" w:hAnsi="Calibri" w:cs="Calibri"/>
          <w:bCs/>
          <w:kern w:val="0"/>
          <w:szCs w:val="21"/>
        </w:rPr>
      </w:pPr>
      <w:r w:rsidRPr="00362CE7">
        <w:rPr>
          <w:rFonts w:ascii="黑体" w:eastAsia="黑体" w:hAnsi="黑体" w:cs="宋体" w:hint="eastAsia"/>
          <w:bCs/>
          <w:kern w:val="0"/>
          <w:szCs w:val="21"/>
        </w:rPr>
        <w:t>官方网站</w:t>
      </w:r>
      <w:r w:rsidRPr="00362CE7">
        <w:rPr>
          <w:rFonts w:ascii="黑体" w:eastAsia="黑体" w:hAnsi="黑体" w:cs="宋体"/>
          <w:bCs/>
          <w:kern w:val="0"/>
          <w:szCs w:val="21"/>
        </w:rPr>
        <w:t>：www.nbcb.com.cn</w:t>
      </w:r>
      <w:r w:rsidRPr="00362CE7">
        <w:rPr>
          <w:rFonts w:ascii="Calibri" w:eastAsia="黑体" w:hAnsi="Calibri" w:cs="Calibri"/>
          <w:bCs/>
          <w:kern w:val="0"/>
          <w:szCs w:val="21"/>
        </w:rPr>
        <w:t>  </w:t>
      </w:r>
    </w:p>
    <w:p w14:paraId="0AF7DBB0" w14:textId="13848FAA" w:rsidR="000345E0" w:rsidRPr="00362CE7" w:rsidRDefault="00750677">
      <w:pPr>
        <w:autoSpaceDE w:val="0"/>
        <w:autoSpaceDN w:val="0"/>
        <w:adjustRightInd w:val="0"/>
        <w:ind w:leftChars="200" w:left="420"/>
        <w:jc w:val="left"/>
        <w:rPr>
          <w:rFonts w:ascii="黑体" w:eastAsia="黑体" w:hAnsi="黑体" w:cs="宋体"/>
          <w:color w:val="000000" w:themeColor="text1"/>
          <w:kern w:val="0"/>
          <w:szCs w:val="21"/>
        </w:rPr>
      </w:pPr>
      <w:r w:rsidRPr="00362CE7">
        <w:rPr>
          <w:rFonts w:ascii="黑体" w:eastAsia="黑体" w:hAnsi="黑体" w:cs="宋体"/>
          <w:kern w:val="0"/>
          <w:szCs w:val="21"/>
        </w:rPr>
        <w:t>2</w:t>
      </w:r>
      <w:r w:rsidRPr="00362CE7">
        <w:rPr>
          <w:rFonts w:ascii="黑体" w:eastAsia="黑体" w:hAnsi="黑体" w:cs="宋体" w:hint="eastAsia"/>
          <w:kern w:val="0"/>
          <w:szCs w:val="21"/>
        </w:rPr>
        <w:t>、</w:t>
      </w:r>
      <w:r w:rsidR="000345E0" w:rsidRPr="00362CE7">
        <w:rPr>
          <w:rFonts w:ascii="黑体" w:eastAsia="黑体" w:hAnsi="黑体" w:cs="宋体" w:hint="eastAsia"/>
          <w:color w:val="000000" w:themeColor="text1"/>
          <w:kern w:val="0"/>
          <w:szCs w:val="21"/>
        </w:rPr>
        <w:t>机构名称：宁银理财有限责任公司</w:t>
      </w:r>
      <w:r w:rsidR="000345E0" w:rsidRPr="00362CE7">
        <w:rPr>
          <w:rFonts w:ascii="Calibri" w:eastAsia="黑体" w:hAnsi="Calibri" w:cs="Calibri"/>
          <w:color w:val="000000" w:themeColor="text1"/>
          <w:kern w:val="0"/>
          <w:szCs w:val="21"/>
        </w:rPr>
        <w:t> </w:t>
      </w:r>
    </w:p>
    <w:p w14:paraId="61B3A782" w14:textId="77777777" w:rsidR="000345E0" w:rsidRPr="00362CE7" w:rsidRDefault="000345E0" w:rsidP="000345E0">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客服热线：</w:t>
      </w:r>
      <w:r w:rsidRPr="00362CE7">
        <w:rPr>
          <w:rFonts w:ascii="黑体" w:eastAsia="黑体" w:hAnsi="黑体" w:cs="宋体"/>
          <w:bCs/>
          <w:kern w:val="0"/>
          <w:szCs w:val="21"/>
        </w:rPr>
        <w:t>4000995574</w:t>
      </w:r>
    </w:p>
    <w:p w14:paraId="442E0563" w14:textId="65FBFE8F" w:rsidR="000345E0" w:rsidRPr="00362CE7" w:rsidRDefault="000345E0" w:rsidP="000345E0">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官方网站：</w:t>
      </w:r>
      <w:hyperlink w:history="1">
        <w:r w:rsidR="00612BC3" w:rsidRPr="00362CE7">
          <w:rPr>
            <w:rStyle w:val="af1"/>
            <w:rFonts w:ascii="黑体" w:eastAsia="黑体" w:hAnsi="黑体" w:cs="宋体"/>
            <w:bCs/>
            <w:kern w:val="0"/>
            <w:szCs w:val="21"/>
          </w:rPr>
          <w:t xml:space="preserve">www.wmbnb.com </w:t>
        </w:r>
      </w:hyperlink>
    </w:p>
    <w:p w14:paraId="5F3A8EB0" w14:textId="5E66E299" w:rsidR="003E422E" w:rsidRPr="00362CE7" w:rsidRDefault="003E422E">
      <w:pPr>
        <w:autoSpaceDE w:val="0"/>
        <w:autoSpaceDN w:val="0"/>
        <w:adjustRightInd w:val="0"/>
        <w:ind w:leftChars="200" w:left="420"/>
        <w:jc w:val="left"/>
        <w:rPr>
          <w:rFonts w:ascii="黑体" w:eastAsia="黑体" w:hAnsi="黑体" w:cs="宋体"/>
          <w:color w:val="000000" w:themeColor="text1"/>
          <w:kern w:val="0"/>
          <w:szCs w:val="21"/>
        </w:rPr>
      </w:pPr>
      <w:r w:rsidRPr="00362CE7">
        <w:rPr>
          <w:rFonts w:ascii="黑体" w:eastAsia="黑体" w:hAnsi="黑体" w:cs="宋体"/>
          <w:color w:val="000000" w:themeColor="text1"/>
          <w:kern w:val="0"/>
          <w:szCs w:val="21"/>
        </w:rPr>
        <w:t>3、机构名称：</w:t>
      </w:r>
      <w:r w:rsidR="00612BC3" w:rsidRPr="00362CE7">
        <w:rPr>
          <w:rFonts w:ascii="黑体" w:eastAsia="黑体" w:hAnsi="黑体" w:cs="宋体" w:hint="eastAsia"/>
          <w:color w:val="000000" w:themeColor="text1"/>
          <w:kern w:val="0"/>
          <w:szCs w:val="21"/>
        </w:rPr>
        <w:t>江苏紫金农村商业银行股份有限公司</w:t>
      </w:r>
      <w:r w:rsidRPr="00362CE7">
        <w:rPr>
          <w:rFonts w:ascii="Calibri" w:eastAsia="黑体" w:hAnsi="Calibri" w:cs="Calibri"/>
          <w:color w:val="000000" w:themeColor="text1"/>
          <w:kern w:val="0"/>
          <w:szCs w:val="21"/>
        </w:rPr>
        <w:t> </w:t>
      </w:r>
    </w:p>
    <w:p w14:paraId="6480F0BE" w14:textId="2C0FF774" w:rsidR="003E422E" w:rsidRPr="00362CE7" w:rsidRDefault="003E422E" w:rsidP="003E422E">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客服热线：</w:t>
      </w:r>
      <w:r w:rsidR="00612BC3" w:rsidRPr="00362CE7">
        <w:rPr>
          <w:rFonts w:ascii="黑体" w:eastAsia="黑体" w:hAnsi="黑体" w:cs="宋体"/>
          <w:bCs/>
          <w:kern w:val="0"/>
          <w:szCs w:val="21"/>
        </w:rPr>
        <w:t>96008</w:t>
      </w:r>
    </w:p>
    <w:p w14:paraId="41A09E10" w14:textId="182AE287" w:rsidR="003E422E" w:rsidRPr="00362CE7" w:rsidRDefault="003E422E" w:rsidP="003E422E">
      <w:pPr>
        <w:autoSpaceDE w:val="0"/>
        <w:autoSpaceDN w:val="0"/>
        <w:adjustRightInd w:val="0"/>
        <w:ind w:firstLineChars="350" w:firstLine="735"/>
        <w:jc w:val="left"/>
        <w:rPr>
          <w:rFonts w:ascii="黑体" w:eastAsia="黑体" w:hAnsi="黑体" w:cs="宋体"/>
          <w:bCs/>
          <w:kern w:val="0"/>
          <w:szCs w:val="21"/>
        </w:rPr>
      </w:pPr>
      <w:r w:rsidRPr="00362CE7">
        <w:rPr>
          <w:rFonts w:ascii="黑体" w:eastAsia="黑体" w:hAnsi="黑体" w:cs="宋体" w:hint="eastAsia"/>
          <w:bCs/>
          <w:kern w:val="0"/>
          <w:szCs w:val="21"/>
        </w:rPr>
        <w:t>官方网站：</w:t>
      </w:r>
      <w:r w:rsidR="000F7370" w:rsidRPr="00362CE7">
        <w:t>www.zjrcbank.com</w:t>
      </w:r>
    </w:p>
    <w:p w14:paraId="6B88192C" w14:textId="77777777" w:rsidR="003E422E" w:rsidRPr="00362CE7" w:rsidRDefault="003E422E" w:rsidP="00750677">
      <w:pPr>
        <w:autoSpaceDE w:val="0"/>
        <w:autoSpaceDN w:val="0"/>
        <w:adjustRightInd w:val="0"/>
        <w:ind w:firstLineChars="350" w:firstLine="735"/>
        <w:jc w:val="left"/>
        <w:rPr>
          <w:rFonts w:ascii="Calibri" w:eastAsia="黑体" w:hAnsi="Calibri" w:cs="Calibri"/>
          <w:bCs/>
          <w:kern w:val="0"/>
          <w:szCs w:val="21"/>
        </w:rPr>
      </w:pPr>
    </w:p>
    <w:p w14:paraId="57DFAD3A"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销售机构主要职责：</w:t>
      </w:r>
    </w:p>
    <w:p w14:paraId="3B057D16"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1、严格遵循国家法律、法规及其他有关规定和理财产品销售文件的规定，办理本产品销售业务，勤勉、尽责地履行销售机构的职责；</w:t>
      </w:r>
    </w:p>
    <w:p w14:paraId="5C9C87DD"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2、应保证在履行理财产品销售文件过程中占有、控制的理财产品资产或理财产品份额持有人的资产与销售机构自身资产相互独立，分别建账，分别管理；</w:t>
      </w:r>
    </w:p>
    <w:p w14:paraId="7C14FF13"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3、对投资者身份信息的真实性进行验证；</w:t>
      </w:r>
    </w:p>
    <w:p w14:paraId="4C8A7B48"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4、对非机构投资者严谨客观实施风险承受能力评估并持续跟进，根据投资者的风险承受能力销售不同风险等级的产品，把合适的理财产品销售给合适的投资者；</w:t>
      </w:r>
    </w:p>
    <w:p w14:paraId="77A84AE6"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5、向投资者提供持续信息服务，包括但不限于以下方面:及时向投资者告知申赎理财产品的确认日期、确认份额和金额等信息；定期向投资者提供其所持有的理财产品基本信息；及时向投资者告知对其决策有重大影响的信息；</w:t>
      </w:r>
    </w:p>
    <w:p w14:paraId="0E4E6047"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6、充分了解面向特定对象销售的理财产品的投资者信息，收集、核验投资者金融资产证明、收入证明或纳税凭证等材料；</w:t>
      </w:r>
    </w:p>
    <w:p w14:paraId="6FD04E0B"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7、根据反洗钱、反恐怖融资及非居民金融账户涉税信息尽职调查等相关法律法规要求识别客户身份；</w:t>
      </w:r>
    </w:p>
    <w:p w14:paraId="254EFC6D"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8、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14:paraId="6236A1F6"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9、完整记录和保存销售业务活动信息，确保记录信息全面、准确和不可篡改；</w:t>
      </w:r>
    </w:p>
    <w:p w14:paraId="64F03554"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10、根据有关法律法规、监管规定和理财产品销售文件的要求，及时、充分披露本产</w:t>
      </w:r>
      <w:r w:rsidRPr="00362CE7">
        <w:rPr>
          <w:rFonts w:ascii="黑体" w:eastAsia="黑体" w:hAnsi="黑体" w:cs="宋体" w:hint="eastAsia"/>
          <w:kern w:val="0"/>
          <w:szCs w:val="21"/>
        </w:rPr>
        <w:lastRenderedPageBreak/>
        <w:t>品的相关信息；</w:t>
      </w:r>
    </w:p>
    <w:p w14:paraId="6E3AC4FC" w14:textId="77777777"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11、建立健全档案管理制度，妥善保管投资者理财产品销售相关资料，保管年限不得低于法规规定的年限；</w:t>
      </w:r>
    </w:p>
    <w:p w14:paraId="00CCCD30" w14:textId="3FB26C6D" w:rsidR="001C5C66" w:rsidRPr="00362CE7" w:rsidRDefault="001C5C66" w:rsidP="00F102AD">
      <w:pPr>
        <w:autoSpaceDE w:val="0"/>
        <w:autoSpaceDN w:val="0"/>
        <w:adjustRightInd w:val="0"/>
        <w:ind w:firstLineChars="200" w:firstLine="420"/>
        <w:jc w:val="left"/>
        <w:rPr>
          <w:rFonts w:ascii="黑体" w:eastAsia="黑体" w:hAnsi="黑体" w:cs="宋体"/>
          <w:kern w:val="0"/>
          <w:szCs w:val="21"/>
        </w:rPr>
      </w:pPr>
      <w:r w:rsidRPr="00362CE7">
        <w:rPr>
          <w:rFonts w:ascii="黑体" w:eastAsia="黑体" w:hAnsi="黑体" w:cs="宋体" w:hint="eastAsia"/>
          <w:kern w:val="0"/>
          <w:szCs w:val="21"/>
        </w:rPr>
        <w:t>12、法律、法规、国务院银行业监督管理机构规定、理财产品销售文件约定的其他职责。</w:t>
      </w:r>
    </w:p>
    <w:p w14:paraId="3AF66FC8" w14:textId="77777777" w:rsidR="00F102AD" w:rsidRPr="00362CE7" w:rsidRDefault="00F102AD" w:rsidP="00F102AD">
      <w:pPr>
        <w:autoSpaceDE w:val="0"/>
        <w:autoSpaceDN w:val="0"/>
        <w:adjustRightInd w:val="0"/>
        <w:ind w:firstLineChars="200" w:firstLine="420"/>
        <w:jc w:val="left"/>
        <w:rPr>
          <w:rFonts w:ascii="黑体" w:eastAsia="黑体" w:hAnsi="黑体" w:cs="宋体"/>
          <w:kern w:val="0"/>
          <w:szCs w:val="21"/>
        </w:rPr>
      </w:pPr>
    </w:p>
    <w:p w14:paraId="5740E543" w14:textId="04B0E4BA" w:rsidR="00C6052C" w:rsidRPr="00362CE7" w:rsidRDefault="00D02F81" w:rsidP="0043119F">
      <w:pPr>
        <w:autoSpaceDE w:val="0"/>
        <w:autoSpaceDN w:val="0"/>
        <w:adjustRightInd w:val="0"/>
        <w:jc w:val="left"/>
        <w:rPr>
          <w:rFonts w:ascii="黑体" w:eastAsia="黑体" w:hAnsi="黑体" w:cs="宋体"/>
          <w:kern w:val="0"/>
          <w:szCs w:val="21"/>
        </w:rPr>
      </w:pPr>
      <w:r w:rsidRPr="00362CE7">
        <w:rPr>
          <w:rFonts w:ascii="黑体" w:eastAsia="黑体" w:hAnsi="黑体" w:cs="宋体" w:hint="eastAsia"/>
          <w:b/>
          <w:kern w:val="0"/>
          <w:szCs w:val="21"/>
        </w:rPr>
        <w:t>九、</w:t>
      </w:r>
      <w:r w:rsidR="00C6052C" w:rsidRPr="00362CE7">
        <w:rPr>
          <w:rFonts w:ascii="黑体" w:eastAsia="黑体" w:hAnsi="黑体" w:cs="宋体" w:hint="eastAsia"/>
          <w:b/>
          <w:kern w:val="0"/>
          <w:szCs w:val="21"/>
        </w:rPr>
        <w:t>投资合作机构</w:t>
      </w:r>
    </w:p>
    <w:p w14:paraId="4E7FABDE" w14:textId="448B1661" w:rsidR="00C6052C" w:rsidRPr="00362CE7" w:rsidRDefault="00C6052C" w:rsidP="0043119F">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投资合作机构的主要职责为进行受托资金的投资管理，根据合同约定从事受托投资或提供投资顾问等服务</w:t>
      </w:r>
      <w:r w:rsidR="00F860F6" w:rsidRPr="00362CE7">
        <w:rPr>
          <w:rFonts w:ascii="黑体" w:eastAsia="黑体" w:hAnsi="黑体" w:cs="黑体" w:hint="eastAsia"/>
          <w:kern w:val="0"/>
          <w:szCs w:val="21"/>
        </w:rPr>
        <w:t>，具体职责以产品管理人与投资合作机构签署的合同为准</w:t>
      </w:r>
      <w:bookmarkEnd w:id="7"/>
      <w:r w:rsidR="00F860F6" w:rsidRPr="00362CE7">
        <w:rPr>
          <w:rFonts w:ascii="黑体" w:eastAsia="黑体" w:hAnsi="黑体" w:cs="黑体" w:hint="eastAsia"/>
          <w:kern w:val="0"/>
          <w:szCs w:val="21"/>
        </w:rPr>
        <w:t>。</w:t>
      </w:r>
    </w:p>
    <w:p w14:paraId="04B78B5B" w14:textId="77777777" w:rsidR="00C6052C" w:rsidRPr="00362CE7" w:rsidRDefault="00C6052C" w:rsidP="00846771">
      <w:pPr>
        <w:autoSpaceDE w:val="0"/>
        <w:autoSpaceDN w:val="0"/>
        <w:adjustRightInd w:val="0"/>
        <w:ind w:firstLineChars="157" w:firstLine="330"/>
        <w:jc w:val="left"/>
        <w:rPr>
          <w:rFonts w:ascii="黑体" w:eastAsia="黑体" w:hAnsi="黑体" w:cs="宋体"/>
          <w:kern w:val="0"/>
          <w:szCs w:val="21"/>
        </w:rPr>
      </w:pPr>
    </w:p>
    <w:p w14:paraId="7E7C962D" w14:textId="1147FA76" w:rsidR="00ED0054" w:rsidRPr="00362CE7" w:rsidRDefault="00E4661E" w:rsidP="00ED0054">
      <w:pPr>
        <w:autoSpaceDE w:val="0"/>
        <w:autoSpaceDN w:val="0"/>
        <w:adjustRightInd w:val="0"/>
        <w:jc w:val="left"/>
        <w:rPr>
          <w:rFonts w:ascii="黑体" w:eastAsia="黑体" w:hAnsi="黑体" w:cs="宋体"/>
          <w:b/>
          <w:kern w:val="0"/>
          <w:szCs w:val="21"/>
        </w:rPr>
      </w:pPr>
      <w:r w:rsidRPr="00362CE7">
        <w:rPr>
          <w:rFonts w:ascii="黑体" w:eastAsia="黑体" w:hAnsi="黑体" w:cs="宋体" w:hint="eastAsia"/>
          <w:b/>
          <w:kern w:val="0"/>
          <w:szCs w:val="21"/>
        </w:rPr>
        <w:t>十</w:t>
      </w:r>
      <w:r w:rsidR="00ED0054" w:rsidRPr="00362CE7">
        <w:rPr>
          <w:rFonts w:ascii="黑体" w:eastAsia="黑体" w:hAnsi="黑体" w:cs="宋体" w:hint="eastAsia"/>
          <w:b/>
          <w:kern w:val="0"/>
          <w:szCs w:val="21"/>
        </w:rPr>
        <w:t>、信息披露</w:t>
      </w:r>
    </w:p>
    <w:p w14:paraId="330EFF24" w14:textId="77777777" w:rsidR="004908EA" w:rsidRPr="00362CE7" w:rsidRDefault="004908EA" w:rsidP="00376166">
      <w:pPr>
        <w:autoSpaceDE w:val="0"/>
        <w:autoSpaceDN w:val="0"/>
        <w:adjustRightInd w:val="0"/>
        <w:jc w:val="left"/>
        <w:rPr>
          <w:rFonts w:ascii="黑体" w:eastAsia="黑体" w:hAnsi="黑体" w:cs="宋体"/>
          <w:kern w:val="0"/>
          <w:szCs w:val="21"/>
        </w:rPr>
      </w:pPr>
      <w:r w:rsidRPr="00362CE7">
        <w:rPr>
          <w:rFonts w:ascii="黑体" w:eastAsia="黑体" w:hAnsi="黑体" w:cs="宋体" w:hint="eastAsia"/>
          <w:kern w:val="0"/>
          <w:szCs w:val="21"/>
        </w:rPr>
        <w:t>（一</w:t>
      </w:r>
      <w:r w:rsidRPr="00362CE7">
        <w:rPr>
          <w:rFonts w:ascii="黑体" w:eastAsia="黑体" w:hAnsi="黑体" w:cs="宋体"/>
          <w:kern w:val="0"/>
          <w:szCs w:val="21"/>
        </w:rPr>
        <w:t>）信息披露内容</w:t>
      </w:r>
    </w:p>
    <w:p w14:paraId="0401C16E" w14:textId="7DEA2E3E" w:rsidR="004908EA" w:rsidRPr="00362CE7" w:rsidRDefault="000853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产品管理人</w:t>
      </w:r>
      <w:r w:rsidR="004908EA" w:rsidRPr="00362CE7">
        <w:rPr>
          <w:rFonts w:ascii="黑体" w:eastAsia="黑体" w:hAnsi="黑体" w:cs="黑体" w:hint="eastAsia"/>
          <w:kern w:val="0"/>
          <w:szCs w:val="21"/>
        </w:rPr>
        <w:t>将于产品募集期间、存续期间和终止时，通过</w:t>
      </w:r>
      <w:r w:rsidR="00750677" w:rsidRPr="00362CE7">
        <w:rPr>
          <w:rFonts w:ascii="黑体" w:eastAsia="黑体" w:hAnsi="黑体" w:cs="黑体" w:hint="eastAsia"/>
          <w:kern w:val="0"/>
          <w:szCs w:val="21"/>
        </w:rPr>
        <w:t>宁波银行官方网站（</w:t>
      </w:r>
      <w:r w:rsidR="00750677" w:rsidRPr="00362CE7">
        <w:rPr>
          <w:rFonts w:ascii="黑体" w:eastAsia="黑体" w:hAnsi="黑体" w:cs="黑体"/>
          <w:kern w:val="0"/>
          <w:szCs w:val="21"/>
        </w:rPr>
        <w:t>http://www.nbcb.com.cn/</w:t>
      </w:r>
      <w:r w:rsidR="00750677" w:rsidRPr="00362CE7">
        <w:rPr>
          <w:rFonts w:ascii="黑体" w:eastAsia="黑体" w:hAnsi="黑体" w:cs="黑体" w:hint="eastAsia"/>
          <w:kern w:val="0"/>
          <w:szCs w:val="21"/>
        </w:rPr>
        <w:t>）、宁波银行网上销售平台、宁波银行手机销售平台</w:t>
      </w:r>
      <w:r w:rsidR="00493AE5" w:rsidRPr="00362CE7">
        <w:rPr>
          <w:rFonts w:ascii="黑体" w:eastAsia="黑体" w:hAnsi="黑体" w:cs="黑体" w:hint="eastAsia"/>
          <w:color w:val="000000" w:themeColor="text1"/>
          <w:kern w:val="0"/>
          <w:szCs w:val="21"/>
        </w:rPr>
        <w:t>、其他销售机构确定的信息披露平台</w:t>
      </w:r>
      <w:r w:rsidR="004908EA" w:rsidRPr="00362CE7">
        <w:rPr>
          <w:rFonts w:ascii="黑体" w:eastAsia="黑体" w:hAnsi="黑体" w:cs="黑体" w:hint="eastAsia"/>
          <w:kern w:val="0"/>
          <w:szCs w:val="21"/>
        </w:rPr>
        <w:t>或</w:t>
      </w:r>
      <w:r w:rsidRPr="00362CE7">
        <w:rPr>
          <w:rFonts w:ascii="黑体" w:eastAsia="黑体" w:hAnsi="黑体" w:cs="黑体" w:hint="eastAsia"/>
          <w:kern w:val="0"/>
          <w:szCs w:val="21"/>
        </w:rPr>
        <w:t>产品管理人</w:t>
      </w:r>
      <w:r w:rsidR="004908EA" w:rsidRPr="00362CE7">
        <w:rPr>
          <w:rFonts w:ascii="黑体" w:eastAsia="黑体" w:hAnsi="黑体" w:cs="黑体" w:hint="eastAsia"/>
          <w:kern w:val="0"/>
          <w:szCs w:val="21"/>
        </w:rPr>
        <w:t>认为适当的其他方式披露以下产品信息：</w:t>
      </w:r>
    </w:p>
    <w:p w14:paraId="52665C05" w14:textId="6DEB9250"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1、</w:t>
      </w:r>
      <w:r w:rsidR="00E4661E" w:rsidRPr="00362CE7">
        <w:rPr>
          <w:rFonts w:ascii="黑体" w:eastAsia="黑体" w:hAnsi="黑体" w:cs="黑体" w:hint="eastAsia"/>
          <w:kern w:val="0"/>
          <w:szCs w:val="21"/>
        </w:rPr>
        <w:t>理财产品</w:t>
      </w:r>
      <w:r w:rsidRPr="00362CE7">
        <w:rPr>
          <w:rFonts w:ascii="黑体" w:eastAsia="黑体" w:hAnsi="黑体" w:cs="黑体" w:hint="eastAsia"/>
          <w:kern w:val="0"/>
          <w:szCs w:val="21"/>
        </w:rPr>
        <w:t>销售文件，包括</w:t>
      </w:r>
      <w:r w:rsidR="00E4661E" w:rsidRPr="00362CE7">
        <w:rPr>
          <w:rFonts w:ascii="黑体" w:eastAsia="黑体" w:hAnsi="黑体" w:cs="黑体" w:hint="eastAsia"/>
          <w:kern w:val="0"/>
          <w:szCs w:val="21"/>
        </w:rPr>
        <w:t>《理财产品说明书》、《风险揭示书》、《销售（代理销售）协议书》、《投资协议书》</w:t>
      </w:r>
      <w:r w:rsidRPr="00362CE7">
        <w:rPr>
          <w:rFonts w:ascii="黑体" w:eastAsia="黑体" w:hAnsi="黑体" w:cs="黑体" w:hint="eastAsia"/>
          <w:kern w:val="0"/>
          <w:szCs w:val="21"/>
        </w:rPr>
        <w:t>和</w:t>
      </w:r>
      <w:r w:rsidR="00E4661E" w:rsidRPr="00362CE7">
        <w:rPr>
          <w:rFonts w:ascii="黑体" w:eastAsia="黑体" w:hAnsi="黑体" w:cs="黑体" w:hint="eastAsia"/>
          <w:kern w:val="0"/>
          <w:szCs w:val="21"/>
        </w:rPr>
        <w:t>《投资者权益须知》等有关文件，以及对以上文件的有效修改或补充</w:t>
      </w:r>
      <w:r w:rsidRPr="00362CE7">
        <w:rPr>
          <w:rFonts w:ascii="黑体" w:eastAsia="黑体" w:hAnsi="黑体" w:cs="黑体" w:hint="eastAsia"/>
          <w:kern w:val="0"/>
          <w:szCs w:val="21"/>
        </w:rPr>
        <w:t>；</w:t>
      </w:r>
    </w:p>
    <w:p w14:paraId="3BE51B76" w14:textId="6C1E702E"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2、发行公告，包括</w:t>
      </w:r>
      <w:r w:rsidR="00EB61F5" w:rsidRPr="00362CE7">
        <w:rPr>
          <w:rFonts w:ascii="黑体" w:eastAsia="黑体" w:hAnsi="黑体" w:cs="黑体" w:hint="eastAsia"/>
          <w:kern w:val="0"/>
          <w:szCs w:val="21"/>
        </w:rPr>
        <w:t>本</w:t>
      </w:r>
      <w:r w:rsidRPr="00362CE7">
        <w:rPr>
          <w:rFonts w:ascii="黑体" w:eastAsia="黑体" w:hAnsi="黑体" w:cs="黑体" w:hint="eastAsia"/>
          <w:kern w:val="0"/>
          <w:szCs w:val="21"/>
        </w:rPr>
        <w:t>产品成立日期和募集规模等信息</w:t>
      </w:r>
      <w:r w:rsidR="00BC1D2C" w:rsidRPr="00362CE7">
        <w:rPr>
          <w:rFonts w:ascii="黑体" w:eastAsia="黑体" w:hAnsi="黑体" w:cs="黑体" w:hint="eastAsia"/>
          <w:kern w:val="0"/>
          <w:szCs w:val="21"/>
        </w:rPr>
        <w:t>，产品管理人将在本理财产品成立后5个工作日内披露产品发行公告</w:t>
      </w:r>
      <w:r w:rsidRPr="00362CE7">
        <w:rPr>
          <w:rFonts w:ascii="黑体" w:eastAsia="黑体" w:hAnsi="黑体" w:cs="黑体" w:hint="eastAsia"/>
          <w:kern w:val="0"/>
          <w:szCs w:val="21"/>
        </w:rPr>
        <w:t>；</w:t>
      </w:r>
    </w:p>
    <w:p w14:paraId="3080D67B" w14:textId="77777777" w:rsidR="003F6C1B"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3、定期报告，包括</w:t>
      </w:r>
      <w:r w:rsidR="00EB61F5" w:rsidRPr="00362CE7">
        <w:rPr>
          <w:rFonts w:ascii="黑体" w:eastAsia="黑体" w:hAnsi="黑体" w:cs="黑体" w:hint="eastAsia"/>
          <w:kern w:val="0"/>
          <w:szCs w:val="21"/>
        </w:rPr>
        <w:t>本</w:t>
      </w:r>
      <w:r w:rsidRPr="00362CE7">
        <w:rPr>
          <w:rFonts w:ascii="黑体" w:eastAsia="黑体" w:hAnsi="黑体" w:cs="黑体" w:hint="eastAsia"/>
          <w:kern w:val="0"/>
          <w:szCs w:val="21"/>
        </w:rPr>
        <w:t>产品的存续规模、收益表现，并分别列示直接和间接投资的资产种类、投资比例、投资组合的流动性风险分析，以及前十项资产具体名称、规模和比例等信息</w:t>
      </w:r>
      <w:r w:rsidR="003F6C1B" w:rsidRPr="00362CE7">
        <w:rPr>
          <w:rFonts w:ascii="黑体" w:eastAsia="黑体" w:hAnsi="黑体" w:cs="黑体" w:hint="eastAsia"/>
          <w:kern w:val="0"/>
          <w:szCs w:val="21"/>
        </w:rPr>
        <w:t>。</w:t>
      </w:r>
    </w:p>
    <w:p w14:paraId="13144D78" w14:textId="1A890600" w:rsidR="00766C65" w:rsidRPr="00362CE7" w:rsidRDefault="00536787"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产品管理人将在每个季度结束之日起15个工作日内、上半年结束之日起60个工作日内、每年结束之日起90个工作日内披露本理财产品的季度、半年</w:t>
      </w:r>
      <w:r w:rsidR="00B964FF" w:rsidRPr="00362CE7">
        <w:rPr>
          <w:rFonts w:ascii="黑体" w:eastAsia="黑体" w:hAnsi="黑体" w:cs="黑体" w:hint="eastAsia"/>
          <w:kern w:val="0"/>
          <w:szCs w:val="21"/>
        </w:rPr>
        <w:t>度</w:t>
      </w:r>
      <w:r w:rsidRPr="00362CE7">
        <w:rPr>
          <w:rFonts w:ascii="黑体" w:eastAsia="黑体" w:hAnsi="黑体" w:cs="黑体" w:hint="eastAsia"/>
          <w:kern w:val="0"/>
          <w:szCs w:val="21"/>
        </w:rPr>
        <w:t>和年度报告，如果本理财产品成立不足90个工作日或者剩余存续期不超过90个工作日的，产品管理人可以不编制产品当期的季度、半年</w:t>
      </w:r>
      <w:r w:rsidR="00B964FF" w:rsidRPr="00362CE7">
        <w:rPr>
          <w:rFonts w:ascii="黑体" w:eastAsia="黑体" w:hAnsi="黑体" w:cs="黑体" w:hint="eastAsia"/>
          <w:kern w:val="0"/>
          <w:szCs w:val="21"/>
        </w:rPr>
        <w:t>度</w:t>
      </w:r>
      <w:r w:rsidRPr="00362CE7">
        <w:rPr>
          <w:rFonts w:ascii="黑体" w:eastAsia="黑体" w:hAnsi="黑体" w:cs="黑体" w:hint="eastAsia"/>
          <w:kern w:val="0"/>
          <w:szCs w:val="21"/>
        </w:rPr>
        <w:t>和年度报告</w:t>
      </w:r>
      <w:r w:rsidR="00766C65" w:rsidRPr="00362CE7">
        <w:rPr>
          <w:rFonts w:ascii="黑体" w:eastAsia="黑体" w:hAnsi="黑体" w:cs="黑体" w:hint="eastAsia"/>
          <w:kern w:val="0"/>
          <w:szCs w:val="21"/>
        </w:rPr>
        <w:t>。</w:t>
      </w:r>
    </w:p>
    <w:p w14:paraId="4C3563F6" w14:textId="0360AEC1"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4、到期公告，包括</w:t>
      </w:r>
      <w:r w:rsidR="00EB61F5" w:rsidRPr="00362CE7">
        <w:rPr>
          <w:rFonts w:ascii="黑体" w:eastAsia="黑体" w:hAnsi="黑体" w:cs="黑体" w:hint="eastAsia"/>
          <w:kern w:val="0"/>
          <w:szCs w:val="21"/>
        </w:rPr>
        <w:t>本</w:t>
      </w:r>
      <w:r w:rsidRPr="00362CE7">
        <w:rPr>
          <w:rFonts w:ascii="黑体" w:eastAsia="黑体" w:hAnsi="黑体" w:cs="黑体" w:hint="eastAsia"/>
          <w:kern w:val="0"/>
          <w:szCs w:val="21"/>
        </w:rPr>
        <w:t>产品的存续期限、终止日期、收费情况和收益分配情况等信息</w:t>
      </w:r>
      <w:r w:rsidR="005F4888" w:rsidRPr="00362CE7">
        <w:rPr>
          <w:rFonts w:ascii="黑体" w:eastAsia="黑体" w:hAnsi="黑体" w:cs="黑体" w:hint="eastAsia"/>
          <w:kern w:val="0"/>
          <w:szCs w:val="21"/>
        </w:rPr>
        <w:t>，产品管理人将在本理财产品</w:t>
      </w:r>
      <w:r w:rsidR="005E1052" w:rsidRPr="00362CE7">
        <w:rPr>
          <w:rFonts w:ascii="黑体" w:eastAsia="黑体" w:hAnsi="黑体" w:cs="黑体" w:hint="eastAsia"/>
          <w:kern w:val="0"/>
          <w:szCs w:val="21"/>
        </w:rPr>
        <w:t>终止</w:t>
      </w:r>
      <w:r w:rsidR="005F4888" w:rsidRPr="00362CE7">
        <w:rPr>
          <w:rFonts w:ascii="黑体" w:eastAsia="黑体" w:hAnsi="黑体" w:cs="黑体" w:hint="eastAsia"/>
          <w:kern w:val="0"/>
          <w:szCs w:val="21"/>
        </w:rPr>
        <w:t>后5个工作日内披露产品到期公告</w:t>
      </w:r>
      <w:r w:rsidR="00C97927" w:rsidRPr="00362CE7">
        <w:rPr>
          <w:rFonts w:ascii="黑体" w:eastAsia="黑体" w:hAnsi="黑体" w:cs="黑体" w:hint="eastAsia"/>
          <w:kern w:val="0"/>
          <w:szCs w:val="21"/>
        </w:rPr>
        <w:t>；</w:t>
      </w:r>
    </w:p>
    <w:p w14:paraId="3748C2E3" w14:textId="1C2764DA"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5、重大事项公告；</w:t>
      </w:r>
    </w:p>
    <w:p w14:paraId="7D69553A" w14:textId="2E54C913"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6、临时性信息披露；</w:t>
      </w:r>
    </w:p>
    <w:p w14:paraId="4CF79F4F" w14:textId="05B2BB7E"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7、国务院银行业监督管理机构规定的其他信息；</w:t>
      </w:r>
    </w:p>
    <w:p w14:paraId="52A782AC" w14:textId="34CF7F3B" w:rsidR="004908EA" w:rsidRPr="00362CE7" w:rsidRDefault="004908EA" w:rsidP="00376166">
      <w:pPr>
        <w:autoSpaceDE w:val="0"/>
        <w:autoSpaceDN w:val="0"/>
        <w:adjustRightInd w:val="0"/>
        <w:ind w:firstLineChars="200" w:firstLine="420"/>
        <w:jc w:val="left"/>
        <w:rPr>
          <w:rFonts w:ascii="黑体" w:eastAsia="黑体" w:hAnsi="黑体" w:cs="黑体"/>
          <w:kern w:val="0"/>
          <w:szCs w:val="21"/>
        </w:rPr>
      </w:pPr>
      <w:r w:rsidRPr="00362CE7">
        <w:rPr>
          <w:rFonts w:ascii="黑体" w:eastAsia="黑体" w:hAnsi="黑体" w:cs="黑体" w:hint="eastAsia"/>
          <w:kern w:val="0"/>
          <w:szCs w:val="21"/>
        </w:rPr>
        <w:t>8、</w:t>
      </w:r>
      <w:r w:rsidR="000853EA" w:rsidRPr="00362CE7">
        <w:rPr>
          <w:rFonts w:ascii="黑体" w:eastAsia="黑体" w:hAnsi="黑体" w:cs="黑体" w:hint="eastAsia"/>
          <w:kern w:val="0"/>
          <w:szCs w:val="21"/>
        </w:rPr>
        <w:t>产品管理人</w:t>
      </w:r>
      <w:r w:rsidRPr="00362CE7">
        <w:rPr>
          <w:rFonts w:ascii="黑体" w:eastAsia="黑体" w:hAnsi="黑体" w:cs="黑体" w:hint="eastAsia"/>
          <w:kern w:val="0"/>
          <w:szCs w:val="21"/>
        </w:rPr>
        <w:t>认为需要披露的其他信息。</w:t>
      </w:r>
    </w:p>
    <w:p w14:paraId="1B669163" w14:textId="11B0938B" w:rsidR="00B318DA" w:rsidRPr="00362CE7" w:rsidRDefault="004908EA" w:rsidP="00376166">
      <w:pPr>
        <w:autoSpaceDE w:val="0"/>
        <w:autoSpaceDN w:val="0"/>
        <w:adjustRightInd w:val="0"/>
        <w:jc w:val="left"/>
        <w:rPr>
          <w:rFonts w:ascii="黑体" w:eastAsia="黑体" w:hAnsi="黑体" w:cs="宋体"/>
          <w:b/>
          <w:kern w:val="0"/>
          <w:szCs w:val="21"/>
        </w:rPr>
      </w:pPr>
      <w:r w:rsidRPr="00362CE7">
        <w:rPr>
          <w:rFonts w:ascii="黑体" w:eastAsia="黑体" w:hAnsi="黑体" w:cs="宋体" w:hint="eastAsia"/>
          <w:b/>
          <w:kern w:val="0"/>
          <w:szCs w:val="21"/>
        </w:rPr>
        <w:t>（二</w:t>
      </w:r>
      <w:r w:rsidRPr="00362CE7">
        <w:rPr>
          <w:rFonts w:ascii="黑体" w:eastAsia="黑体" w:hAnsi="黑体" w:cs="宋体"/>
          <w:b/>
          <w:kern w:val="0"/>
          <w:szCs w:val="21"/>
        </w:rPr>
        <w:t>）</w:t>
      </w:r>
      <w:r w:rsidRPr="00362CE7">
        <w:rPr>
          <w:rFonts w:ascii="黑体" w:eastAsia="黑体" w:hAnsi="黑体" w:cs="宋体" w:hint="eastAsia"/>
          <w:b/>
          <w:kern w:val="0"/>
          <w:szCs w:val="21"/>
        </w:rPr>
        <w:t>投资者同意，</w:t>
      </w:r>
      <w:r w:rsidR="000853EA" w:rsidRPr="00362CE7">
        <w:rPr>
          <w:rFonts w:ascii="黑体" w:eastAsia="黑体" w:hAnsi="黑体" w:cs="宋体" w:hint="eastAsia"/>
          <w:b/>
          <w:kern w:val="0"/>
          <w:szCs w:val="21"/>
        </w:rPr>
        <w:t>产品管理人</w:t>
      </w:r>
      <w:r w:rsidR="00963EB1" w:rsidRPr="00362CE7">
        <w:rPr>
          <w:rFonts w:ascii="黑体" w:eastAsia="黑体" w:hAnsi="黑体" w:cs="宋体" w:hint="eastAsia"/>
          <w:b/>
          <w:kern w:val="0"/>
          <w:szCs w:val="21"/>
        </w:rPr>
        <w:t>或销售机构</w:t>
      </w:r>
      <w:r w:rsidRPr="00362CE7">
        <w:rPr>
          <w:rFonts w:ascii="黑体" w:eastAsia="黑体" w:hAnsi="黑体" w:cs="宋体" w:hint="eastAsia"/>
          <w:b/>
          <w:kern w:val="0"/>
          <w:szCs w:val="21"/>
        </w:rPr>
        <w:t>通过</w:t>
      </w:r>
      <w:r w:rsidRPr="00362CE7">
        <w:rPr>
          <w:rFonts w:ascii="黑体" w:eastAsia="黑体" w:hAnsi="黑体" w:cs="宋体"/>
          <w:b/>
          <w:kern w:val="0"/>
          <w:szCs w:val="21"/>
        </w:rPr>
        <w:t>上述</w:t>
      </w:r>
      <w:r w:rsidRPr="00362CE7">
        <w:rPr>
          <w:rFonts w:ascii="黑体" w:eastAsia="黑体" w:hAnsi="黑体" w:cs="宋体" w:hint="eastAsia"/>
          <w:b/>
          <w:kern w:val="0"/>
          <w:szCs w:val="21"/>
        </w:rPr>
        <w:t>方式及</w:t>
      </w:r>
      <w:r w:rsidRPr="00362CE7">
        <w:rPr>
          <w:rFonts w:ascii="黑体" w:eastAsia="黑体" w:hAnsi="黑体" w:cs="宋体"/>
          <w:b/>
          <w:kern w:val="0"/>
          <w:szCs w:val="21"/>
        </w:rPr>
        <w:t>频率</w:t>
      </w:r>
      <w:r w:rsidRPr="00362CE7">
        <w:rPr>
          <w:rFonts w:ascii="黑体" w:eastAsia="黑体" w:hAnsi="黑体" w:cs="宋体" w:hint="eastAsia"/>
          <w:b/>
          <w:kern w:val="0"/>
          <w:szCs w:val="21"/>
        </w:rPr>
        <w:t>进行信息披露，</w:t>
      </w:r>
      <w:r w:rsidR="00B318DA" w:rsidRPr="00362CE7">
        <w:rPr>
          <w:rFonts w:ascii="黑体" w:eastAsia="黑体" w:hAnsi="黑体" w:cs="宋体"/>
          <w:b/>
          <w:kern w:val="0"/>
          <w:szCs w:val="21"/>
        </w:rPr>
        <w:t>视为完全</w:t>
      </w:r>
      <w:r w:rsidR="00E64A17" w:rsidRPr="00362CE7">
        <w:rPr>
          <w:rFonts w:ascii="黑体" w:eastAsia="黑体" w:hAnsi="黑体" w:cs="宋体"/>
          <w:b/>
          <w:kern w:val="0"/>
          <w:szCs w:val="21"/>
        </w:rPr>
        <w:t>履行信息</w:t>
      </w:r>
      <w:r w:rsidR="00E64A17" w:rsidRPr="00362CE7">
        <w:rPr>
          <w:rFonts w:ascii="黑体" w:eastAsia="黑体" w:hAnsi="黑体" w:cs="宋体" w:hint="eastAsia"/>
          <w:b/>
          <w:kern w:val="0"/>
          <w:szCs w:val="21"/>
        </w:rPr>
        <w:t>披露</w:t>
      </w:r>
      <w:r w:rsidR="00B318DA" w:rsidRPr="00362CE7">
        <w:rPr>
          <w:rFonts w:ascii="黑体" w:eastAsia="黑体" w:hAnsi="黑体" w:cs="宋体"/>
          <w:b/>
          <w:kern w:val="0"/>
          <w:szCs w:val="21"/>
        </w:rPr>
        <w:t>义务</w:t>
      </w:r>
      <w:r w:rsidR="00B318DA" w:rsidRPr="00362CE7">
        <w:rPr>
          <w:rFonts w:ascii="黑体" w:eastAsia="黑体" w:hAnsi="黑体" w:cs="宋体" w:hint="eastAsia"/>
          <w:b/>
          <w:kern w:val="0"/>
          <w:szCs w:val="21"/>
        </w:rPr>
        <w:t>，</w:t>
      </w:r>
      <w:r w:rsidRPr="00362CE7">
        <w:rPr>
          <w:rFonts w:ascii="黑体" w:eastAsia="黑体" w:hAnsi="黑体" w:cs="宋体" w:hint="eastAsia"/>
          <w:b/>
          <w:kern w:val="0"/>
          <w:szCs w:val="21"/>
        </w:rPr>
        <w:t>如果投资者未及时查询，或由于通讯故障、非</w:t>
      </w:r>
      <w:r w:rsidR="000853EA" w:rsidRPr="00362CE7">
        <w:rPr>
          <w:rFonts w:ascii="黑体" w:eastAsia="黑体" w:hAnsi="黑体" w:cs="宋体" w:hint="eastAsia"/>
          <w:b/>
          <w:kern w:val="0"/>
          <w:szCs w:val="21"/>
        </w:rPr>
        <w:t>产品管理人</w:t>
      </w:r>
      <w:r w:rsidRPr="00362CE7">
        <w:rPr>
          <w:rFonts w:ascii="黑体" w:eastAsia="黑体" w:hAnsi="黑体" w:cs="宋体" w:hint="eastAsia"/>
          <w:b/>
          <w:kern w:val="0"/>
          <w:szCs w:val="21"/>
        </w:rPr>
        <w:t>原因的系统故障以及其他不可抗力等因素的影响</w:t>
      </w:r>
      <w:r w:rsidR="00A8689F" w:rsidRPr="00362CE7">
        <w:rPr>
          <w:rFonts w:ascii="黑体" w:eastAsia="黑体" w:hAnsi="黑体" w:cs="宋体"/>
          <w:b/>
          <w:kern w:val="0"/>
          <w:szCs w:val="21"/>
        </w:rPr>
        <w:t>,致使</w:t>
      </w:r>
      <w:r w:rsidRPr="00362CE7">
        <w:rPr>
          <w:rFonts w:ascii="黑体" w:eastAsia="黑体" w:hAnsi="黑体" w:cs="宋体" w:hint="eastAsia"/>
          <w:b/>
          <w:kern w:val="0"/>
          <w:szCs w:val="21"/>
        </w:rPr>
        <w:t>投资者无法及时了解产品信息，因此而产生的（包括但不限于因未及时获知信息而错过资金使用和再投资的机会等）全部责任和风险，由投资者自行承担。</w:t>
      </w:r>
    </w:p>
    <w:p w14:paraId="3AD470D3" w14:textId="77777777" w:rsidR="00A9684D" w:rsidRPr="00362CE7" w:rsidRDefault="00A9684D" w:rsidP="00B318DA">
      <w:pPr>
        <w:autoSpaceDE w:val="0"/>
        <w:autoSpaceDN w:val="0"/>
        <w:adjustRightInd w:val="0"/>
        <w:ind w:firstLineChars="157" w:firstLine="330"/>
        <w:jc w:val="left"/>
        <w:rPr>
          <w:rFonts w:ascii="黑体" w:eastAsia="黑体" w:hAnsi="黑体" w:cs="宋体"/>
          <w:kern w:val="0"/>
          <w:szCs w:val="21"/>
        </w:rPr>
      </w:pPr>
    </w:p>
    <w:p w14:paraId="69583989" w14:textId="0158EF84" w:rsidR="00716AC6" w:rsidRPr="00362CE7" w:rsidRDefault="00963EB1" w:rsidP="00ED0054">
      <w:pPr>
        <w:autoSpaceDE w:val="0"/>
        <w:autoSpaceDN w:val="0"/>
        <w:adjustRightInd w:val="0"/>
        <w:jc w:val="left"/>
        <w:rPr>
          <w:rFonts w:ascii="黑体" w:eastAsia="黑体" w:hAnsi="黑体" w:cs="黑体"/>
          <w:b/>
          <w:kern w:val="0"/>
          <w:szCs w:val="21"/>
        </w:rPr>
      </w:pPr>
      <w:r w:rsidRPr="00362CE7">
        <w:rPr>
          <w:rFonts w:ascii="黑体" w:eastAsia="黑体" w:hAnsi="黑体" w:cs="黑体" w:hint="eastAsia"/>
          <w:b/>
          <w:kern w:val="0"/>
          <w:szCs w:val="21"/>
        </w:rPr>
        <w:t>十一</w:t>
      </w:r>
      <w:r w:rsidR="00716AC6" w:rsidRPr="00362CE7">
        <w:rPr>
          <w:rFonts w:ascii="黑体" w:eastAsia="黑体" w:hAnsi="黑体" w:cs="黑体" w:hint="eastAsia"/>
          <w:b/>
          <w:kern w:val="0"/>
          <w:szCs w:val="21"/>
        </w:rPr>
        <w:t>、特别</w:t>
      </w:r>
      <w:r w:rsidR="00EC57A1" w:rsidRPr="00362CE7">
        <w:rPr>
          <w:rFonts w:ascii="黑体" w:eastAsia="黑体" w:hAnsi="黑体" w:cs="黑体" w:hint="eastAsia"/>
          <w:b/>
          <w:kern w:val="0"/>
          <w:szCs w:val="21"/>
        </w:rPr>
        <w:t>提示</w:t>
      </w:r>
    </w:p>
    <w:p w14:paraId="0651578C" w14:textId="36B4AD7C" w:rsidR="00843232" w:rsidRPr="00362CE7" w:rsidRDefault="00A1346F" w:rsidP="00376166">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cs="宋体"/>
          <w:b/>
          <w:kern w:val="0"/>
          <w:szCs w:val="21"/>
        </w:rPr>
        <w:t>1、</w:t>
      </w:r>
      <w:r w:rsidR="00716AC6" w:rsidRPr="00362CE7">
        <w:rPr>
          <w:rFonts w:ascii="黑体" w:eastAsia="黑体" w:hAnsi="黑体" w:cs="宋体" w:hint="eastAsia"/>
          <w:b/>
          <w:kern w:val="0"/>
          <w:szCs w:val="21"/>
        </w:rPr>
        <w:t>本产品业绩比较基准仅供</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参考，并不作为</w:t>
      </w:r>
      <w:r w:rsidR="000853EA" w:rsidRPr="00362CE7">
        <w:rPr>
          <w:rFonts w:ascii="黑体" w:eastAsia="黑体" w:hAnsi="黑体" w:cs="宋体" w:hint="eastAsia"/>
          <w:b/>
          <w:kern w:val="0"/>
          <w:szCs w:val="21"/>
        </w:rPr>
        <w:t>产品管理人</w:t>
      </w:r>
      <w:r w:rsidR="00716AC6" w:rsidRPr="00362CE7">
        <w:rPr>
          <w:rFonts w:ascii="黑体" w:eastAsia="黑体" w:hAnsi="黑体" w:cs="宋体" w:hint="eastAsia"/>
          <w:b/>
          <w:kern w:val="0"/>
          <w:szCs w:val="21"/>
        </w:rPr>
        <w:t>向</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支付本产品</w:t>
      </w:r>
      <w:r w:rsidR="00BC643A" w:rsidRPr="00362CE7">
        <w:rPr>
          <w:rFonts w:ascii="黑体" w:eastAsia="黑体" w:hAnsi="黑体" w:cs="宋体" w:hint="eastAsia"/>
          <w:b/>
          <w:kern w:val="0"/>
          <w:szCs w:val="21"/>
        </w:rPr>
        <w:t>本金</w:t>
      </w:r>
      <w:r w:rsidR="00BC643A" w:rsidRPr="00362CE7">
        <w:rPr>
          <w:rFonts w:ascii="黑体" w:eastAsia="黑体" w:hAnsi="黑体" w:cs="宋体"/>
          <w:b/>
          <w:kern w:val="0"/>
          <w:szCs w:val="21"/>
        </w:rPr>
        <w:t>或</w:t>
      </w:r>
      <w:r w:rsidR="00716AC6" w:rsidRPr="00362CE7">
        <w:rPr>
          <w:rFonts w:ascii="黑体" w:eastAsia="黑体" w:hAnsi="黑体" w:cs="宋体" w:hint="eastAsia"/>
          <w:b/>
          <w:kern w:val="0"/>
          <w:szCs w:val="21"/>
        </w:rPr>
        <w:t>收益的承诺；</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所能获得的最终收益以</w:t>
      </w:r>
      <w:r w:rsidR="00EC57A1" w:rsidRPr="00362CE7">
        <w:rPr>
          <w:rFonts w:ascii="黑体" w:eastAsia="黑体" w:hAnsi="黑体" w:cs="宋体" w:hint="eastAsia"/>
          <w:b/>
          <w:kern w:val="0"/>
          <w:szCs w:val="21"/>
        </w:rPr>
        <w:t>产品实际</w:t>
      </w:r>
      <w:r w:rsidR="00EC57A1" w:rsidRPr="00362CE7">
        <w:rPr>
          <w:rFonts w:ascii="黑体" w:eastAsia="黑体" w:hAnsi="黑体" w:cs="宋体"/>
          <w:b/>
          <w:kern w:val="0"/>
          <w:szCs w:val="21"/>
        </w:rPr>
        <w:t>情况</w:t>
      </w:r>
      <w:r w:rsidR="00716AC6" w:rsidRPr="00362CE7">
        <w:rPr>
          <w:rFonts w:ascii="黑体" w:eastAsia="黑体" w:hAnsi="黑体" w:cs="宋体" w:hint="eastAsia"/>
          <w:b/>
          <w:kern w:val="0"/>
          <w:szCs w:val="21"/>
        </w:rPr>
        <w:t>为准。</w:t>
      </w:r>
    </w:p>
    <w:p w14:paraId="4CAA91D3" w14:textId="2F1CC927" w:rsidR="00716AC6" w:rsidRPr="00362CE7" w:rsidRDefault="00A1346F" w:rsidP="00376166">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cs="宋体"/>
          <w:b/>
          <w:kern w:val="0"/>
          <w:szCs w:val="21"/>
        </w:rPr>
        <w:t>2</w:t>
      </w:r>
      <w:r w:rsidRPr="00362CE7">
        <w:rPr>
          <w:rFonts w:ascii="黑体" w:eastAsia="黑体" w:hAnsi="黑体" w:cs="宋体" w:hint="eastAsia"/>
          <w:b/>
          <w:kern w:val="0"/>
          <w:szCs w:val="21"/>
        </w:rPr>
        <w:t>、</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在投资前，请仔细阅读本说明书，并作出独立的投资决策。</w:t>
      </w:r>
    </w:p>
    <w:p w14:paraId="46A917B4" w14:textId="4C704F61" w:rsidR="00716AC6" w:rsidRPr="00362CE7" w:rsidRDefault="00A1346F" w:rsidP="00376166">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cs="宋体"/>
          <w:b/>
          <w:kern w:val="0"/>
          <w:szCs w:val="21"/>
        </w:rPr>
        <w:t>3、</w:t>
      </w:r>
      <w:r w:rsidR="000853EA" w:rsidRPr="00362CE7">
        <w:rPr>
          <w:rFonts w:ascii="黑体" w:eastAsia="黑体" w:hAnsi="黑体" w:cs="宋体"/>
          <w:b/>
          <w:kern w:val="0"/>
          <w:szCs w:val="21"/>
        </w:rPr>
        <w:t>产品管理人</w:t>
      </w:r>
      <w:r w:rsidR="00716AC6" w:rsidRPr="00362CE7">
        <w:rPr>
          <w:rFonts w:ascii="黑体" w:eastAsia="黑体" w:hAnsi="黑体" w:cs="宋体" w:hint="eastAsia"/>
          <w:b/>
          <w:kern w:val="0"/>
          <w:szCs w:val="21"/>
        </w:rPr>
        <w:t>将恪守勤勉尽责的原则，合理配置资产组合，为</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提供专业化的</w:t>
      </w:r>
      <w:r w:rsidR="00716AC6" w:rsidRPr="00362CE7">
        <w:rPr>
          <w:rFonts w:ascii="黑体" w:eastAsia="黑体" w:hAnsi="黑体" w:cs="宋体" w:hint="eastAsia"/>
          <w:b/>
          <w:kern w:val="0"/>
          <w:szCs w:val="21"/>
        </w:rPr>
        <w:lastRenderedPageBreak/>
        <w:t>理财服务。</w:t>
      </w:r>
    </w:p>
    <w:p w14:paraId="5FFF3C3D" w14:textId="0D6B1B06" w:rsidR="002369D6" w:rsidRPr="00362CE7" w:rsidRDefault="00A1346F" w:rsidP="00376166">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cs="宋体"/>
          <w:b/>
          <w:kern w:val="0"/>
          <w:szCs w:val="21"/>
        </w:rPr>
        <w:t>4</w:t>
      </w:r>
      <w:r w:rsidRPr="00362CE7">
        <w:rPr>
          <w:rFonts w:ascii="黑体" w:eastAsia="黑体" w:hAnsi="黑体" w:cs="宋体" w:hint="eastAsia"/>
          <w:b/>
          <w:kern w:val="0"/>
          <w:szCs w:val="21"/>
        </w:rPr>
        <w:t>、</w:t>
      </w:r>
      <w:r w:rsidR="00A479CF" w:rsidRPr="00362CE7">
        <w:rPr>
          <w:rFonts w:ascii="黑体" w:eastAsia="黑体" w:hAnsi="黑体" w:cs="宋体" w:hint="eastAsia"/>
          <w:b/>
          <w:kern w:val="0"/>
          <w:szCs w:val="21"/>
        </w:rPr>
        <w:t>投资者</w:t>
      </w:r>
      <w:r w:rsidR="00716AC6" w:rsidRPr="00362CE7">
        <w:rPr>
          <w:rFonts w:ascii="黑体" w:eastAsia="黑体" w:hAnsi="黑体" w:cs="宋体" w:hint="eastAsia"/>
          <w:b/>
          <w:kern w:val="0"/>
          <w:szCs w:val="21"/>
        </w:rPr>
        <w:t>应密切关注</w:t>
      </w:r>
      <w:r w:rsidR="000853EA" w:rsidRPr="00362CE7">
        <w:rPr>
          <w:rFonts w:ascii="黑体" w:eastAsia="黑体" w:hAnsi="黑体" w:cs="宋体" w:hint="eastAsia"/>
          <w:b/>
          <w:kern w:val="0"/>
          <w:szCs w:val="21"/>
        </w:rPr>
        <w:t>产品管理人</w:t>
      </w:r>
      <w:r w:rsidR="00B964FF" w:rsidRPr="00362CE7">
        <w:rPr>
          <w:rFonts w:ascii="黑体" w:eastAsia="黑体" w:hAnsi="黑体" w:cs="宋体" w:hint="eastAsia"/>
          <w:b/>
          <w:kern w:val="0"/>
          <w:szCs w:val="21"/>
        </w:rPr>
        <w:t>或</w:t>
      </w:r>
      <w:r w:rsidR="00B964FF" w:rsidRPr="00362CE7">
        <w:rPr>
          <w:rFonts w:ascii="黑体" w:eastAsia="黑体" w:hAnsi="黑体" w:cs="宋体"/>
          <w:b/>
          <w:kern w:val="0"/>
          <w:szCs w:val="21"/>
        </w:rPr>
        <w:t>销售机构发布的</w:t>
      </w:r>
      <w:r w:rsidR="00716AC6" w:rsidRPr="00362CE7">
        <w:rPr>
          <w:rFonts w:ascii="黑体" w:eastAsia="黑体" w:hAnsi="黑体" w:cs="宋体" w:hint="eastAsia"/>
          <w:b/>
          <w:kern w:val="0"/>
          <w:szCs w:val="21"/>
        </w:rPr>
        <w:t>与本产品有关的信息</w:t>
      </w:r>
      <w:r w:rsidR="00846771" w:rsidRPr="00362CE7">
        <w:rPr>
          <w:rFonts w:ascii="黑体" w:eastAsia="黑体" w:hAnsi="黑体" w:cs="宋体" w:hint="eastAsia"/>
          <w:b/>
          <w:kern w:val="0"/>
          <w:szCs w:val="21"/>
        </w:rPr>
        <w:t>披露</w:t>
      </w:r>
      <w:r w:rsidR="00716AC6" w:rsidRPr="00362CE7">
        <w:rPr>
          <w:rFonts w:ascii="黑体" w:eastAsia="黑体" w:hAnsi="黑体" w:cs="宋体" w:hint="eastAsia"/>
          <w:b/>
          <w:kern w:val="0"/>
          <w:szCs w:val="21"/>
        </w:rPr>
        <w:t>公告，以免造成不必要的损失。</w:t>
      </w:r>
    </w:p>
    <w:p w14:paraId="2CE5806C" w14:textId="77777777" w:rsidR="00750677" w:rsidRPr="00362CE7" w:rsidRDefault="00846771" w:rsidP="00750677">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cs="宋体"/>
          <w:b/>
          <w:kern w:val="0"/>
          <w:szCs w:val="21"/>
        </w:rPr>
        <w:t>5、其他</w:t>
      </w:r>
      <w:r w:rsidR="00E64A17" w:rsidRPr="00362CE7">
        <w:rPr>
          <w:rFonts w:ascii="黑体" w:eastAsia="黑体" w:hAnsi="黑体" w:cs="宋体" w:hint="eastAsia"/>
          <w:b/>
          <w:kern w:val="0"/>
          <w:szCs w:val="21"/>
        </w:rPr>
        <w:t>：</w:t>
      </w:r>
      <w:r w:rsidR="00750677" w:rsidRPr="00362CE7">
        <w:rPr>
          <w:rFonts w:ascii="黑体" w:eastAsia="黑体" w:hAnsi="黑体" w:hint="eastAsia"/>
          <w:b/>
          <w:szCs w:val="21"/>
        </w:rPr>
        <w:t>无。</w:t>
      </w:r>
    </w:p>
    <w:p w14:paraId="3CFCB2D2" w14:textId="77777777" w:rsidR="00684022" w:rsidRPr="00362CE7" w:rsidRDefault="00684022" w:rsidP="00376166">
      <w:pPr>
        <w:autoSpaceDE w:val="0"/>
        <w:autoSpaceDN w:val="0"/>
        <w:adjustRightInd w:val="0"/>
        <w:ind w:firstLineChars="200" w:firstLine="420"/>
        <w:jc w:val="left"/>
        <w:rPr>
          <w:rFonts w:ascii="黑体" w:eastAsia="黑体" w:hAnsi="黑体" w:cs="宋体"/>
          <w:kern w:val="0"/>
          <w:szCs w:val="21"/>
        </w:rPr>
      </w:pPr>
    </w:p>
    <w:p w14:paraId="54E777B1" w14:textId="4BE95685" w:rsidR="00D26CDC" w:rsidRPr="00362CE7" w:rsidRDefault="00963EB1" w:rsidP="00846771">
      <w:pPr>
        <w:rPr>
          <w:rFonts w:ascii="黑体" w:eastAsia="黑体" w:hAnsi="黑体"/>
          <w:b/>
          <w:szCs w:val="21"/>
        </w:rPr>
      </w:pPr>
      <w:r w:rsidRPr="00362CE7">
        <w:rPr>
          <w:rFonts w:ascii="黑体" w:eastAsia="黑体" w:hAnsi="黑体" w:hint="eastAsia"/>
          <w:b/>
          <w:szCs w:val="21"/>
        </w:rPr>
        <w:t>十二</w:t>
      </w:r>
      <w:r w:rsidR="00846771" w:rsidRPr="00362CE7">
        <w:rPr>
          <w:rFonts w:ascii="黑体" w:eastAsia="黑体" w:hAnsi="黑体" w:hint="eastAsia"/>
          <w:b/>
          <w:szCs w:val="21"/>
        </w:rPr>
        <w:t>、其他</w:t>
      </w:r>
    </w:p>
    <w:p w14:paraId="588CB220" w14:textId="3E9D391E" w:rsidR="00846771" w:rsidRPr="00362CE7" w:rsidRDefault="00943A82" w:rsidP="00376166">
      <w:pPr>
        <w:autoSpaceDE w:val="0"/>
        <w:autoSpaceDN w:val="0"/>
        <w:adjustRightInd w:val="0"/>
        <w:ind w:firstLineChars="200" w:firstLine="422"/>
        <w:jc w:val="left"/>
        <w:rPr>
          <w:rFonts w:ascii="黑体" w:eastAsia="黑体" w:hAnsi="黑体"/>
          <w:b/>
          <w:szCs w:val="21"/>
        </w:rPr>
      </w:pPr>
      <w:r w:rsidRPr="00362CE7">
        <w:rPr>
          <w:rFonts w:ascii="黑体" w:eastAsia="黑体" w:hAnsi="黑体"/>
          <w:b/>
          <w:szCs w:val="21"/>
        </w:rPr>
        <w:t>1、</w:t>
      </w:r>
      <w:r w:rsidR="00880F50" w:rsidRPr="00362CE7">
        <w:rPr>
          <w:rFonts w:ascii="黑体" w:eastAsia="黑体" w:hAnsi="黑体" w:hint="eastAsia"/>
          <w:b/>
          <w:szCs w:val="21"/>
        </w:rPr>
        <w:t>除</w:t>
      </w:r>
      <w:r w:rsidR="000853EA" w:rsidRPr="00362CE7">
        <w:rPr>
          <w:rFonts w:ascii="黑体" w:eastAsia="黑体" w:hAnsi="黑体"/>
          <w:b/>
          <w:szCs w:val="21"/>
        </w:rPr>
        <w:t>产品管理人</w:t>
      </w:r>
      <w:r w:rsidR="0069122C" w:rsidRPr="00362CE7">
        <w:rPr>
          <w:rFonts w:ascii="黑体" w:eastAsia="黑体" w:hAnsi="黑体" w:hint="eastAsia"/>
          <w:b/>
          <w:szCs w:val="21"/>
        </w:rPr>
        <w:t>同意</w:t>
      </w:r>
      <w:r w:rsidR="00880F50" w:rsidRPr="00362CE7">
        <w:rPr>
          <w:rFonts w:ascii="黑体" w:eastAsia="黑体" w:hAnsi="黑体" w:hint="eastAsia"/>
          <w:b/>
          <w:szCs w:val="21"/>
        </w:rPr>
        <w:t>外</w:t>
      </w:r>
      <w:r w:rsidR="0069122C" w:rsidRPr="00362CE7">
        <w:rPr>
          <w:rFonts w:ascii="黑体" w:eastAsia="黑体" w:hAnsi="黑体"/>
          <w:b/>
          <w:szCs w:val="21"/>
        </w:rPr>
        <w:t>，</w:t>
      </w:r>
      <w:r w:rsidRPr="00362CE7">
        <w:rPr>
          <w:rFonts w:ascii="黑体" w:eastAsia="黑体" w:hAnsi="黑体"/>
          <w:b/>
          <w:szCs w:val="21"/>
        </w:rPr>
        <w:t>本产品</w:t>
      </w:r>
      <w:r w:rsidR="0069122C" w:rsidRPr="00362CE7">
        <w:rPr>
          <w:rFonts w:ascii="黑体" w:eastAsia="黑体" w:hAnsi="黑体" w:hint="eastAsia"/>
          <w:b/>
          <w:szCs w:val="21"/>
        </w:rPr>
        <w:t>不</w:t>
      </w:r>
      <w:r w:rsidRPr="00362CE7">
        <w:rPr>
          <w:rFonts w:ascii="黑体" w:eastAsia="黑体" w:hAnsi="黑体"/>
          <w:b/>
          <w:szCs w:val="21"/>
        </w:rPr>
        <w:t>允许</w:t>
      </w:r>
      <w:r w:rsidR="00EE3992" w:rsidRPr="00362CE7">
        <w:rPr>
          <w:rFonts w:ascii="黑体" w:eastAsia="黑体" w:hAnsi="黑体"/>
          <w:b/>
          <w:szCs w:val="21"/>
        </w:rPr>
        <w:t>投资者</w:t>
      </w:r>
      <w:r w:rsidR="0069122C" w:rsidRPr="00362CE7">
        <w:rPr>
          <w:rFonts w:ascii="黑体" w:eastAsia="黑体" w:hAnsi="黑体" w:hint="eastAsia"/>
          <w:b/>
          <w:szCs w:val="21"/>
        </w:rPr>
        <w:t>办理</w:t>
      </w:r>
      <w:r w:rsidR="0069122C" w:rsidRPr="00362CE7">
        <w:rPr>
          <w:rFonts w:ascii="黑体" w:eastAsia="黑体" w:hAnsi="黑体"/>
          <w:b/>
          <w:szCs w:val="21"/>
        </w:rPr>
        <w:t>提前赎回</w:t>
      </w:r>
      <w:r w:rsidR="00E23E2B" w:rsidRPr="00362CE7">
        <w:rPr>
          <w:rFonts w:ascii="黑体" w:eastAsia="黑体" w:hAnsi="黑体" w:hint="eastAsia"/>
          <w:b/>
          <w:szCs w:val="21"/>
        </w:rPr>
        <w:t>。</w:t>
      </w:r>
    </w:p>
    <w:p w14:paraId="7B7C6E05" w14:textId="77777777" w:rsidR="00750677" w:rsidRPr="00362CE7" w:rsidRDefault="00943A82" w:rsidP="00750677">
      <w:pPr>
        <w:autoSpaceDE w:val="0"/>
        <w:autoSpaceDN w:val="0"/>
        <w:adjustRightInd w:val="0"/>
        <w:ind w:firstLineChars="200" w:firstLine="422"/>
        <w:jc w:val="left"/>
        <w:rPr>
          <w:rFonts w:ascii="黑体" w:eastAsia="黑体" w:hAnsi="黑体" w:cs="宋体"/>
          <w:b/>
          <w:kern w:val="0"/>
          <w:szCs w:val="21"/>
        </w:rPr>
      </w:pPr>
      <w:r w:rsidRPr="00362CE7">
        <w:rPr>
          <w:rFonts w:ascii="黑体" w:eastAsia="黑体" w:hAnsi="黑体"/>
          <w:b/>
          <w:szCs w:val="21"/>
        </w:rPr>
        <w:t>2</w:t>
      </w:r>
      <w:r w:rsidRPr="00362CE7">
        <w:rPr>
          <w:rFonts w:ascii="黑体" w:eastAsia="黑体" w:hAnsi="黑体" w:hint="eastAsia"/>
          <w:b/>
          <w:szCs w:val="21"/>
        </w:rPr>
        <w:t>、</w:t>
      </w:r>
      <w:r w:rsidR="00701D71" w:rsidRPr="00362CE7">
        <w:rPr>
          <w:rFonts w:ascii="黑体" w:eastAsia="黑体" w:hAnsi="黑体"/>
          <w:b/>
          <w:szCs w:val="21"/>
        </w:rPr>
        <w:t>其他</w:t>
      </w:r>
      <w:r w:rsidR="00E64A17" w:rsidRPr="00362CE7">
        <w:rPr>
          <w:rFonts w:ascii="黑体" w:eastAsia="黑体" w:hAnsi="黑体" w:hint="eastAsia"/>
          <w:b/>
          <w:szCs w:val="21"/>
        </w:rPr>
        <w:t>：</w:t>
      </w:r>
      <w:r w:rsidR="00750677" w:rsidRPr="00362CE7">
        <w:rPr>
          <w:rFonts w:ascii="黑体" w:eastAsia="黑体" w:hAnsi="黑体" w:hint="eastAsia"/>
          <w:b/>
          <w:szCs w:val="21"/>
        </w:rPr>
        <w:t>无。</w:t>
      </w:r>
    </w:p>
    <w:p w14:paraId="330178DE" w14:textId="77777777" w:rsidR="0069122C" w:rsidRPr="00362CE7" w:rsidRDefault="0069122C" w:rsidP="00376166">
      <w:pPr>
        <w:autoSpaceDE w:val="0"/>
        <w:autoSpaceDN w:val="0"/>
        <w:adjustRightInd w:val="0"/>
        <w:ind w:firstLineChars="200" w:firstLine="420"/>
        <w:jc w:val="left"/>
        <w:rPr>
          <w:rFonts w:ascii="黑体" w:eastAsia="黑体" w:hAnsi="黑体"/>
          <w:szCs w:val="21"/>
        </w:rPr>
      </w:pPr>
    </w:p>
    <w:p w14:paraId="4654ACBF" w14:textId="499555DC" w:rsidR="00846771" w:rsidRPr="00362CE7" w:rsidRDefault="00846771" w:rsidP="00376166">
      <w:pPr>
        <w:autoSpaceDE w:val="0"/>
        <w:autoSpaceDN w:val="0"/>
        <w:adjustRightInd w:val="0"/>
        <w:ind w:firstLineChars="200" w:firstLine="422"/>
        <w:jc w:val="left"/>
        <w:rPr>
          <w:rFonts w:ascii="黑体" w:eastAsia="黑体" w:hAnsi="黑体"/>
          <w:b/>
          <w:szCs w:val="21"/>
        </w:rPr>
      </w:pPr>
      <w:r w:rsidRPr="00362CE7">
        <w:rPr>
          <w:rFonts w:ascii="黑体" w:eastAsia="黑体" w:hAnsi="黑体" w:hint="eastAsia"/>
          <w:b/>
          <w:szCs w:val="21"/>
        </w:rPr>
        <w:t>以下内容由投资者确认并</w:t>
      </w:r>
      <w:r w:rsidRPr="00362CE7">
        <w:rPr>
          <w:rFonts w:ascii="黑体" w:eastAsia="黑体" w:hAnsi="黑体"/>
          <w:b/>
          <w:szCs w:val="21"/>
        </w:rPr>
        <w:t>签字</w:t>
      </w:r>
      <w:r w:rsidRPr="00362CE7">
        <w:rPr>
          <w:rFonts w:ascii="黑体" w:eastAsia="黑体" w:hAnsi="黑体" w:hint="eastAsia"/>
          <w:b/>
          <w:szCs w:val="21"/>
        </w:rPr>
        <w:t>（机构投资者需盖章），如</w:t>
      </w:r>
      <w:r w:rsidR="00EB61F5" w:rsidRPr="00362CE7">
        <w:rPr>
          <w:rFonts w:ascii="黑体" w:eastAsia="黑体" w:hAnsi="黑体" w:hint="eastAsia"/>
          <w:b/>
          <w:szCs w:val="21"/>
        </w:rPr>
        <w:t>通过线</w:t>
      </w:r>
      <w:r w:rsidRPr="00362CE7">
        <w:rPr>
          <w:rFonts w:ascii="黑体" w:eastAsia="黑体" w:hAnsi="黑体" w:hint="eastAsia"/>
          <w:b/>
          <w:szCs w:val="21"/>
        </w:rPr>
        <w:t>上渠道购买，认</w:t>
      </w:r>
      <w:r w:rsidR="00963EB1" w:rsidRPr="00362CE7">
        <w:rPr>
          <w:rFonts w:ascii="黑体" w:eastAsia="黑体" w:hAnsi="黑体" w:hint="eastAsia"/>
          <w:b/>
          <w:szCs w:val="21"/>
        </w:rPr>
        <w:t>（申）</w:t>
      </w:r>
      <w:r w:rsidR="00E556F6" w:rsidRPr="00362CE7">
        <w:rPr>
          <w:rFonts w:ascii="黑体" w:eastAsia="黑体" w:hAnsi="黑体" w:hint="eastAsia"/>
          <w:b/>
          <w:szCs w:val="21"/>
        </w:rPr>
        <w:t>购</w:t>
      </w:r>
      <w:r w:rsidRPr="00362CE7">
        <w:rPr>
          <w:rFonts w:ascii="黑体" w:eastAsia="黑体" w:hAnsi="黑体" w:hint="eastAsia"/>
          <w:b/>
          <w:szCs w:val="21"/>
        </w:rPr>
        <w:t>确认即视为投资者同意并确认下述内容：</w:t>
      </w:r>
    </w:p>
    <w:p w14:paraId="289A4C78" w14:textId="5A0895FA" w:rsidR="00846771" w:rsidRPr="00362CE7" w:rsidRDefault="00846771" w:rsidP="00376166">
      <w:pPr>
        <w:autoSpaceDE w:val="0"/>
        <w:autoSpaceDN w:val="0"/>
        <w:adjustRightInd w:val="0"/>
        <w:ind w:firstLineChars="200" w:firstLine="420"/>
        <w:jc w:val="left"/>
        <w:rPr>
          <w:rFonts w:ascii="黑体" w:eastAsia="黑体" w:hAnsi="黑体"/>
          <w:szCs w:val="21"/>
        </w:rPr>
      </w:pPr>
      <w:r w:rsidRPr="00362CE7">
        <w:rPr>
          <w:rFonts w:ascii="黑体" w:eastAsia="黑体" w:hAnsi="黑体" w:hint="eastAsia"/>
          <w:szCs w:val="21"/>
        </w:rPr>
        <w:t>声明：本人/本机构充分</w:t>
      </w:r>
      <w:r w:rsidR="00093CC7" w:rsidRPr="00362CE7">
        <w:rPr>
          <w:rFonts w:ascii="黑体" w:eastAsia="黑体" w:hAnsi="黑体" w:hint="eastAsia"/>
          <w:szCs w:val="21"/>
        </w:rPr>
        <w:t>阅读</w:t>
      </w:r>
      <w:r w:rsidR="00F65B53" w:rsidRPr="00362CE7">
        <w:rPr>
          <w:rFonts w:ascii="黑体" w:eastAsia="黑体" w:hAnsi="黑体" w:hint="eastAsia"/>
          <w:szCs w:val="21"/>
        </w:rPr>
        <w:t>本</w:t>
      </w:r>
      <w:r w:rsidR="00F65B53" w:rsidRPr="00362CE7">
        <w:rPr>
          <w:rFonts w:ascii="黑体" w:eastAsia="黑体" w:hAnsi="黑体"/>
          <w:szCs w:val="21"/>
        </w:rPr>
        <w:t>说明书及</w:t>
      </w:r>
      <w:r w:rsidR="007E4199" w:rsidRPr="00362CE7">
        <w:rPr>
          <w:rFonts w:ascii="黑体" w:eastAsia="黑体" w:hAnsi="黑体" w:hint="eastAsia"/>
          <w:szCs w:val="21"/>
        </w:rPr>
        <w:t>本理财产品的《风险揭示书》、《销售（代理销售）协议书》、《投资协议书》、《投资者权益须知》等理财产品销售文件</w:t>
      </w:r>
      <w:r w:rsidR="00093CC7" w:rsidRPr="00362CE7">
        <w:rPr>
          <w:rFonts w:ascii="黑体" w:eastAsia="黑体" w:hAnsi="黑体" w:hint="eastAsia"/>
          <w:szCs w:val="21"/>
        </w:rPr>
        <w:t>，</w:t>
      </w:r>
      <w:r w:rsidRPr="00362CE7">
        <w:rPr>
          <w:rFonts w:ascii="黑体" w:eastAsia="黑体" w:hAnsi="黑体" w:hint="eastAsia"/>
          <w:szCs w:val="21"/>
        </w:rPr>
        <w:t>已</w:t>
      </w:r>
      <w:r w:rsidR="00F65B53" w:rsidRPr="00362CE7">
        <w:rPr>
          <w:rFonts w:ascii="黑体" w:eastAsia="黑体" w:hAnsi="黑体" w:hint="eastAsia"/>
          <w:szCs w:val="21"/>
        </w:rPr>
        <w:t>全面、准确地</w:t>
      </w:r>
      <w:r w:rsidRPr="00362CE7">
        <w:rPr>
          <w:rFonts w:ascii="黑体" w:eastAsia="黑体" w:hAnsi="黑体" w:hint="eastAsia"/>
          <w:szCs w:val="21"/>
        </w:rPr>
        <w:t>理解</w:t>
      </w:r>
      <w:r w:rsidR="00F65B53" w:rsidRPr="00362CE7">
        <w:rPr>
          <w:rFonts w:ascii="黑体" w:eastAsia="黑体" w:hAnsi="黑体" w:hint="eastAsia"/>
          <w:szCs w:val="21"/>
        </w:rPr>
        <w:t>本产品，充分认识到投资本</w:t>
      </w:r>
      <w:r w:rsidRPr="00362CE7">
        <w:rPr>
          <w:rFonts w:ascii="黑体" w:eastAsia="黑体" w:hAnsi="黑体" w:hint="eastAsia"/>
          <w:szCs w:val="21"/>
        </w:rPr>
        <w:t>产品需要承担的风险，并自愿承担此风险。</w:t>
      </w:r>
    </w:p>
    <w:p w14:paraId="42745F13" w14:textId="77777777" w:rsidR="00846771" w:rsidRPr="00362CE7" w:rsidRDefault="00846771" w:rsidP="00376166">
      <w:pPr>
        <w:autoSpaceDE w:val="0"/>
        <w:autoSpaceDN w:val="0"/>
        <w:adjustRightInd w:val="0"/>
        <w:ind w:firstLineChars="200" w:firstLine="420"/>
        <w:jc w:val="left"/>
        <w:rPr>
          <w:rFonts w:ascii="黑体" w:eastAsia="黑体" w:hAnsi="黑体"/>
          <w:szCs w:val="21"/>
        </w:rPr>
      </w:pPr>
    </w:p>
    <w:p w14:paraId="326ACC81" w14:textId="0CBA6A55" w:rsidR="00846771" w:rsidRPr="00EC57A1" w:rsidRDefault="00EB61F5" w:rsidP="00376166">
      <w:pPr>
        <w:autoSpaceDE w:val="0"/>
        <w:autoSpaceDN w:val="0"/>
        <w:adjustRightInd w:val="0"/>
        <w:ind w:firstLineChars="200" w:firstLine="422"/>
        <w:jc w:val="left"/>
        <w:rPr>
          <w:rFonts w:ascii="黑体" w:eastAsia="黑体" w:hAnsi="黑体"/>
          <w:b/>
          <w:szCs w:val="21"/>
        </w:rPr>
      </w:pPr>
      <w:r w:rsidRPr="00362CE7">
        <w:rPr>
          <w:rFonts w:ascii="黑体" w:eastAsia="黑体" w:hAnsi="黑体" w:hint="eastAsia"/>
          <w:b/>
          <w:szCs w:val="21"/>
        </w:rPr>
        <w:t>投资者</w:t>
      </w:r>
      <w:r w:rsidR="00093CC7" w:rsidRPr="00362CE7">
        <w:rPr>
          <w:rFonts w:ascii="黑体" w:eastAsia="黑体" w:hAnsi="黑体" w:hint="eastAsia"/>
          <w:b/>
          <w:szCs w:val="21"/>
        </w:rPr>
        <w:t>签</w:t>
      </w:r>
      <w:r w:rsidRPr="00362CE7">
        <w:rPr>
          <w:rFonts w:ascii="黑体" w:eastAsia="黑体" w:hAnsi="黑体" w:hint="eastAsia"/>
          <w:b/>
          <w:szCs w:val="21"/>
        </w:rPr>
        <w:t>字</w:t>
      </w:r>
      <w:r w:rsidR="00093CC7" w:rsidRPr="00362CE7">
        <w:rPr>
          <w:rFonts w:ascii="黑体" w:eastAsia="黑体" w:hAnsi="黑体" w:hint="eastAsia"/>
          <w:b/>
          <w:szCs w:val="21"/>
        </w:rPr>
        <w:t>（</w:t>
      </w:r>
      <w:r w:rsidRPr="00362CE7">
        <w:rPr>
          <w:rFonts w:ascii="黑体" w:eastAsia="黑体" w:hAnsi="黑体" w:hint="eastAsia"/>
          <w:b/>
          <w:szCs w:val="21"/>
        </w:rPr>
        <w:t>或</w:t>
      </w:r>
      <w:r w:rsidR="00093CC7" w:rsidRPr="00362CE7">
        <w:rPr>
          <w:rFonts w:ascii="黑体" w:eastAsia="黑体" w:hAnsi="黑体" w:hint="eastAsia"/>
          <w:b/>
          <w:szCs w:val="21"/>
        </w:rPr>
        <w:t>盖章）____________                  日期_______________</w:t>
      </w:r>
      <w:bookmarkStart w:id="8" w:name="_GoBack"/>
      <w:bookmarkEnd w:id="8"/>
    </w:p>
    <w:sectPr w:rsidR="00846771" w:rsidRPr="00EC57A1" w:rsidSect="00707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DD3E3" w14:textId="77777777" w:rsidR="00F64638" w:rsidRDefault="00F64638" w:rsidP="00900CFB">
      <w:r>
        <w:separator/>
      </w:r>
    </w:p>
  </w:endnote>
  <w:endnote w:type="continuationSeparator" w:id="0">
    <w:p w14:paraId="3DE498D8" w14:textId="77777777" w:rsidR="00F64638" w:rsidRDefault="00F64638" w:rsidP="0090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2E165" w14:textId="77777777" w:rsidR="00F64638" w:rsidRDefault="00F64638" w:rsidP="00900CFB">
      <w:r>
        <w:separator/>
      </w:r>
    </w:p>
  </w:footnote>
  <w:footnote w:type="continuationSeparator" w:id="0">
    <w:p w14:paraId="635F9599" w14:textId="77777777" w:rsidR="00F64638" w:rsidRDefault="00F64638" w:rsidP="00900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245A"/>
    <w:multiLevelType w:val="hybridMultilevel"/>
    <w:tmpl w:val="CFA0B3DC"/>
    <w:lvl w:ilvl="0" w:tplc="CFA45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D077A2"/>
    <w:multiLevelType w:val="hybridMultilevel"/>
    <w:tmpl w:val="D26C219C"/>
    <w:lvl w:ilvl="0" w:tplc="87ECF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37F3A"/>
    <w:multiLevelType w:val="hybridMultilevel"/>
    <w:tmpl w:val="0A3ABC8A"/>
    <w:lvl w:ilvl="0" w:tplc="C74AE4BE">
      <w:start w:val="1"/>
      <w:numFmt w:val="decimal"/>
      <w:lvlText w:val="%1、"/>
      <w:lvlJc w:val="left"/>
      <w:pPr>
        <w:ind w:left="690" w:hanging="360"/>
      </w:pPr>
      <w:rPr>
        <w:rFonts w:cs="黑体" w:hint="default"/>
        <w:u w:val="none"/>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15:restartNumberingAfterBreak="0">
    <w:nsid w:val="26B05AD8"/>
    <w:multiLevelType w:val="hybridMultilevel"/>
    <w:tmpl w:val="540CB0F4"/>
    <w:lvl w:ilvl="0" w:tplc="5AD4E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617908"/>
    <w:multiLevelType w:val="hybridMultilevel"/>
    <w:tmpl w:val="606A50BA"/>
    <w:lvl w:ilvl="0" w:tplc="78DC1F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2825887"/>
    <w:multiLevelType w:val="hybridMultilevel"/>
    <w:tmpl w:val="62FA8402"/>
    <w:lvl w:ilvl="0" w:tplc="7FDC8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2E2561A"/>
    <w:multiLevelType w:val="hybridMultilevel"/>
    <w:tmpl w:val="76700CC4"/>
    <w:lvl w:ilvl="0" w:tplc="1A70998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651D5C64"/>
    <w:multiLevelType w:val="hybridMultilevel"/>
    <w:tmpl w:val="F30A73A4"/>
    <w:lvl w:ilvl="0" w:tplc="E90C0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F86195"/>
    <w:multiLevelType w:val="hybridMultilevel"/>
    <w:tmpl w:val="D3C25E38"/>
    <w:lvl w:ilvl="0" w:tplc="0144E9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5"/>
  </w:num>
  <w:num w:numId="4">
    <w:abstractNumId w:val="1"/>
  </w:num>
  <w:num w:numId="5">
    <w:abstractNumId w:val="4"/>
  </w:num>
  <w:num w:numId="6">
    <w:abstractNumId w:val="8"/>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AC6"/>
    <w:rsid w:val="000025FA"/>
    <w:rsid w:val="00003AA1"/>
    <w:rsid w:val="00003EBD"/>
    <w:rsid w:val="0000451F"/>
    <w:rsid w:val="0000453C"/>
    <w:rsid w:val="00006850"/>
    <w:rsid w:val="00011BAD"/>
    <w:rsid w:val="00015F05"/>
    <w:rsid w:val="000174F6"/>
    <w:rsid w:val="00017722"/>
    <w:rsid w:val="000345E0"/>
    <w:rsid w:val="00034C41"/>
    <w:rsid w:val="000416B9"/>
    <w:rsid w:val="00044F8E"/>
    <w:rsid w:val="000471EB"/>
    <w:rsid w:val="00050371"/>
    <w:rsid w:val="000507E2"/>
    <w:rsid w:val="0005319F"/>
    <w:rsid w:val="00056290"/>
    <w:rsid w:val="00057968"/>
    <w:rsid w:val="00063C56"/>
    <w:rsid w:val="00070DF8"/>
    <w:rsid w:val="00072129"/>
    <w:rsid w:val="00080D59"/>
    <w:rsid w:val="00083626"/>
    <w:rsid w:val="000853EA"/>
    <w:rsid w:val="00086A32"/>
    <w:rsid w:val="00087409"/>
    <w:rsid w:val="00087BAB"/>
    <w:rsid w:val="000901A3"/>
    <w:rsid w:val="00093CC7"/>
    <w:rsid w:val="00094FE4"/>
    <w:rsid w:val="000A2DFC"/>
    <w:rsid w:val="000A4CD3"/>
    <w:rsid w:val="000A5F27"/>
    <w:rsid w:val="000B02CD"/>
    <w:rsid w:val="000C093F"/>
    <w:rsid w:val="000C135E"/>
    <w:rsid w:val="000C4701"/>
    <w:rsid w:val="000C69AD"/>
    <w:rsid w:val="000C75FA"/>
    <w:rsid w:val="000D5CC0"/>
    <w:rsid w:val="000D5DF6"/>
    <w:rsid w:val="000E7012"/>
    <w:rsid w:val="000E7390"/>
    <w:rsid w:val="000F0F60"/>
    <w:rsid w:val="000F4735"/>
    <w:rsid w:val="000F7233"/>
    <w:rsid w:val="000F7370"/>
    <w:rsid w:val="0010039D"/>
    <w:rsid w:val="001065CC"/>
    <w:rsid w:val="0010696D"/>
    <w:rsid w:val="00113FE0"/>
    <w:rsid w:val="00116AF6"/>
    <w:rsid w:val="00116FC4"/>
    <w:rsid w:val="00117548"/>
    <w:rsid w:val="00117F12"/>
    <w:rsid w:val="001237FC"/>
    <w:rsid w:val="0012480E"/>
    <w:rsid w:val="00131131"/>
    <w:rsid w:val="00132542"/>
    <w:rsid w:val="00134602"/>
    <w:rsid w:val="001346E5"/>
    <w:rsid w:val="001369B6"/>
    <w:rsid w:val="00137165"/>
    <w:rsid w:val="00141F64"/>
    <w:rsid w:val="00144026"/>
    <w:rsid w:val="00152567"/>
    <w:rsid w:val="00152867"/>
    <w:rsid w:val="00152F10"/>
    <w:rsid w:val="00153292"/>
    <w:rsid w:val="00155222"/>
    <w:rsid w:val="00155615"/>
    <w:rsid w:val="00161939"/>
    <w:rsid w:val="00171724"/>
    <w:rsid w:val="001754AB"/>
    <w:rsid w:val="0017557E"/>
    <w:rsid w:val="00175DE9"/>
    <w:rsid w:val="00183646"/>
    <w:rsid w:val="00184ACA"/>
    <w:rsid w:val="00190D09"/>
    <w:rsid w:val="00195E32"/>
    <w:rsid w:val="0019684B"/>
    <w:rsid w:val="001A122F"/>
    <w:rsid w:val="001A33B3"/>
    <w:rsid w:val="001A4B84"/>
    <w:rsid w:val="001A7628"/>
    <w:rsid w:val="001B48E5"/>
    <w:rsid w:val="001B6116"/>
    <w:rsid w:val="001B666C"/>
    <w:rsid w:val="001C3804"/>
    <w:rsid w:val="001C4E46"/>
    <w:rsid w:val="001C5892"/>
    <w:rsid w:val="001C5C66"/>
    <w:rsid w:val="001D1363"/>
    <w:rsid w:val="001D195C"/>
    <w:rsid w:val="001D30BF"/>
    <w:rsid w:val="001E0FA4"/>
    <w:rsid w:val="001E1673"/>
    <w:rsid w:val="001E3229"/>
    <w:rsid w:val="001E7584"/>
    <w:rsid w:val="001F1357"/>
    <w:rsid w:val="001F3A8D"/>
    <w:rsid w:val="001F42EA"/>
    <w:rsid w:val="001F64AF"/>
    <w:rsid w:val="002007C4"/>
    <w:rsid w:val="00207684"/>
    <w:rsid w:val="00207B15"/>
    <w:rsid w:val="002126EC"/>
    <w:rsid w:val="0021403B"/>
    <w:rsid w:val="0021442E"/>
    <w:rsid w:val="002169BC"/>
    <w:rsid w:val="00217D7A"/>
    <w:rsid w:val="00222528"/>
    <w:rsid w:val="0022538B"/>
    <w:rsid w:val="002258D8"/>
    <w:rsid w:val="002262A4"/>
    <w:rsid w:val="00227432"/>
    <w:rsid w:val="00235CCA"/>
    <w:rsid w:val="002369D6"/>
    <w:rsid w:val="00250802"/>
    <w:rsid w:val="00250E9B"/>
    <w:rsid w:val="002619BF"/>
    <w:rsid w:val="00264630"/>
    <w:rsid w:val="00271E95"/>
    <w:rsid w:val="0027312B"/>
    <w:rsid w:val="00273D95"/>
    <w:rsid w:val="002764EE"/>
    <w:rsid w:val="00277034"/>
    <w:rsid w:val="00281DEF"/>
    <w:rsid w:val="00283B45"/>
    <w:rsid w:val="00284493"/>
    <w:rsid w:val="002852E1"/>
    <w:rsid w:val="00285590"/>
    <w:rsid w:val="002864DE"/>
    <w:rsid w:val="002905AF"/>
    <w:rsid w:val="00290B53"/>
    <w:rsid w:val="002926F4"/>
    <w:rsid w:val="00294CCC"/>
    <w:rsid w:val="002A2BE3"/>
    <w:rsid w:val="002A2CDB"/>
    <w:rsid w:val="002A30FE"/>
    <w:rsid w:val="002A39E8"/>
    <w:rsid w:val="002A47B2"/>
    <w:rsid w:val="002A4E96"/>
    <w:rsid w:val="002A5267"/>
    <w:rsid w:val="002A7438"/>
    <w:rsid w:val="002B0068"/>
    <w:rsid w:val="002B18FF"/>
    <w:rsid w:val="002B1EDC"/>
    <w:rsid w:val="002B3764"/>
    <w:rsid w:val="002B63D2"/>
    <w:rsid w:val="002C3825"/>
    <w:rsid w:val="002C3837"/>
    <w:rsid w:val="002C4B05"/>
    <w:rsid w:val="002C4EAE"/>
    <w:rsid w:val="002C55F0"/>
    <w:rsid w:val="002C6D29"/>
    <w:rsid w:val="002C7DCC"/>
    <w:rsid w:val="002D31F7"/>
    <w:rsid w:val="002D3554"/>
    <w:rsid w:val="002D4315"/>
    <w:rsid w:val="002D45F6"/>
    <w:rsid w:val="002D600E"/>
    <w:rsid w:val="002D61AC"/>
    <w:rsid w:val="002E079E"/>
    <w:rsid w:val="002E2EBF"/>
    <w:rsid w:val="002E3D53"/>
    <w:rsid w:val="002E4117"/>
    <w:rsid w:val="002E49C3"/>
    <w:rsid w:val="002E5377"/>
    <w:rsid w:val="002E54FB"/>
    <w:rsid w:val="002E5C09"/>
    <w:rsid w:val="002E5FD5"/>
    <w:rsid w:val="002F299C"/>
    <w:rsid w:val="002F4B7F"/>
    <w:rsid w:val="002F7917"/>
    <w:rsid w:val="00301699"/>
    <w:rsid w:val="0030538E"/>
    <w:rsid w:val="003072A9"/>
    <w:rsid w:val="00310FD3"/>
    <w:rsid w:val="0031184E"/>
    <w:rsid w:val="00317437"/>
    <w:rsid w:val="00325E46"/>
    <w:rsid w:val="0032641A"/>
    <w:rsid w:val="00327BFF"/>
    <w:rsid w:val="00332AF0"/>
    <w:rsid w:val="00333043"/>
    <w:rsid w:val="003412C1"/>
    <w:rsid w:val="0034533F"/>
    <w:rsid w:val="0034794B"/>
    <w:rsid w:val="00350774"/>
    <w:rsid w:val="00351D8F"/>
    <w:rsid w:val="003605C1"/>
    <w:rsid w:val="00362C87"/>
    <w:rsid w:val="00362CE7"/>
    <w:rsid w:val="00363C68"/>
    <w:rsid w:val="00364017"/>
    <w:rsid w:val="00366DBC"/>
    <w:rsid w:val="00367155"/>
    <w:rsid w:val="003674F9"/>
    <w:rsid w:val="00367EC6"/>
    <w:rsid w:val="003705D1"/>
    <w:rsid w:val="003731A6"/>
    <w:rsid w:val="00375ED7"/>
    <w:rsid w:val="00376166"/>
    <w:rsid w:val="003776C6"/>
    <w:rsid w:val="003806D0"/>
    <w:rsid w:val="003833E2"/>
    <w:rsid w:val="003851BD"/>
    <w:rsid w:val="003914A2"/>
    <w:rsid w:val="00393852"/>
    <w:rsid w:val="003A4E6E"/>
    <w:rsid w:val="003A517F"/>
    <w:rsid w:val="003A752B"/>
    <w:rsid w:val="003A79F4"/>
    <w:rsid w:val="003B08AB"/>
    <w:rsid w:val="003C0767"/>
    <w:rsid w:val="003C45E6"/>
    <w:rsid w:val="003C5532"/>
    <w:rsid w:val="003C73C4"/>
    <w:rsid w:val="003D111E"/>
    <w:rsid w:val="003D13B9"/>
    <w:rsid w:val="003D35DF"/>
    <w:rsid w:val="003D393A"/>
    <w:rsid w:val="003D7153"/>
    <w:rsid w:val="003E40EC"/>
    <w:rsid w:val="003E422E"/>
    <w:rsid w:val="003E4C64"/>
    <w:rsid w:val="003F2DC2"/>
    <w:rsid w:val="003F5263"/>
    <w:rsid w:val="003F63B1"/>
    <w:rsid w:val="003F6C1B"/>
    <w:rsid w:val="003F7A4D"/>
    <w:rsid w:val="00400436"/>
    <w:rsid w:val="0040077A"/>
    <w:rsid w:val="004025AA"/>
    <w:rsid w:val="00406348"/>
    <w:rsid w:val="00412E71"/>
    <w:rsid w:val="004160D5"/>
    <w:rsid w:val="004171DB"/>
    <w:rsid w:val="00417569"/>
    <w:rsid w:val="00422190"/>
    <w:rsid w:val="00427065"/>
    <w:rsid w:val="00430E48"/>
    <w:rsid w:val="0043119F"/>
    <w:rsid w:val="004371F3"/>
    <w:rsid w:val="004418AC"/>
    <w:rsid w:val="0044281A"/>
    <w:rsid w:val="00447216"/>
    <w:rsid w:val="00451F82"/>
    <w:rsid w:val="0045683D"/>
    <w:rsid w:val="00462F3C"/>
    <w:rsid w:val="00463069"/>
    <w:rsid w:val="00465A2E"/>
    <w:rsid w:val="00467C8F"/>
    <w:rsid w:val="00473D12"/>
    <w:rsid w:val="00474424"/>
    <w:rsid w:val="00477F70"/>
    <w:rsid w:val="004802C3"/>
    <w:rsid w:val="0048181C"/>
    <w:rsid w:val="0048676B"/>
    <w:rsid w:val="004908EA"/>
    <w:rsid w:val="00493AE5"/>
    <w:rsid w:val="00493C36"/>
    <w:rsid w:val="004953C6"/>
    <w:rsid w:val="0049672E"/>
    <w:rsid w:val="00496E57"/>
    <w:rsid w:val="004A30A4"/>
    <w:rsid w:val="004A3460"/>
    <w:rsid w:val="004A65C8"/>
    <w:rsid w:val="004A7B47"/>
    <w:rsid w:val="004B04B2"/>
    <w:rsid w:val="004C07F4"/>
    <w:rsid w:val="004C097A"/>
    <w:rsid w:val="004D4A6E"/>
    <w:rsid w:val="004D4D4F"/>
    <w:rsid w:val="004E3117"/>
    <w:rsid w:val="004E393F"/>
    <w:rsid w:val="004E6E44"/>
    <w:rsid w:val="004E7E00"/>
    <w:rsid w:val="004F2420"/>
    <w:rsid w:val="004F7687"/>
    <w:rsid w:val="004F77F6"/>
    <w:rsid w:val="005017DC"/>
    <w:rsid w:val="005020E5"/>
    <w:rsid w:val="0050286A"/>
    <w:rsid w:val="00506097"/>
    <w:rsid w:val="00507B3B"/>
    <w:rsid w:val="005116B8"/>
    <w:rsid w:val="00513F65"/>
    <w:rsid w:val="00515E9A"/>
    <w:rsid w:val="005172FF"/>
    <w:rsid w:val="005209FB"/>
    <w:rsid w:val="0052226A"/>
    <w:rsid w:val="005242C0"/>
    <w:rsid w:val="00527CA9"/>
    <w:rsid w:val="00535B13"/>
    <w:rsid w:val="00535FDE"/>
    <w:rsid w:val="00536787"/>
    <w:rsid w:val="00542B83"/>
    <w:rsid w:val="00542FA2"/>
    <w:rsid w:val="00543D78"/>
    <w:rsid w:val="00544447"/>
    <w:rsid w:val="00544897"/>
    <w:rsid w:val="00544B94"/>
    <w:rsid w:val="00544EF7"/>
    <w:rsid w:val="00547AA8"/>
    <w:rsid w:val="00551B1D"/>
    <w:rsid w:val="00552355"/>
    <w:rsid w:val="0055376C"/>
    <w:rsid w:val="00557E54"/>
    <w:rsid w:val="005601A7"/>
    <w:rsid w:val="005639E9"/>
    <w:rsid w:val="005649E1"/>
    <w:rsid w:val="00565F83"/>
    <w:rsid w:val="00566C72"/>
    <w:rsid w:val="00570BE1"/>
    <w:rsid w:val="00572383"/>
    <w:rsid w:val="00572E74"/>
    <w:rsid w:val="00576573"/>
    <w:rsid w:val="00580069"/>
    <w:rsid w:val="00580CBF"/>
    <w:rsid w:val="00582B53"/>
    <w:rsid w:val="00585248"/>
    <w:rsid w:val="0058605A"/>
    <w:rsid w:val="0058700B"/>
    <w:rsid w:val="00591FA7"/>
    <w:rsid w:val="0059567D"/>
    <w:rsid w:val="00597B25"/>
    <w:rsid w:val="005A101D"/>
    <w:rsid w:val="005A2313"/>
    <w:rsid w:val="005A42B4"/>
    <w:rsid w:val="005A49BD"/>
    <w:rsid w:val="005B3ACE"/>
    <w:rsid w:val="005B4D65"/>
    <w:rsid w:val="005B58CA"/>
    <w:rsid w:val="005C2282"/>
    <w:rsid w:val="005C2C85"/>
    <w:rsid w:val="005C7063"/>
    <w:rsid w:val="005D15AA"/>
    <w:rsid w:val="005D2180"/>
    <w:rsid w:val="005D323A"/>
    <w:rsid w:val="005D46BF"/>
    <w:rsid w:val="005D6616"/>
    <w:rsid w:val="005E1052"/>
    <w:rsid w:val="005E3E65"/>
    <w:rsid w:val="005E6293"/>
    <w:rsid w:val="005F03A9"/>
    <w:rsid w:val="005F08B9"/>
    <w:rsid w:val="005F0A3F"/>
    <w:rsid w:val="005F4888"/>
    <w:rsid w:val="005F4CFC"/>
    <w:rsid w:val="005F513E"/>
    <w:rsid w:val="005F69C4"/>
    <w:rsid w:val="0060086C"/>
    <w:rsid w:val="00601F1B"/>
    <w:rsid w:val="00604159"/>
    <w:rsid w:val="00607B20"/>
    <w:rsid w:val="0061045B"/>
    <w:rsid w:val="00612AD6"/>
    <w:rsid w:val="00612BC3"/>
    <w:rsid w:val="00613DCB"/>
    <w:rsid w:val="00616B32"/>
    <w:rsid w:val="00616F1D"/>
    <w:rsid w:val="00622C9F"/>
    <w:rsid w:val="0062540B"/>
    <w:rsid w:val="00626A3F"/>
    <w:rsid w:val="00630DC3"/>
    <w:rsid w:val="00632C12"/>
    <w:rsid w:val="00634EA6"/>
    <w:rsid w:val="006362EC"/>
    <w:rsid w:val="00637173"/>
    <w:rsid w:val="00640E97"/>
    <w:rsid w:val="0064352A"/>
    <w:rsid w:val="00643A5F"/>
    <w:rsid w:val="00643FED"/>
    <w:rsid w:val="006525E7"/>
    <w:rsid w:val="0066061A"/>
    <w:rsid w:val="006623D6"/>
    <w:rsid w:val="00662662"/>
    <w:rsid w:val="00663B22"/>
    <w:rsid w:val="00664AD8"/>
    <w:rsid w:val="0066564A"/>
    <w:rsid w:val="006666CB"/>
    <w:rsid w:val="00666C39"/>
    <w:rsid w:val="0066799F"/>
    <w:rsid w:val="00670111"/>
    <w:rsid w:val="006728E9"/>
    <w:rsid w:val="00675977"/>
    <w:rsid w:val="006776C3"/>
    <w:rsid w:val="006831E3"/>
    <w:rsid w:val="00684022"/>
    <w:rsid w:val="00684D55"/>
    <w:rsid w:val="00690119"/>
    <w:rsid w:val="0069122C"/>
    <w:rsid w:val="006915E9"/>
    <w:rsid w:val="00691755"/>
    <w:rsid w:val="00691920"/>
    <w:rsid w:val="00692D20"/>
    <w:rsid w:val="00692DB3"/>
    <w:rsid w:val="00696B4B"/>
    <w:rsid w:val="00697140"/>
    <w:rsid w:val="006A185E"/>
    <w:rsid w:val="006A1D1A"/>
    <w:rsid w:val="006A3381"/>
    <w:rsid w:val="006A6664"/>
    <w:rsid w:val="006A672F"/>
    <w:rsid w:val="006A768C"/>
    <w:rsid w:val="006A7707"/>
    <w:rsid w:val="006C1F64"/>
    <w:rsid w:val="006C3A7A"/>
    <w:rsid w:val="006C3D5D"/>
    <w:rsid w:val="006D4C80"/>
    <w:rsid w:val="006E1F91"/>
    <w:rsid w:val="006E3111"/>
    <w:rsid w:val="006E3F18"/>
    <w:rsid w:val="006E7547"/>
    <w:rsid w:val="00701D71"/>
    <w:rsid w:val="00703700"/>
    <w:rsid w:val="007078EB"/>
    <w:rsid w:val="007108EA"/>
    <w:rsid w:val="00713811"/>
    <w:rsid w:val="00714058"/>
    <w:rsid w:val="00714AC5"/>
    <w:rsid w:val="00715950"/>
    <w:rsid w:val="00716006"/>
    <w:rsid w:val="00716AC6"/>
    <w:rsid w:val="00716C16"/>
    <w:rsid w:val="0072122E"/>
    <w:rsid w:val="00721E5B"/>
    <w:rsid w:val="00723063"/>
    <w:rsid w:val="007231B5"/>
    <w:rsid w:val="0072347F"/>
    <w:rsid w:val="00726C23"/>
    <w:rsid w:val="00730B77"/>
    <w:rsid w:val="00731559"/>
    <w:rsid w:val="0073175F"/>
    <w:rsid w:val="00736806"/>
    <w:rsid w:val="00737E68"/>
    <w:rsid w:val="007408F5"/>
    <w:rsid w:val="007414CA"/>
    <w:rsid w:val="007421D5"/>
    <w:rsid w:val="007427B7"/>
    <w:rsid w:val="00746B2A"/>
    <w:rsid w:val="00750677"/>
    <w:rsid w:val="00751F3F"/>
    <w:rsid w:val="007540DB"/>
    <w:rsid w:val="00756987"/>
    <w:rsid w:val="00756BE9"/>
    <w:rsid w:val="00757CB3"/>
    <w:rsid w:val="00757D25"/>
    <w:rsid w:val="00757D54"/>
    <w:rsid w:val="007605A3"/>
    <w:rsid w:val="00761F4D"/>
    <w:rsid w:val="007661D0"/>
    <w:rsid w:val="00766C65"/>
    <w:rsid w:val="007734BE"/>
    <w:rsid w:val="007746CD"/>
    <w:rsid w:val="00777537"/>
    <w:rsid w:val="0078165B"/>
    <w:rsid w:val="00784218"/>
    <w:rsid w:val="00784675"/>
    <w:rsid w:val="00785997"/>
    <w:rsid w:val="007873C1"/>
    <w:rsid w:val="007907B7"/>
    <w:rsid w:val="00793568"/>
    <w:rsid w:val="007939FD"/>
    <w:rsid w:val="00794D52"/>
    <w:rsid w:val="007A1A77"/>
    <w:rsid w:val="007A1D0E"/>
    <w:rsid w:val="007A2041"/>
    <w:rsid w:val="007A40C9"/>
    <w:rsid w:val="007A472D"/>
    <w:rsid w:val="007A60D4"/>
    <w:rsid w:val="007B26EF"/>
    <w:rsid w:val="007B2DBF"/>
    <w:rsid w:val="007B34DF"/>
    <w:rsid w:val="007B351C"/>
    <w:rsid w:val="007B4886"/>
    <w:rsid w:val="007B6C06"/>
    <w:rsid w:val="007C1D4D"/>
    <w:rsid w:val="007C6CF9"/>
    <w:rsid w:val="007C7765"/>
    <w:rsid w:val="007C79D8"/>
    <w:rsid w:val="007D2800"/>
    <w:rsid w:val="007D2B2B"/>
    <w:rsid w:val="007D311C"/>
    <w:rsid w:val="007D51ED"/>
    <w:rsid w:val="007E4199"/>
    <w:rsid w:val="007E5F44"/>
    <w:rsid w:val="007F1283"/>
    <w:rsid w:val="007F1AFF"/>
    <w:rsid w:val="007F3C82"/>
    <w:rsid w:val="007F760C"/>
    <w:rsid w:val="008045AF"/>
    <w:rsid w:val="008163C2"/>
    <w:rsid w:val="0082015D"/>
    <w:rsid w:val="00825003"/>
    <w:rsid w:val="00834A99"/>
    <w:rsid w:val="00835692"/>
    <w:rsid w:val="00841362"/>
    <w:rsid w:val="00841BAD"/>
    <w:rsid w:val="00843232"/>
    <w:rsid w:val="00844CC8"/>
    <w:rsid w:val="00846771"/>
    <w:rsid w:val="00855FFF"/>
    <w:rsid w:val="0085663E"/>
    <w:rsid w:val="00857448"/>
    <w:rsid w:val="00857D8D"/>
    <w:rsid w:val="00861565"/>
    <w:rsid w:val="008669C6"/>
    <w:rsid w:val="00866C43"/>
    <w:rsid w:val="00873CE6"/>
    <w:rsid w:val="008745BC"/>
    <w:rsid w:val="00875A16"/>
    <w:rsid w:val="00877F31"/>
    <w:rsid w:val="00880F50"/>
    <w:rsid w:val="00883E3B"/>
    <w:rsid w:val="00884F7A"/>
    <w:rsid w:val="00893ABF"/>
    <w:rsid w:val="008958AE"/>
    <w:rsid w:val="008961EA"/>
    <w:rsid w:val="008A481A"/>
    <w:rsid w:val="008A4CFF"/>
    <w:rsid w:val="008A716F"/>
    <w:rsid w:val="008B1AC7"/>
    <w:rsid w:val="008C21DE"/>
    <w:rsid w:val="008D3A11"/>
    <w:rsid w:val="008D7EDD"/>
    <w:rsid w:val="008E2C29"/>
    <w:rsid w:val="008E46F6"/>
    <w:rsid w:val="008E5841"/>
    <w:rsid w:val="008E5973"/>
    <w:rsid w:val="008F5C60"/>
    <w:rsid w:val="008F6C27"/>
    <w:rsid w:val="00900CFB"/>
    <w:rsid w:val="00900FF2"/>
    <w:rsid w:val="00902295"/>
    <w:rsid w:val="00902A1A"/>
    <w:rsid w:val="00902E70"/>
    <w:rsid w:val="0090613C"/>
    <w:rsid w:val="00911320"/>
    <w:rsid w:val="0091182A"/>
    <w:rsid w:val="00912794"/>
    <w:rsid w:val="00913BCC"/>
    <w:rsid w:val="00914C83"/>
    <w:rsid w:val="009202AE"/>
    <w:rsid w:val="00920394"/>
    <w:rsid w:val="00920423"/>
    <w:rsid w:val="009219A3"/>
    <w:rsid w:val="00925721"/>
    <w:rsid w:val="00926599"/>
    <w:rsid w:val="009309DA"/>
    <w:rsid w:val="009334C8"/>
    <w:rsid w:val="00933755"/>
    <w:rsid w:val="0093479E"/>
    <w:rsid w:val="0094257F"/>
    <w:rsid w:val="00943A82"/>
    <w:rsid w:val="00946EDC"/>
    <w:rsid w:val="00952C69"/>
    <w:rsid w:val="00956077"/>
    <w:rsid w:val="00957394"/>
    <w:rsid w:val="00962248"/>
    <w:rsid w:val="00963E21"/>
    <w:rsid w:val="00963EB1"/>
    <w:rsid w:val="00966A1F"/>
    <w:rsid w:val="009670C6"/>
    <w:rsid w:val="009725D5"/>
    <w:rsid w:val="009744DE"/>
    <w:rsid w:val="00976DFC"/>
    <w:rsid w:val="00977EF7"/>
    <w:rsid w:val="00981961"/>
    <w:rsid w:val="00981C55"/>
    <w:rsid w:val="00982031"/>
    <w:rsid w:val="0098231D"/>
    <w:rsid w:val="0098436F"/>
    <w:rsid w:val="009953A4"/>
    <w:rsid w:val="009A2887"/>
    <w:rsid w:val="009A2FD0"/>
    <w:rsid w:val="009A7B3C"/>
    <w:rsid w:val="009B0276"/>
    <w:rsid w:val="009B25E7"/>
    <w:rsid w:val="009B43B3"/>
    <w:rsid w:val="009B5618"/>
    <w:rsid w:val="009B6014"/>
    <w:rsid w:val="009B6FB5"/>
    <w:rsid w:val="009B792C"/>
    <w:rsid w:val="009C4B37"/>
    <w:rsid w:val="009C510F"/>
    <w:rsid w:val="009C7B0B"/>
    <w:rsid w:val="009D2667"/>
    <w:rsid w:val="009D3821"/>
    <w:rsid w:val="009D7046"/>
    <w:rsid w:val="009E06E2"/>
    <w:rsid w:val="009E1E14"/>
    <w:rsid w:val="009E3922"/>
    <w:rsid w:val="009E4D88"/>
    <w:rsid w:val="009E5C19"/>
    <w:rsid w:val="009F04C6"/>
    <w:rsid w:val="009F3A52"/>
    <w:rsid w:val="009F4B59"/>
    <w:rsid w:val="00A00E27"/>
    <w:rsid w:val="00A0130C"/>
    <w:rsid w:val="00A03CC8"/>
    <w:rsid w:val="00A07630"/>
    <w:rsid w:val="00A112AD"/>
    <w:rsid w:val="00A11E1B"/>
    <w:rsid w:val="00A1346F"/>
    <w:rsid w:val="00A13E20"/>
    <w:rsid w:val="00A2127A"/>
    <w:rsid w:val="00A22198"/>
    <w:rsid w:val="00A226AF"/>
    <w:rsid w:val="00A22927"/>
    <w:rsid w:val="00A2348C"/>
    <w:rsid w:val="00A23F6D"/>
    <w:rsid w:val="00A2719C"/>
    <w:rsid w:val="00A32B0A"/>
    <w:rsid w:val="00A3488C"/>
    <w:rsid w:val="00A35D0A"/>
    <w:rsid w:val="00A375B2"/>
    <w:rsid w:val="00A41335"/>
    <w:rsid w:val="00A45E23"/>
    <w:rsid w:val="00A479CF"/>
    <w:rsid w:val="00A51221"/>
    <w:rsid w:val="00A552B8"/>
    <w:rsid w:val="00A603D2"/>
    <w:rsid w:val="00A60678"/>
    <w:rsid w:val="00A60B60"/>
    <w:rsid w:val="00A616A8"/>
    <w:rsid w:val="00A61C78"/>
    <w:rsid w:val="00A75CFD"/>
    <w:rsid w:val="00A81C48"/>
    <w:rsid w:val="00A8297F"/>
    <w:rsid w:val="00A85114"/>
    <w:rsid w:val="00A85823"/>
    <w:rsid w:val="00A85A5A"/>
    <w:rsid w:val="00A8689F"/>
    <w:rsid w:val="00A87B82"/>
    <w:rsid w:val="00A9055C"/>
    <w:rsid w:val="00A93C14"/>
    <w:rsid w:val="00A94D8A"/>
    <w:rsid w:val="00A9684D"/>
    <w:rsid w:val="00A96BB7"/>
    <w:rsid w:val="00A96F4B"/>
    <w:rsid w:val="00A97C34"/>
    <w:rsid w:val="00AA2C2A"/>
    <w:rsid w:val="00AA2EAD"/>
    <w:rsid w:val="00AA5460"/>
    <w:rsid w:val="00AA5BFF"/>
    <w:rsid w:val="00AA79EC"/>
    <w:rsid w:val="00AB2920"/>
    <w:rsid w:val="00AB361B"/>
    <w:rsid w:val="00AB4D15"/>
    <w:rsid w:val="00AC2E6C"/>
    <w:rsid w:val="00AC359A"/>
    <w:rsid w:val="00AD1FF3"/>
    <w:rsid w:val="00AD3C1F"/>
    <w:rsid w:val="00AD4276"/>
    <w:rsid w:val="00AD67F1"/>
    <w:rsid w:val="00AD6AFF"/>
    <w:rsid w:val="00AD7F06"/>
    <w:rsid w:val="00AF110A"/>
    <w:rsid w:val="00AF1297"/>
    <w:rsid w:val="00AF18FC"/>
    <w:rsid w:val="00AF39EF"/>
    <w:rsid w:val="00AF4CF2"/>
    <w:rsid w:val="00AF75D0"/>
    <w:rsid w:val="00AF7D8F"/>
    <w:rsid w:val="00B01740"/>
    <w:rsid w:val="00B018FB"/>
    <w:rsid w:val="00B01C60"/>
    <w:rsid w:val="00B0275A"/>
    <w:rsid w:val="00B02E35"/>
    <w:rsid w:val="00B10C28"/>
    <w:rsid w:val="00B11B78"/>
    <w:rsid w:val="00B11CE3"/>
    <w:rsid w:val="00B14A50"/>
    <w:rsid w:val="00B16178"/>
    <w:rsid w:val="00B17272"/>
    <w:rsid w:val="00B23B4C"/>
    <w:rsid w:val="00B23C1D"/>
    <w:rsid w:val="00B318DA"/>
    <w:rsid w:val="00B3197A"/>
    <w:rsid w:val="00B363D9"/>
    <w:rsid w:val="00B428D8"/>
    <w:rsid w:val="00B439B7"/>
    <w:rsid w:val="00B44770"/>
    <w:rsid w:val="00B51C81"/>
    <w:rsid w:val="00B53298"/>
    <w:rsid w:val="00B56521"/>
    <w:rsid w:val="00B6306B"/>
    <w:rsid w:val="00B6354D"/>
    <w:rsid w:val="00B700E6"/>
    <w:rsid w:val="00B70918"/>
    <w:rsid w:val="00B71309"/>
    <w:rsid w:val="00B74E05"/>
    <w:rsid w:val="00B75F49"/>
    <w:rsid w:val="00B761E3"/>
    <w:rsid w:val="00B83308"/>
    <w:rsid w:val="00B85EFA"/>
    <w:rsid w:val="00B86E2A"/>
    <w:rsid w:val="00B93877"/>
    <w:rsid w:val="00B964FF"/>
    <w:rsid w:val="00BA3C5F"/>
    <w:rsid w:val="00BA3E95"/>
    <w:rsid w:val="00BA5CCC"/>
    <w:rsid w:val="00BA6929"/>
    <w:rsid w:val="00BA6D79"/>
    <w:rsid w:val="00BB0128"/>
    <w:rsid w:val="00BB0CFB"/>
    <w:rsid w:val="00BB3984"/>
    <w:rsid w:val="00BB3D66"/>
    <w:rsid w:val="00BB4EEC"/>
    <w:rsid w:val="00BB7C35"/>
    <w:rsid w:val="00BC1D2C"/>
    <w:rsid w:val="00BC4FD8"/>
    <w:rsid w:val="00BC5E7F"/>
    <w:rsid w:val="00BC643A"/>
    <w:rsid w:val="00BC6580"/>
    <w:rsid w:val="00BC674E"/>
    <w:rsid w:val="00BD1337"/>
    <w:rsid w:val="00BD25F7"/>
    <w:rsid w:val="00BD2E0E"/>
    <w:rsid w:val="00BE1648"/>
    <w:rsid w:val="00BF18CF"/>
    <w:rsid w:val="00BF2563"/>
    <w:rsid w:val="00BF32D5"/>
    <w:rsid w:val="00BF38EE"/>
    <w:rsid w:val="00BF52B9"/>
    <w:rsid w:val="00BF7AD5"/>
    <w:rsid w:val="00C03D75"/>
    <w:rsid w:val="00C05282"/>
    <w:rsid w:val="00C10291"/>
    <w:rsid w:val="00C14279"/>
    <w:rsid w:val="00C15F52"/>
    <w:rsid w:val="00C20A2A"/>
    <w:rsid w:val="00C21B43"/>
    <w:rsid w:val="00C21E00"/>
    <w:rsid w:val="00C2227F"/>
    <w:rsid w:val="00C22889"/>
    <w:rsid w:val="00C23233"/>
    <w:rsid w:val="00C23669"/>
    <w:rsid w:val="00C23990"/>
    <w:rsid w:val="00C266D7"/>
    <w:rsid w:val="00C30556"/>
    <w:rsid w:val="00C314EE"/>
    <w:rsid w:val="00C329E4"/>
    <w:rsid w:val="00C40E07"/>
    <w:rsid w:val="00C4108D"/>
    <w:rsid w:val="00C473FE"/>
    <w:rsid w:val="00C532E9"/>
    <w:rsid w:val="00C55B65"/>
    <w:rsid w:val="00C57607"/>
    <w:rsid w:val="00C6052C"/>
    <w:rsid w:val="00C622CF"/>
    <w:rsid w:val="00C62C8B"/>
    <w:rsid w:val="00C7259B"/>
    <w:rsid w:val="00C749C9"/>
    <w:rsid w:val="00C74DEC"/>
    <w:rsid w:val="00C75345"/>
    <w:rsid w:val="00C962EA"/>
    <w:rsid w:val="00C96AE5"/>
    <w:rsid w:val="00C96E4C"/>
    <w:rsid w:val="00C97927"/>
    <w:rsid w:val="00CA25F4"/>
    <w:rsid w:val="00CA73D5"/>
    <w:rsid w:val="00CA792D"/>
    <w:rsid w:val="00CA7BD7"/>
    <w:rsid w:val="00CA7BDC"/>
    <w:rsid w:val="00CB13F7"/>
    <w:rsid w:val="00CB1D0A"/>
    <w:rsid w:val="00CB5E45"/>
    <w:rsid w:val="00CB682D"/>
    <w:rsid w:val="00CB7EAD"/>
    <w:rsid w:val="00CC0094"/>
    <w:rsid w:val="00CC2811"/>
    <w:rsid w:val="00CC3AB3"/>
    <w:rsid w:val="00CC475B"/>
    <w:rsid w:val="00CC59BF"/>
    <w:rsid w:val="00CC5FA1"/>
    <w:rsid w:val="00CC6C07"/>
    <w:rsid w:val="00CD1939"/>
    <w:rsid w:val="00CE0F24"/>
    <w:rsid w:val="00CE1AC5"/>
    <w:rsid w:val="00CE3E03"/>
    <w:rsid w:val="00CE4236"/>
    <w:rsid w:val="00CE4532"/>
    <w:rsid w:val="00CE6522"/>
    <w:rsid w:val="00CF1C8A"/>
    <w:rsid w:val="00CF3B8A"/>
    <w:rsid w:val="00CF42ED"/>
    <w:rsid w:val="00CF4445"/>
    <w:rsid w:val="00CF4DE6"/>
    <w:rsid w:val="00CF5272"/>
    <w:rsid w:val="00D02E26"/>
    <w:rsid w:val="00D02F81"/>
    <w:rsid w:val="00D107A8"/>
    <w:rsid w:val="00D118DB"/>
    <w:rsid w:val="00D1678C"/>
    <w:rsid w:val="00D2062D"/>
    <w:rsid w:val="00D22A46"/>
    <w:rsid w:val="00D22BD8"/>
    <w:rsid w:val="00D26CDC"/>
    <w:rsid w:val="00D31A43"/>
    <w:rsid w:val="00D51283"/>
    <w:rsid w:val="00D5161D"/>
    <w:rsid w:val="00D51F15"/>
    <w:rsid w:val="00D5386E"/>
    <w:rsid w:val="00D538A3"/>
    <w:rsid w:val="00D539D4"/>
    <w:rsid w:val="00D53A34"/>
    <w:rsid w:val="00D637F4"/>
    <w:rsid w:val="00D6463A"/>
    <w:rsid w:val="00D750D3"/>
    <w:rsid w:val="00D75630"/>
    <w:rsid w:val="00D762B6"/>
    <w:rsid w:val="00D7682B"/>
    <w:rsid w:val="00D8394B"/>
    <w:rsid w:val="00D8605D"/>
    <w:rsid w:val="00D87947"/>
    <w:rsid w:val="00D90FB8"/>
    <w:rsid w:val="00D93014"/>
    <w:rsid w:val="00D97ACB"/>
    <w:rsid w:val="00D97F2F"/>
    <w:rsid w:val="00DA3AFB"/>
    <w:rsid w:val="00DB0112"/>
    <w:rsid w:val="00DB0DA1"/>
    <w:rsid w:val="00DB154C"/>
    <w:rsid w:val="00DB25E5"/>
    <w:rsid w:val="00DB50EC"/>
    <w:rsid w:val="00DB619A"/>
    <w:rsid w:val="00DC30DA"/>
    <w:rsid w:val="00DD1294"/>
    <w:rsid w:val="00DD1AA9"/>
    <w:rsid w:val="00DD2406"/>
    <w:rsid w:val="00DD2F65"/>
    <w:rsid w:val="00DD3109"/>
    <w:rsid w:val="00DD431A"/>
    <w:rsid w:val="00DE0491"/>
    <w:rsid w:val="00DE10C4"/>
    <w:rsid w:val="00DE1831"/>
    <w:rsid w:val="00DE1F2E"/>
    <w:rsid w:val="00DE283F"/>
    <w:rsid w:val="00DE443E"/>
    <w:rsid w:val="00DE658D"/>
    <w:rsid w:val="00DE7E69"/>
    <w:rsid w:val="00DF078C"/>
    <w:rsid w:val="00DF21E3"/>
    <w:rsid w:val="00DF2318"/>
    <w:rsid w:val="00DF2929"/>
    <w:rsid w:val="00DF3205"/>
    <w:rsid w:val="00DF3B20"/>
    <w:rsid w:val="00DF4AB4"/>
    <w:rsid w:val="00DF67D6"/>
    <w:rsid w:val="00DF746E"/>
    <w:rsid w:val="00E02C43"/>
    <w:rsid w:val="00E04145"/>
    <w:rsid w:val="00E0718C"/>
    <w:rsid w:val="00E07E34"/>
    <w:rsid w:val="00E105A3"/>
    <w:rsid w:val="00E152D9"/>
    <w:rsid w:val="00E16316"/>
    <w:rsid w:val="00E22DF1"/>
    <w:rsid w:val="00E23E2B"/>
    <w:rsid w:val="00E25374"/>
    <w:rsid w:val="00E26520"/>
    <w:rsid w:val="00E33E94"/>
    <w:rsid w:val="00E3482E"/>
    <w:rsid w:val="00E40998"/>
    <w:rsid w:val="00E40B8C"/>
    <w:rsid w:val="00E4661E"/>
    <w:rsid w:val="00E473DF"/>
    <w:rsid w:val="00E556F6"/>
    <w:rsid w:val="00E562C3"/>
    <w:rsid w:val="00E564BA"/>
    <w:rsid w:val="00E56760"/>
    <w:rsid w:val="00E64A17"/>
    <w:rsid w:val="00E6598E"/>
    <w:rsid w:val="00E65C0B"/>
    <w:rsid w:val="00E67F41"/>
    <w:rsid w:val="00E738C0"/>
    <w:rsid w:val="00E74FB6"/>
    <w:rsid w:val="00E76218"/>
    <w:rsid w:val="00E77F48"/>
    <w:rsid w:val="00E84418"/>
    <w:rsid w:val="00E87D07"/>
    <w:rsid w:val="00E92BC4"/>
    <w:rsid w:val="00E96EA8"/>
    <w:rsid w:val="00EA1BDC"/>
    <w:rsid w:val="00EA258E"/>
    <w:rsid w:val="00EA2798"/>
    <w:rsid w:val="00EB13C3"/>
    <w:rsid w:val="00EB3000"/>
    <w:rsid w:val="00EB61F5"/>
    <w:rsid w:val="00EC0B36"/>
    <w:rsid w:val="00EC111B"/>
    <w:rsid w:val="00EC35A7"/>
    <w:rsid w:val="00EC3D82"/>
    <w:rsid w:val="00EC57A1"/>
    <w:rsid w:val="00ED0054"/>
    <w:rsid w:val="00ED4F4A"/>
    <w:rsid w:val="00ED63B2"/>
    <w:rsid w:val="00ED68DB"/>
    <w:rsid w:val="00EE236D"/>
    <w:rsid w:val="00EE3992"/>
    <w:rsid w:val="00EF1600"/>
    <w:rsid w:val="00EF2ED3"/>
    <w:rsid w:val="00EF345D"/>
    <w:rsid w:val="00EF3DE0"/>
    <w:rsid w:val="00EF5C73"/>
    <w:rsid w:val="00EF671D"/>
    <w:rsid w:val="00F030A6"/>
    <w:rsid w:val="00F0477B"/>
    <w:rsid w:val="00F102AD"/>
    <w:rsid w:val="00F116A4"/>
    <w:rsid w:val="00F15FFD"/>
    <w:rsid w:val="00F1708F"/>
    <w:rsid w:val="00F2007E"/>
    <w:rsid w:val="00F25370"/>
    <w:rsid w:val="00F255BA"/>
    <w:rsid w:val="00F33A94"/>
    <w:rsid w:val="00F34F12"/>
    <w:rsid w:val="00F45D2E"/>
    <w:rsid w:val="00F47246"/>
    <w:rsid w:val="00F50220"/>
    <w:rsid w:val="00F5246F"/>
    <w:rsid w:val="00F573A3"/>
    <w:rsid w:val="00F57668"/>
    <w:rsid w:val="00F60231"/>
    <w:rsid w:val="00F60518"/>
    <w:rsid w:val="00F6279C"/>
    <w:rsid w:val="00F64638"/>
    <w:rsid w:val="00F65B53"/>
    <w:rsid w:val="00F66EB8"/>
    <w:rsid w:val="00F6743C"/>
    <w:rsid w:val="00F72FCA"/>
    <w:rsid w:val="00F77943"/>
    <w:rsid w:val="00F77985"/>
    <w:rsid w:val="00F77AB1"/>
    <w:rsid w:val="00F821E6"/>
    <w:rsid w:val="00F82A31"/>
    <w:rsid w:val="00F838CA"/>
    <w:rsid w:val="00F860F6"/>
    <w:rsid w:val="00F918CB"/>
    <w:rsid w:val="00F936A0"/>
    <w:rsid w:val="00F93833"/>
    <w:rsid w:val="00F97FC4"/>
    <w:rsid w:val="00FA17E6"/>
    <w:rsid w:val="00FB05E2"/>
    <w:rsid w:val="00FB28FB"/>
    <w:rsid w:val="00FB4E79"/>
    <w:rsid w:val="00FB5F37"/>
    <w:rsid w:val="00FB7D21"/>
    <w:rsid w:val="00FD1C27"/>
    <w:rsid w:val="00FD24E0"/>
    <w:rsid w:val="00FD3D2A"/>
    <w:rsid w:val="00FE01E5"/>
    <w:rsid w:val="00FE193C"/>
    <w:rsid w:val="00FF3E32"/>
    <w:rsid w:val="00FF79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8A16"/>
  <w15:docId w15:val="{100F18B5-211E-4405-AD80-48F97150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5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6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96EA8"/>
    <w:rPr>
      <w:sz w:val="18"/>
      <w:szCs w:val="18"/>
    </w:rPr>
  </w:style>
  <w:style w:type="character" w:customStyle="1" w:styleId="a5">
    <w:name w:val="批注框文本 字符"/>
    <w:basedOn w:val="a0"/>
    <w:link w:val="a4"/>
    <w:uiPriority w:val="99"/>
    <w:semiHidden/>
    <w:rsid w:val="00E96EA8"/>
    <w:rPr>
      <w:sz w:val="18"/>
      <w:szCs w:val="18"/>
    </w:rPr>
  </w:style>
  <w:style w:type="character" w:styleId="a6">
    <w:name w:val="annotation reference"/>
    <w:basedOn w:val="a0"/>
    <w:uiPriority w:val="99"/>
    <w:semiHidden/>
    <w:unhideWhenUsed/>
    <w:qFormat/>
    <w:rsid w:val="00E96EA8"/>
    <w:rPr>
      <w:sz w:val="21"/>
      <w:szCs w:val="21"/>
    </w:rPr>
  </w:style>
  <w:style w:type="paragraph" w:styleId="a7">
    <w:name w:val="annotation text"/>
    <w:basedOn w:val="a"/>
    <w:link w:val="a8"/>
    <w:uiPriority w:val="99"/>
    <w:unhideWhenUsed/>
    <w:qFormat/>
    <w:rsid w:val="00E96EA8"/>
    <w:pPr>
      <w:jc w:val="left"/>
    </w:pPr>
  </w:style>
  <w:style w:type="character" w:customStyle="1" w:styleId="a8">
    <w:name w:val="批注文字 字符"/>
    <w:basedOn w:val="a0"/>
    <w:link w:val="a7"/>
    <w:uiPriority w:val="99"/>
    <w:qFormat/>
    <w:rsid w:val="00E96EA8"/>
  </w:style>
  <w:style w:type="paragraph" w:styleId="a9">
    <w:name w:val="annotation subject"/>
    <w:basedOn w:val="a7"/>
    <w:next w:val="a7"/>
    <w:link w:val="aa"/>
    <w:uiPriority w:val="99"/>
    <w:semiHidden/>
    <w:unhideWhenUsed/>
    <w:rsid w:val="00E96EA8"/>
    <w:rPr>
      <w:b/>
      <w:bCs/>
    </w:rPr>
  </w:style>
  <w:style w:type="character" w:customStyle="1" w:styleId="aa">
    <w:name w:val="批注主题 字符"/>
    <w:basedOn w:val="a8"/>
    <w:link w:val="a9"/>
    <w:uiPriority w:val="99"/>
    <w:semiHidden/>
    <w:rsid w:val="00E96EA8"/>
    <w:rPr>
      <w:b/>
      <w:bCs/>
    </w:rPr>
  </w:style>
  <w:style w:type="paragraph" w:styleId="ab">
    <w:name w:val="header"/>
    <w:basedOn w:val="a"/>
    <w:link w:val="ac"/>
    <w:uiPriority w:val="99"/>
    <w:unhideWhenUsed/>
    <w:rsid w:val="00900CFB"/>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900CFB"/>
    <w:rPr>
      <w:sz w:val="18"/>
      <w:szCs w:val="18"/>
    </w:rPr>
  </w:style>
  <w:style w:type="paragraph" w:styleId="ad">
    <w:name w:val="footer"/>
    <w:basedOn w:val="a"/>
    <w:link w:val="ae"/>
    <w:uiPriority w:val="99"/>
    <w:unhideWhenUsed/>
    <w:rsid w:val="00900CFB"/>
    <w:pPr>
      <w:tabs>
        <w:tab w:val="center" w:pos="4153"/>
        <w:tab w:val="right" w:pos="8306"/>
      </w:tabs>
      <w:snapToGrid w:val="0"/>
      <w:jc w:val="left"/>
    </w:pPr>
    <w:rPr>
      <w:sz w:val="18"/>
      <w:szCs w:val="18"/>
    </w:rPr>
  </w:style>
  <w:style w:type="character" w:customStyle="1" w:styleId="ae">
    <w:name w:val="页脚 字符"/>
    <w:basedOn w:val="a0"/>
    <w:link w:val="ad"/>
    <w:uiPriority w:val="99"/>
    <w:rsid w:val="00900CFB"/>
    <w:rPr>
      <w:sz w:val="18"/>
      <w:szCs w:val="18"/>
    </w:rPr>
  </w:style>
  <w:style w:type="paragraph" w:styleId="af">
    <w:name w:val="List Paragraph"/>
    <w:basedOn w:val="a"/>
    <w:uiPriority w:val="34"/>
    <w:qFormat/>
    <w:rsid w:val="00A479CF"/>
    <w:pPr>
      <w:ind w:firstLineChars="200" w:firstLine="420"/>
    </w:pPr>
  </w:style>
  <w:style w:type="paragraph" w:customStyle="1" w:styleId="YJH-nei">
    <w:name w:val="YJH-nei"/>
    <w:basedOn w:val="a"/>
    <w:rsid w:val="001C4E46"/>
    <w:pPr>
      <w:spacing w:line="600" w:lineRule="exact"/>
      <w:ind w:firstLineChars="200" w:firstLine="200"/>
    </w:pPr>
    <w:rPr>
      <w:rFonts w:ascii="仿宋_GB2312" w:eastAsia="仿宋_GB2312" w:hAnsi="宋体" w:cs="宋体" w:hint="eastAsia"/>
      <w:kern w:val="0"/>
      <w:sz w:val="30"/>
      <w:szCs w:val="30"/>
    </w:rPr>
  </w:style>
  <w:style w:type="paragraph" w:styleId="af0">
    <w:name w:val="Revision"/>
    <w:hidden/>
    <w:uiPriority w:val="99"/>
    <w:semiHidden/>
    <w:rsid w:val="00BA6929"/>
  </w:style>
  <w:style w:type="character" w:customStyle="1" w:styleId="sect2title1">
    <w:name w:val="sect2title1"/>
    <w:rsid w:val="00171724"/>
    <w:rPr>
      <w:rFonts w:ascii="微软雅黑" w:eastAsia="微软雅黑" w:hAnsi="微软雅黑" w:hint="eastAsia"/>
      <w:b/>
      <w:bCs/>
      <w:sz w:val="21"/>
      <w:szCs w:val="21"/>
    </w:rPr>
  </w:style>
  <w:style w:type="character" w:customStyle="1" w:styleId="title1">
    <w:name w:val="title1"/>
    <w:rsid w:val="00171724"/>
    <w:rPr>
      <w:rFonts w:ascii="微软雅黑" w:eastAsia="微软雅黑" w:hAnsi="微软雅黑" w:hint="eastAsia"/>
      <w:sz w:val="21"/>
      <w:szCs w:val="21"/>
    </w:rPr>
  </w:style>
  <w:style w:type="paragraph" w:customStyle="1" w:styleId="p0">
    <w:name w:val="p0"/>
    <w:basedOn w:val="a"/>
    <w:rsid w:val="00375ED7"/>
    <w:pPr>
      <w:widowControl/>
    </w:pPr>
    <w:rPr>
      <w:rFonts w:ascii="Times New Roman" w:eastAsia="宋体" w:hAnsi="Times New Roman" w:cs="Times New Roman"/>
      <w:kern w:val="0"/>
      <w:szCs w:val="21"/>
    </w:rPr>
  </w:style>
  <w:style w:type="character" w:styleId="af1">
    <w:name w:val="Hyperlink"/>
    <w:basedOn w:val="a0"/>
    <w:uiPriority w:val="99"/>
    <w:unhideWhenUsed/>
    <w:rsid w:val="007506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4980">
      <w:bodyDiv w:val="1"/>
      <w:marLeft w:val="0"/>
      <w:marRight w:val="0"/>
      <w:marTop w:val="0"/>
      <w:marBottom w:val="0"/>
      <w:divBdr>
        <w:top w:val="none" w:sz="0" w:space="0" w:color="auto"/>
        <w:left w:val="none" w:sz="0" w:space="0" w:color="auto"/>
        <w:bottom w:val="none" w:sz="0" w:space="0" w:color="auto"/>
        <w:right w:val="none" w:sz="0" w:space="0" w:color="auto"/>
      </w:divBdr>
    </w:div>
    <w:div w:id="331690769">
      <w:bodyDiv w:val="1"/>
      <w:marLeft w:val="0"/>
      <w:marRight w:val="0"/>
      <w:marTop w:val="0"/>
      <w:marBottom w:val="0"/>
      <w:divBdr>
        <w:top w:val="none" w:sz="0" w:space="0" w:color="auto"/>
        <w:left w:val="none" w:sz="0" w:space="0" w:color="auto"/>
        <w:bottom w:val="none" w:sz="0" w:space="0" w:color="auto"/>
        <w:right w:val="none" w:sz="0" w:space="0" w:color="auto"/>
      </w:divBdr>
    </w:div>
    <w:div w:id="412357247">
      <w:bodyDiv w:val="1"/>
      <w:marLeft w:val="0"/>
      <w:marRight w:val="0"/>
      <w:marTop w:val="0"/>
      <w:marBottom w:val="0"/>
      <w:divBdr>
        <w:top w:val="none" w:sz="0" w:space="0" w:color="auto"/>
        <w:left w:val="none" w:sz="0" w:space="0" w:color="auto"/>
        <w:bottom w:val="none" w:sz="0" w:space="0" w:color="auto"/>
        <w:right w:val="none" w:sz="0" w:space="0" w:color="auto"/>
      </w:divBdr>
    </w:div>
    <w:div w:id="639772085">
      <w:bodyDiv w:val="1"/>
      <w:marLeft w:val="0"/>
      <w:marRight w:val="0"/>
      <w:marTop w:val="0"/>
      <w:marBottom w:val="0"/>
      <w:divBdr>
        <w:top w:val="none" w:sz="0" w:space="0" w:color="auto"/>
        <w:left w:val="none" w:sz="0" w:space="0" w:color="auto"/>
        <w:bottom w:val="none" w:sz="0" w:space="0" w:color="auto"/>
        <w:right w:val="none" w:sz="0" w:space="0" w:color="auto"/>
      </w:divBdr>
    </w:div>
    <w:div w:id="727260960">
      <w:bodyDiv w:val="1"/>
      <w:marLeft w:val="0"/>
      <w:marRight w:val="0"/>
      <w:marTop w:val="0"/>
      <w:marBottom w:val="0"/>
      <w:divBdr>
        <w:top w:val="none" w:sz="0" w:space="0" w:color="auto"/>
        <w:left w:val="none" w:sz="0" w:space="0" w:color="auto"/>
        <w:bottom w:val="none" w:sz="0" w:space="0" w:color="auto"/>
        <w:right w:val="none" w:sz="0" w:space="0" w:color="auto"/>
      </w:divBdr>
    </w:div>
    <w:div w:id="965353357">
      <w:bodyDiv w:val="1"/>
      <w:marLeft w:val="0"/>
      <w:marRight w:val="0"/>
      <w:marTop w:val="0"/>
      <w:marBottom w:val="0"/>
      <w:divBdr>
        <w:top w:val="none" w:sz="0" w:space="0" w:color="auto"/>
        <w:left w:val="none" w:sz="0" w:space="0" w:color="auto"/>
        <w:bottom w:val="none" w:sz="0" w:space="0" w:color="auto"/>
        <w:right w:val="none" w:sz="0" w:space="0" w:color="auto"/>
      </w:divBdr>
    </w:div>
    <w:div w:id="1164858927">
      <w:bodyDiv w:val="1"/>
      <w:marLeft w:val="0"/>
      <w:marRight w:val="0"/>
      <w:marTop w:val="0"/>
      <w:marBottom w:val="0"/>
      <w:divBdr>
        <w:top w:val="none" w:sz="0" w:space="0" w:color="auto"/>
        <w:left w:val="none" w:sz="0" w:space="0" w:color="auto"/>
        <w:bottom w:val="none" w:sz="0" w:space="0" w:color="auto"/>
        <w:right w:val="none" w:sz="0" w:space="0" w:color="auto"/>
      </w:divBdr>
    </w:div>
    <w:div w:id="1231237424">
      <w:bodyDiv w:val="1"/>
      <w:marLeft w:val="0"/>
      <w:marRight w:val="0"/>
      <w:marTop w:val="0"/>
      <w:marBottom w:val="0"/>
      <w:divBdr>
        <w:top w:val="none" w:sz="0" w:space="0" w:color="auto"/>
        <w:left w:val="none" w:sz="0" w:space="0" w:color="auto"/>
        <w:bottom w:val="none" w:sz="0" w:space="0" w:color="auto"/>
        <w:right w:val="none" w:sz="0" w:space="0" w:color="auto"/>
      </w:divBdr>
    </w:div>
    <w:div w:id="1297376677">
      <w:bodyDiv w:val="1"/>
      <w:marLeft w:val="0"/>
      <w:marRight w:val="0"/>
      <w:marTop w:val="0"/>
      <w:marBottom w:val="0"/>
      <w:divBdr>
        <w:top w:val="none" w:sz="0" w:space="0" w:color="auto"/>
        <w:left w:val="none" w:sz="0" w:space="0" w:color="auto"/>
        <w:bottom w:val="none" w:sz="0" w:space="0" w:color="auto"/>
        <w:right w:val="none" w:sz="0" w:space="0" w:color="auto"/>
      </w:divBdr>
    </w:div>
    <w:div w:id="1354726504">
      <w:bodyDiv w:val="1"/>
      <w:marLeft w:val="0"/>
      <w:marRight w:val="0"/>
      <w:marTop w:val="0"/>
      <w:marBottom w:val="0"/>
      <w:divBdr>
        <w:top w:val="none" w:sz="0" w:space="0" w:color="auto"/>
        <w:left w:val="none" w:sz="0" w:space="0" w:color="auto"/>
        <w:bottom w:val="none" w:sz="0" w:space="0" w:color="auto"/>
        <w:right w:val="none" w:sz="0" w:space="0" w:color="auto"/>
      </w:divBdr>
    </w:div>
    <w:div w:id="178665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EBE76-3221-4962-981F-CAF0928E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13</Pages>
  <Words>2179</Words>
  <Characters>12421</Characters>
  <Application>Microsoft Office Word</Application>
  <DocSecurity>0</DocSecurity>
  <Lines>103</Lines>
  <Paragraphs>29</Paragraphs>
  <ScaleCrop>false</ScaleCrop>
  <Company>nbcb</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吴威</dc:creator>
  <cp:keywords/>
  <dc:description/>
  <cp:lastModifiedBy>郑安然</cp:lastModifiedBy>
  <cp:revision>153</cp:revision>
  <cp:lastPrinted>2020-06-01T05:48:00Z</cp:lastPrinted>
  <dcterms:created xsi:type="dcterms:W3CDTF">2020-12-10T07:54:00Z</dcterms:created>
  <dcterms:modified xsi:type="dcterms:W3CDTF">2023-03-28T08:24:00Z</dcterms:modified>
</cp:coreProperties>
</file>