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w:t>
      </w:r>
      <w:r w:rsidR="00540270" w:rsidRPr="00540270">
        <w:rPr>
          <w:rFonts w:ascii="宋体" w:eastAsia="宋体" w:hAnsi="宋体" w:cs="宋体" w:hint="eastAsia"/>
          <w:b/>
          <w:bCs/>
          <w:sz w:val="36"/>
        </w:rPr>
        <w:t>宁银理财固定收益类周期型试运行1号</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710225"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sidR="00363D91">
        <w:rPr>
          <w:rFonts w:ascii="仿宋_GB2312" w:eastAsia="仿宋_GB2312" w:hAnsi="微软雅黑" w:cs="宋体" w:hint="eastAsia"/>
          <w:color w:val="FF0000"/>
          <w:sz w:val="32"/>
          <w:szCs w:val="32"/>
        </w:rPr>
        <w:t>宁银</w:t>
      </w:r>
      <w:r>
        <w:rPr>
          <w:rFonts w:ascii="仿宋_GB2312" w:eastAsia="仿宋_GB2312" w:hAnsi="微软雅黑" w:cs="宋体" w:hint="eastAsia"/>
          <w:color w:val="FF0000"/>
          <w:sz w:val="32"/>
          <w:szCs w:val="32"/>
        </w:rPr>
        <w:t>理财有限责任公司</w:t>
      </w:r>
      <w:r>
        <w:rPr>
          <w:rFonts w:ascii="仿宋_GB2312" w:eastAsia="仿宋_GB2312" w:hAnsi="微软雅黑" w:cs="宋体" w:hint="eastAsia"/>
          <w:color w:val="000000"/>
          <w:sz w:val="32"/>
          <w:szCs w:val="32"/>
        </w:rPr>
        <w:t>发行的</w:t>
      </w:r>
      <w:r w:rsidR="00363D91" w:rsidRPr="00363D91">
        <w:rPr>
          <w:rFonts w:ascii="仿宋_GB2312" w:eastAsia="仿宋_GB2312" w:hAnsi="微软雅黑" w:cs="宋体" w:hint="eastAsia"/>
          <w:color w:val="FF0000"/>
          <w:sz w:val="32"/>
          <w:szCs w:val="32"/>
        </w:rPr>
        <w:t>宁银理财固定收益类周期型试运行1</w:t>
      </w:r>
      <w:r w:rsidR="00363D91" w:rsidRPr="00363D91">
        <w:rPr>
          <w:rFonts w:ascii="仿宋_GB2312" w:eastAsia="仿宋_GB2312" w:hAnsi="微软雅黑" w:cs="宋体" w:hint="eastAsia"/>
          <w:color w:val="000000"/>
          <w:sz w:val="32"/>
          <w:szCs w:val="32"/>
        </w:rPr>
        <w:t>号</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6A4477">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020299">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月</w:t>
      </w:r>
      <w:r w:rsidR="00710225">
        <w:rPr>
          <w:rFonts w:ascii="仿宋_GB2312" w:eastAsia="仿宋_GB2312" w:hAnsi="微软雅黑" w:cs="宋体" w:hint="eastAsia"/>
          <w:color w:val="FF0000"/>
          <w:sz w:val="32"/>
          <w:szCs w:val="32"/>
        </w:rPr>
        <w:t>3</w:t>
      </w:r>
      <w:r w:rsidR="007415C0">
        <w:rPr>
          <w:rFonts w:ascii="仿宋_GB2312" w:eastAsia="仿宋_GB2312" w:hAnsi="微软雅黑" w:cs="宋体" w:hint="eastAsia"/>
          <w:color w:val="FF0000"/>
          <w:sz w:val="32"/>
          <w:szCs w:val="32"/>
        </w:rPr>
        <w:t>1</w:t>
      </w:r>
      <w:r>
        <w:rPr>
          <w:rFonts w:ascii="仿宋_GB2312" w:eastAsia="仿宋_GB2312" w:hAnsi="微软雅黑" w:cs="宋体" w:hint="eastAsia"/>
          <w:color w:val="FF0000"/>
          <w:sz w:val="32"/>
          <w:szCs w:val="32"/>
        </w:rPr>
        <w:t>日</w:t>
      </w:r>
      <w:r w:rsidR="00363D91">
        <w:rPr>
          <w:rFonts w:ascii="仿宋_GB2312" w:eastAsia="仿宋_GB2312" w:hAnsi="微软雅黑" w:cs="宋体" w:hint="eastAsia"/>
          <w:color w:val="FF0000"/>
          <w:sz w:val="32"/>
          <w:szCs w:val="32"/>
        </w:rPr>
        <w:t>8</w:t>
      </w:r>
      <w:r>
        <w:rPr>
          <w:rFonts w:ascii="仿宋_GB2312" w:eastAsia="仿宋_GB2312" w:hAnsi="微软雅黑" w:cs="宋体" w:hint="eastAsia"/>
          <w:color w:val="FF0000"/>
          <w:sz w:val="32"/>
          <w:szCs w:val="32"/>
        </w:rPr>
        <w:t>:</w:t>
      </w:r>
      <w:r w:rsidR="00363D91">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5902E6">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710225">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月</w:t>
      </w:r>
      <w:r w:rsidR="00540270">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日17:</w:t>
      </w:r>
      <w:r w:rsidR="00363D91">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BA4BCB">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。部分要素如下：</w:t>
      </w:r>
    </w:p>
    <w:tbl>
      <w:tblPr>
        <w:tblStyle w:val="a9"/>
        <w:tblW w:w="0" w:type="auto"/>
        <w:jc w:val="center"/>
        <w:tblLook w:val="04A0"/>
      </w:tblPr>
      <w:tblGrid>
        <w:gridCol w:w="1838"/>
        <w:gridCol w:w="6458"/>
      </w:tblGrid>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产品代码</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SGN2240001</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全国银行业信息登记系统编码</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rPr>
                <w:rFonts w:ascii="黑体" w:eastAsia="黑体" w:hAnsi="黑体" w:cs="黑体"/>
                <w:szCs w:val="21"/>
              </w:rPr>
            </w:pPr>
            <w:r>
              <w:rPr>
                <w:rFonts w:ascii="黑体" w:eastAsia="黑体" w:hAnsi="黑体" w:cs="黑体" w:hint="eastAsia"/>
                <w:szCs w:val="21"/>
              </w:rPr>
              <w:t>Z7002122000076</w:t>
            </w:r>
          </w:p>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凭此编码可在“中国理财网（www.chinawealth.com.cn）”上查询本产品信息</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产品名称</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宁银理财固定收益类周期型试运行1号</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产品类型</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b/>
                <w:sz w:val="21"/>
                <w:szCs w:val="21"/>
              </w:rPr>
            </w:pPr>
            <w:r>
              <w:rPr>
                <w:rFonts w:ascii="黑体" w:eastAsia="黑体" w:hAnsi="黑体" w:cs="黑体" w:hint="eastAsia"/>
                <w:b/>
                <w:szCs w:val="21"/>
              </w:rPr>
              <w:t>固定收益类、非保本浮动收益型</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募集方式</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b/>
                <w:sz w:val="21"/>
                <w:szCs w:val="21"/>
              </w:rPr>
            </w:pPr>
            <w:r>
              <w:rPr>
                <w:rFonts w:ascii="黑体" w:eastAsia="黑体" w:hAnsi="黑体" w:cs="黑体" w:hint="eastAsia"/>
                <w:b/>
                <w:szCs w:val="21"/>
              </w:rPr>
              <w:t>公募</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产品评级</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b/>
                <w:szCs w:val="21"/>
              </w:rPr>
            </w:pPr>
            <w:r>
              <w:rPr>
                <w:rFonts w:ascii="黑体" w:eastAsia="黑体" w:hAnsi="黑体" w:cs="黑体" w:hint="eastAsia"/>
                <w:b/>
                <w:szCs w:val="21"/>
              </w:rPr>
              <w:t>PR1</w:t>
            </w:r>
          </w:p>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本评级为产品管理人内部评级，仅供参考。该产品通过代理销售机构渠道销售的，理财产品评级应当以代理销售机构最终披露的评级结果为准。</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目标投资者</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b/>
                <w:kern w:val="2"/>
                <w:sz w:val="21"/>
                <w:szCs w:val="21"/>
              </w:rPr>
            </w:pPr>
            <w:r>
              <w:rPr>
                <w:rFonts w:ascii="黑体" w:eastAsia="黑体" w:hAnsi="黑体" w:cs="黑体" w:hint="eastAsia"/>
                <w:b/>
                <w:szCs w:val="21"/>
              </w:rPr>
              <w:t>风险评级为保守型，稳健型，平衡型，成长型，进取型的投资者</w:t>
            </w:r>
            <w:r>
              <w:rPr>
                <w:rFonts w:ascii="黑体" w:eastAsia="黑体" w:hAnsi="黑体" w:cs="黑体" w:hint="eastAsia"/>
                <w:b/>
                <w:bCs/>
                <w:szCs w:val="21"/>
              </w:rPr>
              <w:t>（具体以销售机构的规则为准）</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本金及收益币种</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人民币</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业绩比较基准</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b/>
                <w:szCs w:val="21"/>
              </w:rPr>
            </w:pPr>
            <w:r>
              <w:rPr>
                <w:rFonts w:ascii="黑体" w:eastAsia="黑体" w:hAnsi="黑体" w:cs="黑体" w:hint="eastAsia"/>
                <w:b/>
                <w:szCs w:val="21"/>
              </w:rPr>
              <w:t>0.80%（业绩比较基准不代表产品的未来表现和实际收益）</w:t>
            </w:r>
          </w:p>
          <w:p w:rsidR="00363D91" w:rsidRDefault="00363D91">
            <w:pPr>
              <w:autoSpaceDE w:val="0"/>
              <w:autoSpaceDN w:val="0"/>
              <w:rPr>
                <w:rFonts w:ascii="黑体" w:eastAsia="黑体" w:hAnsi="黑体" w:cs="黑体"/>
                <w:b/>
                <w:szCs w:val="21"/>
              </w:rPr>
            </w:pPr>
            <w:r>
              <w:rPr>
                <w:rFonts w:ascii="黑体" w:eastAsia="黑体" w:hAnsi="黑体" w:cs="黑体" w:hint="eastAsia"/>
                <w:b/>
                <w:szCs w:val="21"/>
              </w:rPr>
              <w:t>业绩比较基准是产品管理人基于产品性质、投资策略、过往经验等因素对产品测算得到的年化收益，不代表产品的未来表现和实际收益，不构成对产品本金的保证和收益的承诺，仅供投资者参考。</w:t>
            </w:r>
          </w:p>
          <w:p w:rsidR="00363D91" w:rsidRDefault="00363D91">
            <w:pPr>
              <w:autoSpaceDE w:val="0"/>
              <w:autoSpaceDN w:val="0"/>
              <w:rPr>
                <w:rFonts w:ascii="黑体" w:eastAsia="黑体" w:hAnsi="黑体" w:cs="黑体"/>
                <w:b/>
                <w:szCs w:val="21"/>
              </w:rPr>
            </w:pPr>
            <w:r>
              <w:rPr>
                <w:rFonts w:ascii="黑体" w:eastAsia="黑体" w:hAnsi="黑体" w:cs="黑体" w:hint="eastAsia"/>
                <w:b/>
                <w:szCs w:val="21"/>
              </w:rPr>
              <w:t>业绩比较基准可用于确定产品管理人是否收取超额业绩报酬，投资者所能获得的最终收益以管理人实际支付为准，业绩比较基准并不作为产品管理人向投资者支付本产品本金或收益的承诺。</w:t>
            </w:r>
          </w:p>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本产品为净值型产品，业绩表现将随市场情况波动，具有不确定性。产品管理人可根据市场情况调整业绩比较基准，并至少于调整日之前3个工作日进行公告。</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产品募集期</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b/>
                <w:bCs/>
                <w:szCs w:val="21"/>
              </w:rPr>
            </w:pPr>
            <w:r>
              <w:rPr>
                <w:rFonts w:ascii="黑体" w:eastAsia="黑体" w:hAnsi="黑体" w:cs="黑体" w:hint="eastAsia"/>
                <w:b/>
                <w:bCs/>
                <w:szCs w:val="21"/>
              </w:rPr>
              <w:t>2023/3/31-2023/4/3</w:t>
            </w:r>
          </w:p>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lastRenderedPageBreak/>
              <w:t>在本产品募集期内，产品管理人有权根据产品实际募集情况调整产品募集结束日，调整前将进行相关信息披露。</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lastRenderedPageBreak/>
              <w:t>产品成立日</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b/>
                <w:szCs w:val="21"/>
                <w:u w:val="single"/>
              </w:rPr>
            </w:pPr>
            <w:r>
              <w:rPr>
                <w:rFonts w:ascii="黑体" w:eastAsia="黑体" w:hAnsi="黑体" w:cs="黑体" w:hint="eastAsia"/>
                <w:b/>
                <w:szCs w:val="21"/>
              </w:rPr>
              <w:t>本产品成立日为</w:t>
            </w:r>
            <w:r>
              <w:rPr>
                <w:rFonts w:ascii="黑体" w:eastAsia="黑体" w:hAnsi="黑体" w:cs="黑体" w:hint="eastAsia"/>
                <w:b/>
                <w:bCs/>
                <w:szCs w:val="21"/>
              </w:rPr>
              <w:t>2023/4/4</w:t>
            </w:r>
          </w:p>
          <w:p w:rsidR="00363D91" w:rsidRDefault="00363D91">
            <w:pPr>
              <w:autoSpaceDE w:val="0"/>
              <w:autoSpaceDN w:val="0"/>
              <w:rPr>
                <w:rFonts w:ascii="黑体" w:eastAsia="黑体" w:hAnsi="黑体" w:cs="黑体"/>
                <w:szCs w:val="21"/>
              </w:rPr>
            </w:pPr>
            <w:r>
              <w:rPr>
                <w:rFonts w:ascii="黑体" w:eastAsia="黑体" w:hAnsi="黑体" w:cs="黑体" w:hint="eastAsia"/>
                <w:szCs w:val="21"/>
              </w:rPr>
              <w:t>1、为保护投资者权益，产品管理人可根据市场变化情况缩短或延长募集期并提前或推迟成立，届时产品管理人将调整相关日期并进行信息披露。</w:t>
            </w:r>
          </w:p>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2、若产品认购份额未达到最低成立规模，或</w:t>
            </w:r>
            <w:r>
              <w:rPr>
                <w:rFonts w:ascii="黑体" w:eastAsia="黑体" w:hAnsi="黑体" w:cs="宋体" w:hint="eastAsia"/>
                <w:szCs w:val="21"/>
              </w:rPr>
              <w:t>遇到包括但不限于国家金融政策发生重大调整、金融市场发生重大波动、</w:t>
            </w:r>
            <w:r>
              <w:rPr>
                <w:rFonts w:ascii="黑体" w:eastAsia="黑体" w:hAnsi="黑体" w:cs="黑体" w:hint="eastAsia"/>
                <w:szCs w:val="21"/>
              </w:rPr>
              <w:t>不可抗力</w:t>
            </w:r>
            <w:r>
              <w:rPr>
                <w:rFonts w:ascii="黑体" w:eastAsia="黑体" w:hAnsi="黑体" w:cs="宋体" w:hint="eastAsia"/>
                <w:szCs w:val="21"/>
              </w:rPr>
              <w:t>或产品管理人</w:t>
            </w:r>
            <w:r>
              <w:rPr>
                <w:rFonts w:ascii="黑体" w:eastAsia="黑体" w:hAnsi="黑体" w:cs="黑体" w:hint="eastAsia"/>
                <w:szCs w:val="21"/>
              </w:rPr>
              <w:t>认为会影响产品成立的其他因素时，产品管理人可以宣布产品不成立，投资者认购资金将于产品募集期结束后5个工作日内解冻或返还至投资者指定账户，在途期间投资者投资本金不计息。</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产品到期日</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b/>
                <w:szCs w:val="21"/>
              </w:rPr>
            </w:pPr>
            <w:r>
              <w:rPr>
                <w:rFonts w:ascii="黑体" w:eastAsia="黑体" w:hAnsi="黑体" w:cs="黑体" w:hint="eastAsia"/>
                <w:b/>
                <w:szCs w:val="21"/>
              </w:rPr>
              <w:t>2050/12/31</w:t>
            </w:r>
          </w:p>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b/>
                <w:szCs w:val="21"/>
              </w:rPr>
              <w:t>产品成立日至产品到期日期间为产品存续期。详见本说明书第七部分</w:t>
            </w:r>
            <w:r>
              <w:rPr>
                <w:rFonts w:ascii="黑体" w:eastAsia="黑体" w:hAnsi="黑体" w:cs="黑体" w:hint="eastAsia"/>
                <w:b/>
                <w:bCs/>
                <w:szCs w:val="21"/>
              </w:rPr>
              <w:t>理财产品到期与终止</w:t>
            </w:r>
            <w:r>
              <w:rPr>
                <w:rFonts w:ascii="黑体" w:eastAsia="黑体" w:hAnsi="黑体" w:cs="黑体" w:hint="eastAsia"/>
                <w:b/>
                <w:szCs w:val="21"/>
              </w:rPr>
              <w:t>。</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产品申购开放日</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b/>
                <w:bCs/>
                <w:color w:val="000000" w:themeColor="text1"/>
                <w:szCs w:val="21"/>
              </w:rPr>
            </w:pPr>
            <w:r>
              <w:rPr>
                <w:rFonts w:ascii="黑体" w:eastAsia="黑体" w:hAnsi="黑体" w:cs="黑体" w:hint="eastAsia"/>
                <w:b/>
                <w:bCs/>
                <w:szCs w:val="21"/>
              </w:rPr>
              <w:t>产品存续期内，</w:t>
            </w:r>
            <w:r>
              <w:rPr>
                <w:rFonts w:ascii="黑体" w:eastAsia="黑体" w:hAnsi="黑体" w:cs="黑体" w:hint="eastAsia"/>
                <w:b/>
                <w:bCs/>
                <w:color w:val="000000" w:themeColor="text1"/>
                <w:szCs w:val="21"/>
              </w:rPr>
              <w:t>每周二为申购确认日（如遇非工作日顺延），申购确认日前一工作日为申购开放日，每个产品申购开放日（含）至上一产品申购开放日（不含）为一个预约申购区间，投资者可以提交或撤销申购申请，申购交易申请在申购开放日统一处理，并于申购确认日进行确认。</w:t>
            </w:r>
          </w:p>
          <w:p w:rsidR="00363D91" w:rsidRDefault="00363D91">
            <w:pPr>
              <w:autoSpaceDE w:val="0"/>
              <w:autoSpaceDN w:val="0"/>
              <w:rPr>
                <w:rFonts w:ascii="黑体" w:eastAsia="黑体" w:hAnsi="黑体" w:cs="黑体"/>
                <w:b/>
                <w:bCs/>
                <w:kern w:val="2"/>
                <w:szCs w:val="21"/>
              </w:rPr>
            </w:pPr>
            <w:r>
              <w:rPr>
                <w:rFonts w:ascii="黑体" w:eastAsia="黑体" w:hAnsi="黑体" w:cs="黑体" w:hint="eastAsia"/>
                <w:b/>
                <w:bCs/>
                <w:szCs w:val="21"/>
              </w:rPr>
              <w:t>产品实际预约申</w:t>
            </w:r>
            <w:r>
              <w:rPr>
                <w:rFonts w:ascii="黑体" w:eastAsia="黑体" w:hAnsi="黑体" w:cs="黑体" w:hint="eastAsia"/>
                <w:b/>
                <w:bCs/>
                <w:color w:val="000000" w:themeColor="text1"/>
                <w:szCs w:val="21"/>
              </w:rPr>
              <w:t>购</w:t>
            </w:r>
            <w:r>
              <w:rPr>
                <w:rFonts w:ascii="黑体" w:eastAsia="黑体" w:hAnsi="黑体" w:cs="黑体" w:hint="eastAsia"/>
                <w:b/>
                <w:bCs/>
                <w:szCs w:val="21"/>
              </w:rPr>
              <w:t>区间具体以销售渠道展示为准。</w:t>
            </w:r>
          </w:p>
          <w:p w:rsidR="00363D91" w:rsidRDefault="00363D91">
            <w:pPr>
              <w:widowControl w:val="0"/>
              <w:autoSpaceDE w:val="0"/>
              <w:autoSpaceDN w:val="0"/>
              <w:rPr>
                <w:rFonts w:ascii="黑体" w:eastAsia="黑体" w:hAnsi="黑体" w:cs="黑体"/>
                <w:b/>
                <w:sz w:val="21"/>
                <w:szCs w:val="21"/>
              </w:rPr>
            </w:pPr>
            <w:r>
              <w:rPr>
                <w:rFonts w:ascii="黑体" w:eastAsia="黑体" w:hAnsi="黑体" w:cs="黑体" w:hint="eastAsia"/>
                <w:b/>
                <w:bCs/>
                <w:color w:val="000000" w:themeColor="text1"/>
                <w:szCs w:val="21"/>
              </w:rPr>
              <w:t>若遇特殊情况需调整申购开放日或预约申购区间的，管理人将在调整前3个工作日进行公告。</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投资周期终止日</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b/>
                <w:bCs/>
                <w:color w:val="000000" w:themeColor="text1"/>
                <w:szCs w:val="21"/>
              </w:rPr>
            </w:pPr>
            <w:r>
              <w:rPr>
                <w:rFonts w:ascii="黑体" w:eastAsia="黑体" w:hAnsi="黑体" w:cs="黑体" w:hint="eastAsia"/>
                <w:b/>
                <w:bCs/>
                <w:color w:val="000000" w:themeColor="text1"/>
                <w:szCs w:val="21"/>
              </w:rPr>
              <w:t>投资周期终止日=认购/申购确认日+7天</w:t>
            </w:r>
          </w:p>
          <w:p w:rsidR="00363D91" w:rsidRDefault="00363D91">
            <w:pPr>
              <w:autoSpaceDE w:val="0"/>
              <w:autoSpaceDN w:val="0"/>
              <w:rPr>
                <w:rFonts w:ascii="黑体" w:eastAsia="黑体" w:hAnsi="黑体" w:cs="黑体"/>
                <w:b/>
                <w:bCs/>
                <w:color w:val="000000" w:themeColor="text1"/>
                <w:szCs w:val="21"/>
              </w:rPr>
            </w:pPr>
            <w:r>
              <w:rPr>
                <w:rFonts w:ascii="黑体" w:eastAsia="黑体" w:hAnsi="黑体" w:cs="黑体" w:hint="eastAsia"/>
                <w:b/>
                <w:bCs/>
                <w:color w:val="000000" w:themeColor="text1"/>
                <w:szCs w:val="21"/>
              </w:rPr>
              <w:t>投资者认购/申购的每笔份额的投资周期为认购确认日/申购确认日（含）至投资周期终止日（不含）的天数，本产品份额投资周期为7天，投资周期终止日份额自动到期。</w:t>
            </w:r>
          </w:p>
          <w:p w:rsidR="00363D91" w:rsidRDefault="00363D91">
            <w:pPr>
              <w:widowControl w:val="0"/>
              <w:autoSpaceDE w:val="0"/>
              <w:autoSpaceDN w:val="0"/>
              <w:rPr>
                <w:rFonts w:ascii="黑体" w:eastAsia="黑体" w:hAnsi="黑体" w:cs="黑体"/>
                <w:b/>
                <w:sz w:val="21"/>
                <w:szCs w:val="21"/>
              </w:rPr>
            </w:pPr>
            <w:r>
              <w:rPr>
                <w:rFonts w:ascii="黑体" w:eastAsia="黑体" w:hAnsi="黑体" w:cs="黑体" w:hint="eastAsia"/>
                <w:b/>
                <w:bCs/>
                <w:color w:val="000000" w:themeColor="text1"/>
                <w:szCs w:val="21"/>
              </w:rPr>
              <w:t>如遇非工作日，投资周期终止日顺延，每笔份额投资周期相应延长，若遇特殊情况具体以公告为准。</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认购、申购及撤单时间</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宋体"/>
                <w:szCs w:val="21"/>
              </w:rPr>
            </w:pPr>
            <w:r>
              <w:rPr>
                <w:rFonts w:ascii="黑体" w:eastAsia="黑体" w:hAnsi="黑体" w:cs="宋体" w:hint="eastAsia"/>
                <w:szCs w:val="21"/>
              </w:rPr>
              <w:t>产品募集期第一日8:30至最后一日17:30投资者可以提交或撤销认购申请；</w:t>
            </w:r>
          </w:p>
          <w:p w:rsidR="00363D91" w:rsidRDefault="00363D91">
            <w:pPr>
              <w:autoSpaceDE w:val="0"/>
              <w:autoSpaceDN w:val="0"/>
              <w:rPr>
                <w:rFonts w:ascii="黑体" w:eastAsia="黑体" w:hAnsi="黑体" w:cs="宋体"/>
                <w:szCs w:val="21"/>
              </w:rPr>
            </w:pPr>
            <w:r>
              <w:rPr>
                <w:rFonts w:ascii="黑体" w:eastAsia="黑体" w:hAnsi="黑体" w:cs="宋体" w:hint="eastAsia"/>
                <w:szCs w:val="21"/>
              </w:rPr>
              <w:t>产品申购开放日（含）及预约申购区间中第一日8:30至最后一日17:30，投资者可以提交或撤销申购申请。</w:t>
            </w:r>
          </w:p>
          <w:p w:rsidR="00363D91" w:rsidRDefault="00363D91">
            <w:pPr>
              <w:widowControl w:val="0"/>
              <w:autoSpaceDE w:val="0"/>
              <w:autoSpaceDN w:val="0"/>
              <w:rPr>
                <w:rFonts w:ascii="黑体" w:eastAsia="黑体" w:hAnsi="黑体" w:cs="宋体"/>
                <w:sz w:val="21"/>
                <w:szCs w:val="21"/>
              </w:rPr>
            </w:pPr>
            <w:r>
              <w:rPr>
                <w:rFonts w:ascii="黑体" w:eastAsia="黑体" w:hAnsi="黑体" w:cs="宋体" w:hint="eastAsia"/>
                <w:szCs w:val="21"/>
              </w:rPr>
              <w:t>产品实际认购、申购及撤单时间具体以销售机构展示为准。</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产品最低成立规模</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无</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lastRenderedPageBreak/>
              <w:t>产品规模上限</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b/>
                <w:szCs w:val="21"/>
              </w:rPr>
            </w:pPr>
            <w:r>
              <w:rPr>
                <w:rFonts w:ascii="黑体" w:eastAsia="黑体" w:hAnsi="黑体" w:cs="黑体" w:hint="eastAsia"/>
                <w:b/>
                <w:szCs w:val="21"/>
              </w:rPr>
              <w:t>产品募集期规模上限为1万元</w:t>
            </w:r>
          </w:p>
          <w:p w:rsidR="00363D91" w:rsidRDefault="00363D91">
            <w:pPr>
              <w:autoSpaceDE w:val="0"/>
              <w:autoSpaceDN w:val="0"/>
              <w:rPr>
                <w:rFonts w:ascii="黑体" w:eastAsia="黑体" w:hAnsi="黑体" w:cs="黑体"/>
                <w:b/>
                <w:szCs w:val="21"/>
              </w:rPr>
            </w:pPr>
            <w:r>
              <w:rPr>
                <w:rFonts w:ascii="黑体" w:eastAsia="黑体" w:hAnsi="黑体" w:cs="黑体" w:hint="eastAsia"/>
                <w:b/>
                <w:szCs w:val="21"/>
              </w:rPr>
              <w:t>若募集期产品认购金额达到产品规模上限，则产品管理人有权停止产品的认购交易，对于超出产品规模上限的部分，产品管理人有权不进行确认。</w:t>
            </w:r>
          </w:p>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b/>
                <w:szCs w:val="21"/>
              </w:rPr>
              <w:t>产品管理人有权根据产品实际运作情况调整产品存续期间的规模上限，具体以产品销售机构显示为准。</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首次购买起点金额</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个人投资者1元起售（销售机构可以不低于上述标准设置起购金额，投资者购买本理财产品时以该销售机构最终要求为准）。</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追加购买金额</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追加金额以1元整数倍增加，追加购买金额中不足1元的部分，产品管理人有权不确认（销售机构可以不低于上述标准设置追加购买金额，投资者购买本理财产品时以该销售机构最终要求为准）。</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单日单户购买限额</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b/>
                <w:szCs w:val="21"/>
              </w:rPr>
              <w:t>单个投资者对本产品单日购买上限为</w:t>
            </w:r>
            <w:r>
              <w:rPr>
                <w:rFonts w:ascii="黑体" w:eastAsia="黑体" w:hAnsi="黑体" w:cs="黑体" w:hint="eastAsia"/>
                <w:b/>
                <w:bCs/>
                <w:szCs w:val="21"/>
              </w:rPr>
              <w:t>无上限</w:t>
            </w:r>
            <w:r>
              <w:rPr>
                <w:rFonts w:ascii="黑体" w:eastAsia="黑体" w:hAnsi="黑体" w:cs="黑体" w:hint="eastAsia"/>
                <w:szCs w:val="21"/>
              </w:rPr>
              <w:t>；若单个投资者在单日对本产品的购买金额达到上限的，产品管理人有权不再继续接受其认（申）购。</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单户限额</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rPr>
                <w:rFonts w:ascii="黑体" w:eastAsia="黑体" w:hAnsi="黑体" w:cs="黑体"/>
                <w:b/>
                <w:bCs/>
                <w:szCs w:val="21"/>
              </w:rPr>
            </w:pPr>
            <w:r>
              <w:rPr>
                <w:rFonts w:ascii="黑体" w:eastAsia="黑体" w:hAnsi="黑体" w:cs="黑体" w:hint="eastAsia"/>
                <w:szCs w:val="21"/>
              </w:rPr>
              <w:t>1、</w:t>
            </w:r>
            <w:r>
              <w:rPr>
                <w:rFonts w:ascii="黑体" w:eastAsia="黑体" w:hAnsi="黑体" w:cs="黑体" w:hint="eastAsia"/>
                <w:b/>
                <w:szCs w:val="21"/>
              </w:rPr>
              <w:t>单个投资者对本产品持有金额上限为</w:t>
            </w:r>
            <w:r>
              <w:rPr>
                <w:rFonts w:ascii="黑体" w:eastAsia="黑体" w:hAnsi="黑体" w:cs="黑体" w:hint="eastAsia"/>
                <w:b/>
                <w:bCs/>
                <w:szCs w:val="21"/>
              </w:rPr>
              <w:t>个人投资者无上限</w:t>
            </w:r>
            <w:r>
              <w:rPr>
                <w:rFonts w:ascii="黑体" w:eastAsia="黑体" w:hAnsi="黑体" w:cs="黑体" w:hint="eastAsia"/>
                <w:szCs w:val="21"/>
              </w:rPr>
              <w:t>；若单个投资者对本产品持有金额达到上限的，产品管理人将不再继续接受其认（申）购；</w:t>
            </w:r>
          </w:p>
          <w:p w:rsidR="00363D91" w:rsidRDefault="00363D91">
            <w:pPr>
              <w:autoSpaceDE w:val="0"/>
              <w:autoSpaceDN w:val="0"/>
              <w:rPr>
                <w:rFonts w:ascii="黑体" w:eastAsia="黑体" w:hAnsi="黑体" w:cs="黑体"/>
                <w:szCs w:val="21"/>
              </w:rPr>
            </w:pPr>
            <w:r>
              <w:rPr>
                <w:rFonts w:ascii="黑体" w:eastAsia="黑体" w:hAnsi="黑体" w:cs="黑体" w:hint="eastAsia"/>
                <w:szCs w:val="21"/>
                <w:u w:val="single"/>
              </w:rPr>
              <w:t>非因产品管理人主观因素导致单个投资者持有份额比例超过总份额的50%（含）时，产品管理人将暂停接受其认（申）购申请。</w:t>
            </w:r>
          </w:p>
          <w:p w:rsidR="00363D91" w:rsidRDefault="00363D91">
            <w:pPr>
              <w:widowControl w:val="0"/>
              <w:jc w:val="both"/>
              <w:rPr>
                <w:rFonts w:ascii="黑体" w:eastAsia="黑体" w:hAnsi="黑体"/>
                <w:kern w:val="2"/>
                <w:sz w:val="21"/>
                <w:szCs w:val="21"/>
              </w:rPr>
            </w:pPr>
            <w:r>
              <w:rPr>
                <w:rFonts w:ascii="黑体" w:eastAsia="黑体" w:hAnsi="黑体" w:cs="黑体" w:hint="eastAsia"/>
                <w:szCs w:val="21"/>
              </w:rPr>
              <w:t>2、</w:t>
            </w:r>
            <w:r>
              <w:rPr>
                <w:rFonts w:ascii="黑体" w:eastAsia="黑体" w:hAnsi="黑体" w:cs="黑体" w:hint="eastAsia"/>
                <w:b/>
                <w:szCs w:val="21"/>
              </w:rPr>
              <w:t>单个投资者对本产品的最低持有金额为</w:t>
            </w:r>
            <w:r>
              <w:rPr>
                <w:rFonts w:ascii="黑体" w:eastAsia="黑体" w:hAnsi="黑体" w:cs="黑体" w:hint="eastAsia"/>
                <w:b/>
                <w:bCs/>
                <w:szCs w:val="21"/>
              </w:rPr>
              <w:t>个人投资者1元</w:t>
            </w:r>
            <w:r>
              <w:rPr>
                <w:rFonts w:ascii="黑体" w:eastAsia="黑体" w:hAnsi="黑体" w:cs="黑体" w:hint="eastAsia"/>
                <w:szCs w:val="21"/>
              </w:rPr>
              <w:t>，若投资者持有不足该金额时，产品管理人可对投资者持有的产品剩余金额进行强制赎回。</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销售区域</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全国（不含港澳台地区）</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管理机构/产品管理人</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宁银理财有限责任公司</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销售机构</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宁波银行股份有限公司、</w:t>
            </w:r>
            <w:r>
              <w:rPr>
                <w:rFonts w:ascii="Calibri" w:eastAsia="黑体" w:hAnsi="Calibri" w:cs="Calibri" w:hint="eastAsia"/>
                <w:color w:val="000000" w:themeColor="text1"/>
                <w:szCs w:val="21"/>
              </w:rPr>
              <w:t>宁银理财有限责任公司、江苏紫金农村商业银行股份有限公司</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托管机构</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宁波银行股份有限公司</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投资合作机构</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szCs w:val="21"/>
              </w:rPr>
            </w:pPr>
            <w:r>
              <w:rPr>
                <w:rFonts w:ascii="黑体" w:eastAsia="黑体" w:hAnsi="黑体" w:cs="黑体" w:hint="eastAsia"/>
                <w:szCs w:val="21"/>
              </w:rPr>
              <w:t>投资合作机构包括但不限于理财产品所投资资产管理产品的发行机构、根据合同约定从事理财产品受托投资的机构以及与理财产品投资管理相关的投资顾问等。</w:t>
            </w:r>
          </w:p>
          <w:p w:rsidR="00363D91" w:rsidRDefault="00363D91">
            <w:pPr>
              <w:autoSpaceDE w:val="0"/>
              <w:autoSpaceDN w:val="0"/>
              <w:rPr>
                <w:rFonts w:ascii="黑体" w:eastAsia="黑体" w:hAnsi="黑体" w:cs="黑体"/>
                <w:szCs w:val="21"/>
              </w:rPr>
            </w:pPr>
            <w:r>
              <w:rPr>
                <w:rFonts w:ascii="黑体" w:eastAsia="黑体" w:hAnsi="黑体" w:cs="黑体" w:hint="eastAsia"/>
                <w:szCs w:val="21"/>
              </w:rPr>
              <w:t>本理财产品投资合作机构为暂无。</w:t>
            </w:r>
          </w:p>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szCs w:val="21"/>
              </w:rPr>
              <w:t>后续新增投资合作机构时，管理人将对合作机构的资质条件、专业服务能力和风险管理水平等进行充分评价，切实履行投资管理职责。</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t>产品费用及税收</w:t>
            </w:r>
            <w:r>
              <w:rPr>
                <w:rFonts w:ascii="黑体" w:eastAsia="黑体" w:hAnsi="黑体" w:cs="黑体" w:hint="eastAsia"/>
                <w:szCs w:val="21"/>
              </w:rPr>
              <w:lastRenderedPageBreak/>
              <w:t>规定</w:t>
            </w:r>
          </w:p>
        </w:tc>
        <w:tc>
          <w:tcPr>
            <w:tcW w:w="6458" w:type="dxa"/>
            <w:tcBorders>
              <w:top w:val="single" w:sz="4" w:space="0" w:color="auto"/>
              <w:left w:val="single" w:sz="4" w:space="0" w:color="auto"/>
              <w:bottom w:val="single" w:sz="4" w:space="0" w:color="auto"/>
              <w:right w:val="single" w:sz="4" w:space="0" w:color="auto"/>
            </w:tcBorders>
            <w:hideMark/>
          </w:tcPr>
          <w:p w:rsidR="00363D91" w:rsidRDefault="00363D91">
            <w:pPr>
              <w:autoSpaceDE w:val="0"/>
              <w:autoSpaceDN w:val="0"/>
              <w:rPr>
                <w:rFonts w:ascii="黑体" w:eastAsia="黑体" w:hAnsi="黑体" w:cs="黑体"/>
                <w:b/>
                <w:szCs w:val="21"/>
              </w:rPr>
            </w:pPr>
            <w:r>
              <w:rPr>
                <w:rFonts w:ascii="黑体" w:eastAsia="黑体" w:hAnsi="黑体" w:cs="黑体" w:hint="eastAsia"/>
                <w:b/>
                <w:szCs w:val="21"/>
              </w:rPr>
              <w:lastRenderedPageBreak/>
              <w:t>本产品收取的费用为包括固定管理费0.30%（年化）、销售服务</w:t>
            </w:r>
            <w:r>
              <w:rPr>
                <w:rFonts w:ascii="黑体" w:eastAsia="黑体" w:hAnsi="黑体" w:cs="黑体" w:hint="eastAsia"/>
                <w:b/>
                <w:szCs w:val="21"/>
              </w:rPr>
              <w:lastRenderedPageBreak/>
              <w:t>费0.10%（年化）、托管费0.001%（年化）等。</w:t>
            </w:r>
          </w:p>
          <w:p w:rsidR="00363D91" w:rsidRDefault="00363D91">
            <w:pPr>
              <w:widowControl w:val="0"/>
              <w:autoSpaceDE w:val="0"/>
              <w:autoSpaceDN w:val="0"/>
              <w:rPr>
                <w:rFonts w:ascii="黑体" w:eastAsia="黑体" w:hAnsi="黑体" w:cs="黑体"/>
                <w:sz w:val="21"/>
                <w:szCs w:val="21"/>
              </w:rPr>
            </w:pPr>
            <w:r>
              <w:rPr>
                <w:rFonts w:ascii="黑体" w:eastAsia="黑体" w:hAnsi="黑体" w:cs="黑体" w:hint="eastAsia"/>
                <w:b/>
                <w:szCs w:val="21"/>
              </w:rPr>
              <w:t>详见本说明书第六部分产品费用、收益及税收说明。</w:t>
            </w:r>
          </w:p>
        </w:tc>
      </w:tr>
      <w:tr w:rsidR="00363D91" w:rsidTr="00945A6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363D91" w:rsidRDefault="00363D91">
            <w:pPr>
              <w:widowControl w:val="0"/>
              <w:autoSpaceDE w:val="0"/>
              <w:autoSpaceDN w:val="0"/>
              <w:jc w:val="both"/>
              <w:rPr>
                <w:rFonts w:ascii="黑体" w:eastAsia="黑体" w:hAnsi="黑体" w:cs="黑体"/>
                <w:sz w:val="21"/>
                <w:szCs w:val="21"/>
              </w:rPr>
            </w:pPr>
            <w:r>
              <w:rPr>
                <w:rFonts w:ascii="黑体" w:eastAsia="黑体" w:hAnsi="黑体" w:cs="黑体" w:hint="eastAsia"/>
                <w:szCs w:val="21"/>
              </w:rPr>
              <w:lastRenderedPageBreak/>
              <w:t>其他</w:t>
            </w:r>
          </w:p>
        </w:tc>
        <w:tc>
          <w:tcPr>
            <w:tcW w:w="6458" w:type="dxa"/>
            <w:tcBorders>
              <w:top w:val="single" w:sz="4" w:space="0" w:color="auto"/>
              <w:left w:val="single" w:sz="4" w:space="0" w:color="auto"/>
              <w:bottom w:val="single" w:sz="4" w:space="0" w:color="auto"/>
              <w:right w:val="single" w:sz="4" w:space="0" w:color="auto"/>
            </w:tcBorders>
          </w:tcPr>
          <w:p w:rsidR="00363D91" w:rsidRDefault="00363D91">
            <w:pPr>
              <w:rPr>
                <w:rFonts w:ascii="黑体" w:eastAsia="黑体" w:hAnsi="黑体" w:cs="黑体"/>
                <w:szCs w:val="21"/>
              </w:rPr>
            </w:pPr>
            <w:r>
              <w:rPr>
                <w:rFonts w:ascii="黑体" w:eastAsia="黑体" w:hAnsi="黑体" w:cs="黑体" w:hint="eastAsia"/>
                <w:szCs w:val="21"/>
              </w:rPr>
              <w:t>1、</w:t>
            </w:r>
            <w:r>
              <w:rPr>
                <w:rFonts w:ascii="黑体" w:eastAsia="黑体" w:hAnsi="黑体" w:cs="黑体" w:hint="eastAsia"/>
                <w:b/>
                <w:szCs w:val="21"/>
              </w:rPr>
              <w:t>在本产品存续期内，产品管理人有权根据市场情况调整本产品前述产品要素，调整前将进行相关信息披露。</w:t>
            </w:r>
          </w:p>
          <w:p w:rsidR="00363D91" w:rsidRDefault="00363D91">
            <w:pPr>
              <w:rPr>
                <w:rFonts w:ascii="黑体" w:eastAsia="黑体" w:hAnsi="黑体" w:cs="黑体"/>
                <w:szCs w:val="21"/>
              </w:rPr>
            </w:pPr>
            <w:r>
              <w:rPr>
                <w:rFonts w:ascii="黑体" w:eastAsia="黑体" w:hAnsi="黑体" w:cs="黑体" w:hint="eastAsia"/>
                <w:szCs w:val="21"/>
              </w:rPr>
              <w:t>2、产品成立日和到期日如遇非工作日，则顺延至下一工作日。</w:t>
            </w:r>
          </w:p>
          <w:p w:rsidR="00363D91" w:rsidRDefault="00363D91">
            <w:pPr>
              <w:rPr>
                <w:rFonts w:ascii="黑体" w:eastAsia="黑体" w:hAnsi="黑体" w:cs="黑体"/>
                <w:szCs w:val="21"/>
              </w:rPr>
            </w:pPr>
            <w:r>
              <w:rPr>
                <w:rFonts w:ascii="黑体" w:eastAsia="黑体" w:hAnsi="黑体" w:cs="黑体" w:hint="eastAsia"/>
                <w:szCs w:val="21"/>
              </w:rPr>
              <w:t>3、本产品说明书中的工作日指国家法定工作日；交易所工作日指上海证券交易所、深圳证券交易所正常开盘的交易日且为银行工作日。</w:t>
            </w:r>
          </w:p>
          <w:p w:rsidR="00363D91" w:rsidRDefault="00363D91">
            <w:pPr>
              <w:rPr>
                <w:rFonts w:ascii="黑体" w:eastAsia="黑体" w:hAnsi="黑体" w:cs="黑体"/>
                <w:szCs w:val="21"/>
              </w:rPr>
            </w:pPr>
            <w:r>
              <w:rPr>
                <w:rFonts w:ascii="黑体" w:eastAsia="黑体" w:hAnsi="黑体" w:cs="黑体" w:hint="eastAsia"/>
                <w:szCs w:val="21"/>
              </w:rPr>
              <w:t>4、其他：无</w:t>
            </w:r>
          </w:p>
          <w:p w:rsidR="00363D91" w:rsidRDefault="00363D91">
            <w:pPr>
              <w:widowControl w:val="0"/>
              <w:jc w:val="both"/>
              <w:rPr>
                <w:rFonts w:ascii="黑体" w:eastAsia="黑体" w:hAnsi="黑体" w:cs="黑体"/>
                <w:sz w:val="21"/>
                <w:szCs w:val="21"/>
              </w:rPr>
            </w:pP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（更多具体要素请详阅产品说明书）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3.如有其他未尽事宜以私人银行部解释为准。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附件：1.理财产品说明书</w:t>
      </w:r>
    </w:p>
    <w:p w:rsidR="00C934C7" w:rsidRDefault="00D80CB5">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w:t>
      </w:r>
      <w:r w:rsidR="0068015B">
        <w:rPr>
          <w:rFonts w:ascii="仿宋_GB2312" w:eastAsia="仿宋_GB2312" w:hAnsi="微软雅黑" w:cs="宋体" w:hint="eastAsia"/>
          <w:color w:val="000000"/>
          <w:sz w:val="32"/>
          <w:szCs w:val="32"/>
        </w:rPr>
        <w:t>理财产品代理销售协议书、理财产品投资协议书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3.理财</w:t>
      </w:r>
      <w:r w:rsidR="00D80CB5">
        <w:rPr>
          <w:rFonts w:ascii="仿宋_GB2312" w:eastAsia="仿宋_GB2312" w:hAnsi="微软雅黑" w:cs="宋体" w:hint="eastAsia"/>
          <w:color w:val="000000"/>
          <w:sz w:val="32"/>
          <w:szCs w:val="32"/>
        </w:rPr>
        <w:t>产品</w:t>
      </w:r>
      <w:r>
        <w:rPr>
          <w:rFonts w:ascii="仿宋_GB2312" w:eastAsia="仿宋_GB2312" w:hAnsi="微软雅黑" w:cs="宋体" w:hint="eastAsia"/>
          <w:color w:val="000000"/>
          <w:sz w:val="32"/>
          <w:szCs w:val="32"/>
        </w:rPr>
        <w:t>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w:t>
      </w:r>
      <w:r w:rsidR="00DE1753">
        <w:rPr>
          <w:rFonts w:ascii="仿宋_GB2312" w:eastAsia="仿宋_GB2312" w:hAnsi="微软雅黑" w:cs="宋体" w:hint="eastAsia"/>
          <w:color w:val="000000"/>
          <w:sz w:val="32"/>
          <w:szCs w:val="32"/>
        </w:rPr>
        <w:t>理财产品</w:t>
      </w:r>
      <w:r>
        <w:rPr>
          <w:rFonts w:ascii="仿宋_GB2312" w:eastAsia="仿宋_GB2312" w:hAnsi="微软雅黑" w:cs="宋体" w:hint="eastAsia"/>
          <w:color w:val="000000"/>
          <w:sz w:val="32"/>
          <w:szCs w:val="32"/>
        </w:rPr>
        <w:t>投资者权益须知</w:t>
      </w: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6A4477">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5A477A">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月</w:t>
      </w:r>
      <w:bookmarkStart w:id="0" w:name="_GoBack"/>
      <w:bookmarkEnd w:id="0"/>
      <w:r w:rsidR="00B05CEC">
        <w:rPr>
          <w:rFonts w:ascii="仿宋_GB2312" w:eastAsia="仿宋_GB2312" w:hAnsi="微软雅黑" w:cs="宋体" w:hint="eastAsia"/>
          <w:color w:val="000000"/>
          <w:sz w:val="32"/>
          <w:szCs w:val="32"/>
        </w:rPr>
        <w:t>30</w:t>
      </w:r>
      <w:r w:rsidR="006A4477">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930" w:rsidRDefault="00853930" w:rsidP="00141F36">
      <w:pPr>
        <w:spacing w:after="0"/>
      </w:pPr>
      <w:r>
        <w:separator/>
      </w:r>
    </w:p>
  </w:endnote>
  <w:endnote w:type="continuationSeparator" w:id="1">
    <w:p w:rsidR="00853930" w:rsidRDefault="00853930" w:rsidP="00141F3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930" w:rsidRDefault="00853930" w:rsidP="00141F36">
      <w:pPr>
        <w:spacing w:after="0"/>
      </w:pPr>
      <w:r>
        <w:separator/>
      </w:r>
    </w:p>
  </w:footnote>
  <w:footnote w:type="continuationSeparator" w:id="1">
    <w:p w:rsidR="00853930" w:rsidRDefault="00853930" w:rsidP="00141F3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1986"/>
  </w:hdrShapeDefaults>
  <w:footnotePr>
    <w:footnote w:id="0"/>
    <w:footnote w:id="1"/>
  </w:footnotePr>
  <w:endnotePr>
    <w:endnote w:id="0"/>
    <w:endnote w:id="1"/>
  </w:endnotePr>
  <w:compat>
    <w:useFELayout/>
  </w:compat>
  <w:rsids>
    <w:rsidRoot w:val="00D31D50"/>
    <w:rsid w:val="00002A13"/>
    <w:rsid w:val="00012365"/>
    <w:rsid w:val="00014D89"/>
    <w:rsid w:val="000159FD"/>
    <w:rsid w:val="00020299"/>
    <w:rsid w:val="0002233E"/>
    <w:rsid w:val="00025736"/>
    <w:rsid w:val="000430CA"/>
    <w:rsid w:val="00045358"/>
    <w:rsid w:val="00050465"/>
    <w:rsid w:val="000547BB"/>
    <w:rsid w:val="0006322B"/>
    <w:rsid w:val="000729EB"/>
    <w:rsid w:val="000812F4"/>
    <w:rsid w:val="000936F7"/>
    <w:rsid w:val="000957AC"/>
    <w:rsid w:val="000A5028"/>
    <w:rsid w:val="000E18A2"/>
    <w:rsid w:val="000E1FA9"/>
    <w:rsid w:val="000E7543"/>
    <w:rsid w:val="000F61C9"/>
    <w:rsid w:val="0010440D"/>
    <w:rsid w:val="00110B5C"/>
    <w:rsid w:val="001225F8"/>
    <w:rsid w:val="00134D61"/>
    <w:rsid w:val="00141F36"/>
    <w:rsid w:val="00157799"/>
    <w:rsid w:val="00160908"/>
    <w:rsid w:val="00174CF3"/>
    <w:rsid w:val="00174FC8"/>
    <w:rsid w:val="00182785"/>
    <w:rsid w:val="001930D1"/>
    <w:rsid w:val="001A556D"/>
    <w:rsid w:val="001B2273"/>
    <w:rsid w:val="001D40A6"/>
    <w:rsid w:val="001F72B5"/>
    <w:rsid w:val="00201E20"/>
    <w:rsid w:val="00206F8F"/>
    <w:rsid w:val="00207F97"/>
    <w:rsid w:val="00214CF7"/>
    <w:rsid w:val="00216E71"/>
    <w:rsid w:val="002235BC"/>
    <w:rsid w:val="00233CED"/>
    <w:rsid w:val="00236FDA"/>
    <w:rsid w:val="002513BD"/>
    <w:rsid w:val="00257856"/>
    <w:rsid w:val="00266F77"/>
    <w:rsid w:val="00277323"/>
    <w:rsid w:val="002777A1"/>
    <w:rsid w:val="00283408"/>
    <w:rsid w:val="002866F6"/>
    <w:rsid w:val="0029028F"/>
    <w:rsid w:val="002B1948"/>
    <w:rsid w:val="002C248B"/>
    <w:rsid w:val="002D44AC"/>
    <w:rsid w:val="002D757D"/>
    <w:rsid w:val="002D7671"/>
    <w:rsid w:val="002E2039"/>
    <w:rsid w:val="002E3ECB"/>
    <w:rsid w:val="002E7145"/>
    <w:rsid w:val="002F07C0"/>
    <w:rsid w:val="003059D5"/>
    <w:rsid w:val="00320D56"/>
    <w:rsid w:val="00322F4C"/>
    <w:rsid w:val="00323B43"/>
    <w:rsid w:val="003268AB"/>
    <w:rsid w:val="00347193"/>
    <w:rsid w:val="00351CD8"/>
    <w:rsid w:val="00353BA9"/>
    <w:rsid w:val="00355E21"/>
    <w:rsid w:val="00357EB7"/>
    <w:rsid w:val="00361A72"/>
    <w:rsid w:val="00363D91"/>
    <w:rsid w:val="00393219"/>
    <w:rsid w:val="003C0D6B"/>
    <w:rsid w:val="003C1D41"/>
    <w:rsid w:val="003D37D8"/>
    <w:rsid w:val="003D4715"/>
    <w:rsid w:val="003E2BFC"/>
    <w:rsid w:val="003F70AB"/>
    <w:rsid w:val="00410A33"/>
    <w:rsid w:val="00422AD1"/>
    <w:rsid w:val="00426133"/>
    <w:rsid w:val="00431C9E"/>
    <w:rsid w:val="004349C0"/>
    <w:rsid w:val="004358AB"/>
    <w:rsid w:val="00443E90"/>
    <w:rsid w:val="00444CA3"/>
    <w:rsid w:val="00450005"/>
    <w:rsid w:val="00450C77"/>
    <w:rsid w:val="0045680A"/>
    <w:rsid w:val="00471A3B"/>
    <w:rsid w:val="004749F0"/>
    <w:rsid w:val="00476C3B"/>
    <w:rsid w:val="0049140E"/>
    <w:rsid w:val="004950F4"/>
    <w:rsid w:val="00496E4F"/>
    <w:rsid w:val="004C175A"/>
    <w:rsid w:val="0050664F"/>
    <w:rsid w:val="00510995"/>
    <w:rsid w:val="005168C5"/>
    <w:rsid w:val="005218F6"/>
    <w:rsid w:val="00523BDD"/>
    <w:rsid w:val="0052515C"/>
    <w:rsid w:val="00530F2D"/>
    <w:rsid w:val="00536DF2"/>
    <w:rsid w:val="00540270"/>
    <w:rsid w:val="00543584"/>
    <w:rsid w:val="00543782"/>
    <w:rsid w:val="0055369F"/>
    <w:rsid w:val="0056630E"/>
    <w:rsid w:val="00566FD9"/>
    <w:rsid w:val="00567122"/>
    <w:rsid w:val="00577BF0"/>
    <w:rsid w:val="00584009"/>
    <w:rsid w:val="005902E6"/>
    <w:rsid w:val="005A477A"/>
    <w:rsid w:val="005B1774"/>
    <w:rsid w:val="005B38B5"/>
    <w:rsid w:val="005B45CF"/>
    <w:rsid w:val="005B5DF6"/>
    <w:rsid w:val="005C155D"/>
    <w:rsid w:val="005C31E9"/>
    <w:rsid w:val="005D072F"/>
    <w:rsid w:val="005F2B78"/>
    <w:rsid w:val="00606205"/>
    <w:rsid w:val="00607EC0"/>
    <w:rsid w:val="00610019"/>
    <w:rsid w:val="006110FC"/>
    <w:rsid w:val="00611544"/>
    <w:rsid w:val="006128D5"/>
    <w:rsid w:val="006148C9"/>
    <w:rsid w:val="0061606F"/>
    <w:rsid w:val="006170B5"/>
    <w:rsid w:val="006214F4"/>
    <w:rsid w:val="00642C20"/>
    <w:rsid w:val="00677D5A"/>
    <w:rsid w:val="0068015B"/>
    <w:rsid w:val="00683451"/>
    <w:rsid w:val="006A4477"/>
    <w:rsid w:val="006C44CC"/>
    <w:rsid w:val="006C68D5"/>
    <w:rsid w:val="006E48A4"/>
    <w:rsid w:val="006F7856"/>
    <w:rsid w:val="00701C74"/>
    <w:rsid w:val="0070239F"/>
    <w:rsid w:val="00710225"/>
    <w:rsid w:val="00710B34"/>
    <w:rsid w:val="00714309"/>
    <w:rsid w:val="00714B02"/>
    <w:rsid w:val="007248B8"/>
    <w:rsid w:val="0073205A"/>
    <w:rsid w:val="0074046E"/>
    <w:rsid w:val="00740E8C"/>
    <w:rsid w:val="00741563"/>
    <w:rsid w:val="007415C0"/>
    <w:rsid w:val="00747E0A"/>
    <w:rsid w:val="00766E00"/>
    <w:rsid w:val="007675CD"/>
    <w:rsid w:val="007745AB"/>
    <w:rsid w:val="00783419"/>
    <w:rsid w:val="007865C9"/>
    <w:rsid w:val="00793A91"/>
    <w:rsid w:val="00796629"/>
    <w:rsid w:val="007A6260"/>
    <w:rsid w:val="007C44C4"/>
    <w:rsid w:val="007D35F2"/>
    <w:rsid w:val="008201C5"/>
    <w:rsid w:val="00827FB9"/>
    <w:rsid w:val="008445DB"/>
    <w:rsid w:val="008450A8"/>
    <w:rsid w:val="00846546"/>
    <w:rsid w:val="008507C0"/>
    <w:rsid w:val="00853930"/>
    <w:rsid w:val="0085497C"/>
    <w:rsid w:val="00854BCB"/>
    <w:rsid w:val="00867E9B"/>
    <w:rsid w:val="00884835"/>
    <w:rsid w:val="008930CD"/>
    <w:rsid w:val="00893277"/>
    <w:rsid w:val="00895EEF"/>
    <w:rsid w:val="00896839"/>
    <w:rsid w:val="00896D1C"/>
    <w:rsid w:val="00897920"/>
    <w:rsid w:val="008A6AC1"/>
    <w:rsid w:val="008B008A"/>
    <w:rsid w:val="008B4334"/>
    <w:rsid w:val="008B450C"/>
    <w:rsid w:val="008B4E39"/>
    <w:rsid w:val="008B6523"/>
    <w:rsid w:val="008B7726"/>
    <w:rsid w:val="008F2B7A"/>
    <w:rsid w:val="008F5738"/>
    <w:rsid w:val="008F7CA5"/>
    <w:rsid w:val="009039D4"/>
    <w:rsid w:val="00903E35"/>
    <w:rsid w:val="00911DE1"/>
    <w:rsid w:val="00916AFD"/>
    <w:rsid w:val="00945A63"/>
    <w:rsid w:val="00946A62"/>
    <w:rsid w:val="00950801"/>
    <w:rsid w:val="00951BFC"/>
    <w:rsid w:val="00953E58"/>
    <w:rsid w:val="0096633A"/>
    <w:rsid w:val="0096677C"/>
    <w:rsid w:val="00971266"/>
    <w:rsid w:val="00985586"/>
    <w:rsid w:val="00986A17"/>
    <w:rsid w:val="00993EA2"/>
    <w:rsid w:val="00996AC4"/>
    <w:rsid w:val="009A5FF7"/>
    <w:rsid w:val="009A6871"/>
    <w:rsid w:val="009B21F1"/>
    <w:rsid w:val="009B2786"/>
    <w:rsid w:val="009B6AAD"/>
    <w:rsid w:val="009D1D85"/>
    <w:rsid w:val="009E16F2"/>
    <w:rsid w:val="009F6193"/>
    <w:rsid w:val="00A01DF4"/>
    <w:rsid w:val="00A215C9"/>
    <w:rsid w:val="00A30CF8"/>
    <w:rsid w:val="00A36E48"/>
    <w:rsid w:val="00A4169B"/>
    <w:rsid w:val="00A54155"/>
    <w:rsid w:val="00A65280"/>
    <w:rsid w:val="00A6775F"/>
    <w:rsid w:val="00A838DC"/>
    <w:rsid w:val="00A84AE0"/>
    <w:rsid w:val="00A9135E"/>
    <w:rsid w:val="00A9294C"/>
    <w:rsid w:val="00AA23FA"/>
    <w:rsid w:val="00AB6BA4"/>
    <w:rsid w:val="00AC33B2"/>
    <w:rsid w:val="00AC3E98"/>
    <w:rsid w:val="00AC51A3"/>
    <w:rsid w:val="00AC6774"/>
    <w:rsid w:val="00AD4C9C"/>
    <w:rsid w:val="00AE6487"/>
    <w:rsid w:val="00AF091D"/>
    <w:rsid w:val="00AF3E9A"/>
    <w:rsid w:val="00B01B88"/>
    <w:rsid w:val="00B02F94"/>
    <w:rsid w:val="00B05CEC"/>
    <w:rsid w:val="00B126A7"/>
    <w:rsid w:val="00B21220"/>
    <w:rsid w:val="00B22801"/>
    <w:rsid w:val="00B24A4C"/>
    <w:rsid w:val="00B27E33"/>
    <w:rsid w:val="00B325DB"/>
    <w:rsid w:val="00B3799D"/>
    <w:rsid w:val="00B4326E"/>
    <w:rsid w:val="00B6409D"/>
    <w:rsid w:val="00B64881"/>
    <w:rsid w:val="00B73241"/>
    <w:rsid w:val="00B73A10"/>
    <w:rsid w:val="00B76003"/>
    <w:rsid w:val="00B941A3"/>
    <w:rsid w:val="00B941AB"/>
    <w:rsid w:val="00BA2412"/>
    <w:rsid w:val="00BA4BCB"/>
    <w:rsid w:val="00BC7E2B"/>
    <w:rsid w:val="00BC7E3B"/>
    <w:rsid w:val="00BE351A"/>
    <w:rsid w:val="00C00041"/>
    <w:rsid w:val="00C15704"/>
    <w:rsid w:val="00C17395"/>
    <w:rsid w:val="00C23A87"/>
    <w:rsid w:val="00C468C3"/>
    <w:rsid w:val="00C50B0B"/>
    <w:rsid w:val="00C66A8C"/>
    <w:rsid w:val="00C71423"/>
    <w:rsid w:val="00C77D66"/>
    <w:rsid w:val="00C934C7"/>
    <w:rsid w:val="00CA253E"/>
    <w:rsid w:val="00CA70DD"/>
    <w:rsid w:val="00CB16FF"/>
    <w:rsid w:val="00CB29BA"/>
    <w:rsid w:val="00CB2A01"/>
    <w:rsid w:val="00CD21BA"/>
    <w:rsid w:val="00CD328F"/>
    <w:rsid w:val="00CD4295"/>
    <w:rsid w:val="00CD4F0F"/>
    <w:rsid w:val="00CD74BD"/>
    <w:rsid w:val="00CE0BFB"/>
    <w:rsid w:val="00CE0C36"/>
    <w:rsid w:val="00CE411C"/>
    <w:rsid w:val="00CF5224"/>
    <w:rsid w:val="00D0319E"/>
    <w:rsid w:val="00D10241"/>
    <w:rsid w:val="00D20F22"/>
    <w:rsid w:val="00D3062D"/>
    <w:rsid w:val="00D31D50"/>
    <w:rsid w:val="00D42DFD"/>
    <w:rsid w:val="00D476F9"/>
    <w:rsid w:val="00D50C56"/>
    <w:rsid w:val="00D51249"/>
    <w:rsid w:val="00D5491D"/>
    <w:rsid w:val="00D57726"/>
    <w:rsid w:val="00D67754"/>
    <w:rsid w:val="00D763B7"/>
    <w:rsid w:val="00D80BDE"/>
    <w:rsid w:val="00D80CB5"/>
    <w:rsid w:val="00D871F8"/>
    <w:rsid w:val="00DA521E"/>
    <w:rsid w:val="00DB1998"/>
    <w:rsid w:val="00DB267C"/>
    <w:rsid w:val="00DC08E6"/>
    <w:rsid w:val="00DD1E41"/>
    <w:rsid w:val="00DD52AA"/>
    <w:rsid w:val="00DE145A"/>
    <w:rsid w:val="00DE1753"/>
    <w:rsid w:val="00DF18D2"/>
    <w:rsid w:val="00E00192"/>
    <w:rsid w:val="00E05633"/>
    <w:rsid w:val="00E210A0"/>
    <w:rsid w:val="00E328E5"/>
    <w:rsid w:val="00E342C9"/>
    <w:rsid w:val="00E4613A"/>
    <w:rsid w:val="00E51943"/>
    <w:rsid w:val="00E65FB9"/>
    <w:rsid w:val="00E773E2"/>
    <w:rsid w:val="00E774C6"/>
    <w:rsid w:val="00E807D3"/>
    <w:rsid w:val="00E86AD3"/>
    <w:rsid w:val="00E92031"/>
    <w:rsid w:val="00EA1489"/>
    <w:rsid w:val="00EB3586"/>
    <w:rsid w:val="00EB7ADF"/>
    <w:rsid w:val="00EC780B"/>
    <w:rsid w:val="00EE0CF8"/>
    <w:rsid w:val="00EE50F7"/>
    <w:rsid w:val="00EF297D"/>
    <w:rsid w:val="00EF76FE"/>
    <w:rsid w:val="00F04234"/>
    <w:rsid w:val="00F21AAA"/>
    <w:rsid w:val="00F234C6"/>
    <w:rsid w:val="00F24E77"/>
    <w:rsid w:val="00F634A7"/>
    <w:rsid w:val="00F70FA0"/>
    <w:rsid w:val="00F7443F"/>
    <w:rsid w:val="00F805F0"/>
    <w:rsid w:val="00F85BBD"/>
    <w:rsid w:val="00F94858"/>
    <w:rsid w:val="00F94E57"/>
    <w:rsid w:val="00F957A8"/>
    <w:rsid w:val="00F96EC9"/>
    <w:rsid w:val="00FA233C"/>
    <w:rsid w:val="00FA792A"/>
    <w:rsid w:val="00FB39AB"/>
    <w:rsid w:val="00FC1CBF"/>
    <w:rsid w:val="00FC73A4"/>
    <w:rsid w:val="00FD35EB"/>
    <w:rsid w:val="00FE0475"/>
    <w:rsid w:val="00FE20C6"/>
    <w:rsid w:val="00FE31DC"/>
    <w:rsid w:val="00FF0EB4"/>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39"/>
    <w:rsid w:val="00BA4BC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2"/>
    <w:uiPriority w:val="1"/>
    <w:qFormat/>
    <w:rsid w:val="005902E6"/>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a"/>
    <w:uiPriority w:val="1"/>
    <w:rsid w:val="005902E6"/>
    <w:rPr>
      <w:rFonts w:ascii="宋体"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41310">
      <w:bodyDiv w:val="1"/>
      <w:marLeft w:val="0"/>
      <w:marRight w:val="0"/>
      <w:marTop w:val="0"/>
      <w:marBottom w:val="0"/>
      <w:divBdr>
        <w:top w:val="none" w:sz="0" w:space="0" w:color="auto"/>
        <w:left w:val="none" w:sz="0" w:space="0" w:color="auto"/>
        <w:bottom w:val="none" w:sz="0" w:space="0" w:color="auto"/>
        <w:right w:val="none" w:sz="0" w:space="0" w:color="auto"/>
      </w:divBdr>
    </w:div>
    <w:div w:id="220212518">
      <w:bodyDiv w:val="1"/>
      <w:marLeft w:val="0"/>
      <w:marRight w:val="0"/>
      <w:marTop w:val="0"/>
      <w:marBottom w:val="0"/>
      <w:divBdr>
        <w:top w:val="none" w:sz="0" w:space="0" w:color="auto"/>
        <w:left w:val="none" w:sz="0" w:space="0" w:color="auto"/>
        <w:bottom w:val="none" w:sz="0" w:space="0" w:color="auto"/>
        <w:right w:val="none" w:sz="0" w:space="0" w:color="auto"/>
      </w:divBdr>
    </w:div>
    <w:div w:id="322975417">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691304627">
      <w:bodyDiv w:val="1"/>
      <w:marLeft w:val="0"/>
      <w:marRight w:val="0"/>
      <w:marTop w:val="0"/>
      <w:marBottom w:val="0"/>
      <w:divBdr>
        <w:top w:val="none" w:sz="0" w:space="0" w:color="auto"/>
        <w:left w:val="none" w:sz="0" w:space="0" w:color="auto"/>
        <w:bottom w:val="none" w:sz="0" w:space="0" w:color="auto"/>
        <w:right w:val="none" w:sz="0" w:space="0" w:color="auto"/>
      </w:divBdr>
    </w:div>
    <w:div w:id="738789877">
      <w:bodyDiv w:val="1"/>
      <w:marLeft w:val="0"/>
      <w:marRight w:val="0"/>
      <w:marTop w:val="0"/>
      <w:marBottom w:val="0"/>
      <w:divBdr>
        <w:top w:val="none" w:sz="0" w:space="0" w:color="auto"/>
        <w:left w:val="none" w:sz="0" w:space="0" w:color="auto"/>
        <w:bottom w:val="none" w:sz="0" w:space="0" w:color="auto"/>
        <w:right w:val="none" w:sz="0" w:space="0" w:color="auto"/>
      </w:divBdr>
    </w:div>
    <w:div w:id="788670042">
      <w:bodyDiv w:val="1"/>
      <w:marLeft w:val="0"/>
      <w:marRight w:val="0"/>
      <w:marTop w:val="0"/>
      <w:marBottom w:val="0"/>
      <w:divBdr>
        <w:top w:val="none" w:sz="0" w:space="0" w:color="auto"/>
        <w:left w:val="none" w:sz="0" w:space="0" w:color="auto"/>
        <w:bottom w:val="none" w:sz="0" w:space="0" w:color="auto"/>
        <w:right w:val="none" w:sz="0" w:space="0" w:color="auto"/>
      </w:divBdr>
    </w:div>
    <w:div w:id="789251317">
      <w:bodyDiv w:val="1"/>
      <w:marLeft w:val="0"/>
      <w:marRight w:val="0"/>
      <w:marTop w:val="0"/>
      <w:marBottom w:val="0"/>
      <w:divBdr>
        <w:top w:val="none" w:sz="0" w:space="0" w:color="auto"/>
        <w:left w:val="none" w:sz="0" w:space="0" w:color="auto"/>
        <w:bottom w:val="none" w:sz="0" w:space="0" w:color="auto"/>
        <w:right w:val="none" w:sz="0" w:space="0" w:color="auto"/>
      </w:divBdr>
    </w:div>
    <w:div w:id="806312309">
      <w:bodyDiv w:val="1"/>
      <w:marLeft w:val="0"/>
      <w:marRight w:val="0"/>
      <w:marTop w:val="0"/>
      <w:marBottom w:val="0"/>
      <w:divBdr>
        <w:top w:val="none" w:sz="0" w:space="0" w:color="auto"/>
        <w:left w:val="none" w:sz="0" w:space="0" w:color="auto"/>
        <w:bottom w:val="none" w:sz="0" w:space="0" w:color="auto"/>
        <w:right w:val="none" w:sz="0" w:space="0" w:color="auto"/>
      </w:divBdr>
    </w:div>
    <w:div w:id="929511403">
      <w:bodyDiv w:val="1"/>
      <w:marLeft w:val="0"/>
      <w:marRight w:val="0"/>
      <w:marTop w:val="0"/>
      <w:marBottom w:val="0"/>
      <w:divBdr>
        <w:top w:val="none" w:sz="0" w:space="0" w:color="auto"/>
        <w:left w:val="none" w:sz="0" w:space="0" w:color="auto"/>
        <w:bottom w:val="none" w:sz="0" w:space="0" w:color="auto"/>
        <w:right w:val="none" w:sz="0" w:space="0" w:color="auto"/>
      </w:divBdr>
    </w:div>
    <w:div w:id="1123305622">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312177544">
      <w:bodyDiv w:val="1"/>
      <w:marLeft w:val="0"/>
      <w:marRight w:val="0"/>
      <w:marTop w:val="0"/>
      <w:marBottom w:val="0"/>
      <w:divBdr>
        <w:top w:val="none" w:sz="0" w:space="0" w:color="auto"/>
        <w:left w:val="none" w:sz="0" w:space="0" w:color="auto"/>
        <w:bottom w:val="none" w:sz="0" w:space="0" w:color="auto"/>
        <w:right w:val="none" w:sz="0" w:space="0" w:color="auto"/>
      </w:divBdr>
    </w:div>
    <w:div w:id="1340425281">
      <w:bodyDiv w:val="1"/>
      <w:marLeft w:val="0"/>
      <w:marRight w:val="0"/>
      <w:marTop w:val="0"/>
      <w:marBottom w:val="0"/>
      <w:divBdr>
        <w:top w:val="none" w:sz="0" w:space="0" w:color="auto"/>
        <w:left w:val="none" w:sz="0" w:space="0" w:color="auto"/>
        <w:bottom w:val="none" w:sz="0" w:space="0" w:color="auto"/>
        <w:right w:val="none" w:sz="0" w:space="0" w:color="auto"/>
      </w:divBdr>
    </w:div>
    <w:div w:id="1351681714">
      <w:bodyDiv w:val="1"/>
      <w:marLeft w:val="0"/>
      <w:marRight w:val="0"/>
      <w:marTop w:val="0"/>
      <w:marBottom w:val="0"/>
      <w:divBdr>
        <w:top w:val="none" w:sz="0" w:space="0" w:color="auto"/>
        <w:left w:val="none" w:sz="0" w:space="0" w:color="auto"/>
        <w:bottom w:val="none" w:sz="0" w:space="0" w:color="auto"/>
        <w:right w:val="none" w:sz="0" w:space="0" w:color="auto"/>
      </w:divBdr>
    </w:div>
    <w:div w:id="1558934229">
      <w:bodyDiv w:val="1"/>
      <w:marLeft w:val="0"/>
      <w:marRight w:val="0"/>
      <w:marTop w:val="0"/>
      <w:marBottom w:val="0"/>
      <w:divBdr>
        <w:top w:val="none" w:sz="0" w:space="0" w:color="auto"/>
        <w:left w:val="none" w:sz="0" w:space="0" w:color="auto"/>
        <w:bottom w:val="none" w:sz="0" w:space="0" w:color="auto"/>
        <w:right w:val="none" w:sz="0" w:space="0" w:color="auto"/>
      </w:divBdr>
    </w:div>
    <w:div w:id="1612316887">
      <w:bodyDiv w:val="1"/>
      <w:marLeft w:val="0"/>
      <w:marRight w:val="0"/>
      <w:marTop w:val="0"/>
      <w:marBottom w:val="0"/>
      <w:divBdr>
        <w:top w:val="none" w:sz="0" w:space="0" w:color="auto"/>
        <w:left w:val="none" w:sz="0" w:space="0" w:color="auto"/>
        <w:bottom w:val="none" w:sz="0" w:space="0" w:color="auto"/>
        <w:right w:val="none" w:sz="0" w:space="0" w:color="auto"/>
      </w:divBdr>
    </w:div>
    <w:div w:id="1626813943">
      <w:bodyDiv w:val="1"/>
      <w:marLeft w:val="0"/>
      <w:marRight w:val="0"/>
      <w:marTop w:val="0"/>
      <w:marBottom w:val="0"/>
      <w:divBdr>
        <w:top w:val="none" w:sz="0" w:space="0" w:color="auto"/>
        <w:left w:val="none" w:sz="0" w:space="0" w:color="auto"/>
        <w:bottom w:val="none" w:sz="0" w:space="0" w:color="auto"/>
        <w:right w:val="none" w:sz="0" w:space="0" w:color="auto"/>
      </w:divBdr>
    </w:div>
    <w:div w:id="1645088936">
      <w:bodyDiv w:val="1"/>
      <w:marLeft w:val="0"/>
      <w:marRight w:val="0"/>
      <w:marTop w:val="0"/>
      <w:marBottom w:val="0"/>
      <w:divBdr>
        <w:top w:val="none" w:sz="0" w:space="0" w:color="auto"/>
        <w:left w:val="none" w:sz="0" w:space="0" w:color="auto"/>
        <w:bottom w:val="none" w:sz="0" w:space="0" w:color="auto"/>
        <w:right w:val="none" w:sz="0" w:space="0" w:color="auto"/>
      </w:divBdr>
    </w:div>
    <w:div w:id="1675918732">
      <w:bodyDiv w:val="1"/>
      <w:marLeft w:val="0"/>
      <w:marRight w:val="0"/>
      <w:marTop w:val="0"/>
      <w:marBottom w:val="0"/>
      <w:divBdr>
        <w:top w:val="none" w:sz="0" w:space="0" w:color="auto"/>
        <w:left w:val="none" w:sz="0" w:space="0" w:color="auto"/>
        <w:bottom w:val="none" w:sz="0" w:space="0" w:color="auto"/>
        <w:right w:val="none" w:sz="0" w:space="0" w:color="auto"/>
      </w:divBdr>
    </w:div>
    <w:div w:id="1697121018">
      <w:bodyDiv w:val="1"/>
      <w:marLeft w:val="0"/>
      <w:marRight w:val="0"/>
      <w:marTop w:val="0"/>
      <w:marBottom w:val="0"/>
      <w:divBdr>
        <w:top w:val="none" w:sz="0" w:space="0" w:color="auto"/>
        <w:left w:val="none" w:sz="0" w:space="0" w:color="auto"/>
        <w:bottom w:val="none" w:sz="0" w:space="0" w:color="auto"/>
        <w:right w:val="none" w:sz="0" w:space="0" w:color="auto"/>
      </w:divBdr>
    </w:div>
    <w:div w:id="1810901276">
      <w:bodyDiv w:val="1"/>
      <w:marLeft w:val="0"/>
      <w:marRight w:val="0"/>
      <w:marTop w:val="0"/>
      <w:marBottom w:val="0"/>
      <w:divBdr>
        <w:top w:val="none" w:sz="0" w:space="0" w:color="auto"/>
        <w:left w:val="none" w:sz="0" w:space="0" w:color="auto"/>
        <w:bottom w:val="none" w:sz="0" w:space="0" w:color="auto"/>
        <w:right w:val="none" w:sz="0" w:space="0" w:color="auto"/>
      </w:divBdr>
    </w:div>
    <w:div w:id="1912542991">
      <w:bodyDiv w:val="1"/>
      <w:marLeft w:val="0"/>
      <w:marRight w:val="0"/>
      <w:marTop w:val="0"/>
      <w:marBottom w:val="0"/>
      <w:divBdr>
        <w:top w:val="none" w:sz="0" w:space="0" w:color="auto"/>
        <w:left w:val="none" w:sz="0" w:space="0" w:color="auto"/>
        <w:bottom w:val="none" w:sz="0" w:space="0" w:color="auto"/>
        <w:right w:val="none" w:sz="0" w:space="0" w:color="auto"/>
      </w:divBdr>
    </w:div>
    <w:div w:id="2099673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4</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309</cp:revision>
  <cp:lastPrinted>2021-06-03T04:20:00Z</cp:lastPrinted>
  <dcterms:created xsi:type="dcterms:W3CDTF">2008-09-11T17:20:00Z</dcterms:created>
  <dcterms:modified xsi:type="dcterms:W3CDTF">2023-03-30T02:56:00Z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