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5E3E8D" w:rsidRPr="005E3E8D">
        <w:rPr>
          <w:rFonts w:ascii="宋体" w:eastAsia="宋体" w:hAnsi="宋体" w:cs="宋体" w:hint="eastAsia"/>
          <w:b/>
          <w:bCs/>
          <w:kern w:val="0"/>
          <w:sz w:val="36"/>
        </w:rPr>
        <w:t>杭银理财幸福99丰裕固收</w:t>
      </w:r>
      <w:r w:rsidR="00083C8F" w:rsidRPr="00083C8F">
        <w:rPr>
          <w:rFonts w:ascii="宋体" w:eastAsia="宋体" w:hAnsi="宋体" w:cs="宋体" w:hint="eastAsia"/>
          <w:b/>
          <w:bCs/>
          <w:kern w:val="0"/>
          <w:sz w:val="36"/>
        </w:rPr>
        <w:t>2</w:t>
      </w:r>
      <w:r w:rsidR="006A731D">
        <w:rPr>
          <w:rFonts w:ascii="宋体" w:eastAsia="宋体" w:hAnsi="宋体" w:cs="宋体" w:hint="eastAsia"/>
          <w:b/>
          <w:bCs/>
          <w:kern w:val="0"/>
          <w:sz w:val="36"/>
        </w:rPr>
        <w:t>300</w:t>
      </w:r>
      <w:r w:rsidR="00C16407">
        <w:rPr>
          <w:rFonts w:ascii="宋体" w:eastAsia="宋体" w:hAnsi="宋体" w:cs="宋体" w:hint="eastAsia"/>
          <w:b/>
          <w:bCs/>
          <w:kern w:val="0"/>
          <w:sz w:val="36"/>
        </w:rPr>
        <w:t>4</w:t>
      </w:r>
      <w:r w:rsidR="00083C8F" w:rsidRPr="00083C8F">
        <w:rPr>
          <w:rFonts w:ascii="宋体" w:eastAsia="宋体" w:hAnsi="宋体" w:cs="宋体" w:hint="eastAsia"/>
          <w:b/>
          <w:bCs/>
          <w:kern w:val="0"/>
          <w:sz w:val="36"/>
        </w:rPr>
        <w:t>期（稳利低波款）</w:t>
      </w:r>
      <w:r w:rsidR="005E3E8D" w:rsidRPr="005E3E8D">
        <w:rPr>
          <w:rFonts w:ascii="宋体" w:eastAsia="宋体" w:hAnsi="宋体" w:cs="宋体" w:hint="eastAsia"/>
          <w:b/>
          <w:bCs/>
          <w:kern w:val="0"/>
          <w:sz w:val="36"/>
        </w:rPr>
        <w:t>理财</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6A731D">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6A731D">
        <w:rPr>
          <w:rFonts w:ascii="仿宋_GB2312" w:eastAsia="仿宋_GB2312" w:hAnsi="微软雅黑" w:cs="宋体" w:hint="eastAsia"/>
          <w:color w:val="FF0000"/>
          <w:sz w:val="32"/>
          <w:szCs w:val="32"/>
        </w:rPr>
        <w:t>1</w:t>
      </w:r>
      <w:r w:rsidRPr="00E210A0">
        <w:rPr>
          <w:rFonts w:ascii="仿宋_GB2312" w:eastAsia="仿宋_GB2312" w:hAnsi="微软雅黑" w:cs="宋体" w:hint="eastAsia"/>
          <w:color w:val="FF0000"/>
          <w:sz w:val="32"/>
          <w:szCs w:val="32"/>
        </w:rPr>
        <w:t>月</w:t>
      </w:r>
      <w:r w:rsidR="006A731D">
        <w:rPr>
          <w:rFonts w:ascii="仿宋_GB2312" w:eastAsia="仿宋_GB2312" w:hAnsi="微软雅黑" w:cs="宋体" w:hint="eastAsia"/>
          <w:color w:val="FF0000"/>
          <w:sz w:val="32"/>
          <w:szCs w:val="32"/>
        </w:rPr>
        <w:t>4</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Pr>
          <w:rFonts w:ascii="仿宋_GB2312" w:eastAsia="仿宋_GB2312" w:hAnsi="微软雅黑" w:cs="宋体" w:hint="eastAsia"/>
          <w:color w:val="FF0000"/>
          <w:sz w:val="32"/>
          <w:szCs w:val="32"/>
        </w:rPr>
        <w:t>杭银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5F62F8" w:rsidRPr="005F62F8">
        <w:rPr>
          <w:rFonts w:ascii="仿宋_GB2312" w:eastAsia="仿宋_GB2312" w:hAnsi="微软雅黑" w:cs="宋体" w:hint="eastAsia"/>
          <w:b/>
          <w:color w:val="000000"/>
          <w:sz w:val="32"/>
          <w:szCs w:val="32"/>
        </w:rPr>
        <w:t>99丰裕固收</w:t>
      </w:r>
      <w:r w:rsidR="006A731D">
        <w:rPr>
          <w:rFonts w:ascii="仿宋_GB2312" w:eastAsia="仿宋_GB2312" w:hAnsi="微软雅黑" w:cs="宋体" w:hint="eastAsia"/>
          <w:b/>
          <w:color w:val="000000"/>
          <w:sz w:val="32"/>
          <w:szCs w:val="32"/>
        </w:rPr>
        <w:t>2300</w:t>
      </w:r>
      <w:r w:rsidR="00C16407">
        <w:rPr>
          <w:rFonts w:ascii="仿宋_GB2312" w:eastAsia="仿宋_GB2312" w:hAnsi="微软雅黑" w:cs="宋体" w:hint="eastAsia"/>
          <w:b/>
          <w:color w:val="000000"/>
          <w:sz w:val="32"/>
          <w:szCs w:val="32"/>
        </w:rPr>
        <w:t>4</w:t>
      </w:r>
      <w:r w:rsidR="00083C8F" w:rsidRPr="00083C8F">
        <w:rPr>
          <w:rFonts w:ascii="仿宋_GB2312" w:eastAsia="仿宋_GB2312" w:hAnsi="微软雅黑" w:cs="宋体" w:hint="eastAsia"/>
          <w:b/>
          <w:color w:val="000000"/>
          <w:sz w:val="32"/>
          <w:szCs w:val="32"/>
        </w:rPr>
        <w:t>期（稳利低波款）</w:t>
      </w:r>
      <w:r w:rsidR="005F62F8" w:rsidRPr="005F62F8">
        <w:rPr>
          <w:rFonts w:ascii="仿宋_GB2312" w:eastAsia="仿宋_GB2312" w:hAnsi="微软雅黑" w:cs="宋体" w:hint="eastAsia"/>
          <w:b/>
          <w:color w:val="000000"/>
          <w:sz w:val="32"/>
          <w:szCs w:val="32"/>
        </w:rPr>
        <w:t>理财</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1680"/>
        <w:gridCol w:w="7185"/>
      </w:tblGrid>
      <w:tr w:rsidR="00C16407" w:rsidTr="00D06BE4">
        <w:trPr>
          <w:trHeight w:val="368"/>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产品名称</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szCs w:val="21"/>
              </w:rPr>
              <w:t>杭银理财幸福99丰裕固收23004期（稳利低波款）理财</w:t>
            </w:r>
          </w:p>
        </w:tc>
      </w:tr>
      <w:tr w:rsidR="00C16407" w:rsidTr="00D06BE4">
        <w:trPr>
          <w:trHeight w:val="90"/>
        </w:trPr>
        <w:tc>
          <w:tcPr>
            <w:tcW w:w="1680" w:type="dxa"/>
            <w:vAlign w:val="center"/>
          </w:tcPr>
          <w:p w:rsidR="00C16407" w:rsidRDefault="00C16407" w:rsidP="00D06BE4">
            <w:pPr>
              <w:widowControl/>
              <w:spacing w:line="360" w:lineRule="auto"/>
              <w:contextualSpacing/>
              <w:jc w:val="center"/>
              <w:rPr>
                <w:rFonts w:ascii="宋体" w:hAnsi="宋体" w:cs="宋体" w:hint="eastAsia"/>
                <w:szCs w:val="21"/>
              </w:rPr>
            </w:pPr>
            <w:r>
              <w:rPr>
                <w:rFonts w:ascii="宋体" w:hAnsi="宋体" w:cs="宋体" w:hint="eastAsia"/>
                <w:szCs w:val="21"/>
              </w:rPr>
              <w:t>产品简称</w:t>
            </w:r>
          </w:p>
        </w:tc>
        <w:tc>
          <w:tcPr>
            <w:tcW w:w="7185" w:type="dxa"/>
            <w:vAlign w:val="center"/>
          </w:tcPr>
          <w:p w:rsidR="00C16407" w:rsidRDefault="00C16407" w:rsidP="00D06BE4">
            <w:pPr>
              <w:widowControl/>
              <w:spacing w:line="360" w:lineRule="auto"/>
              <w:contextualSpacing/>
              <w:rPr>
                <w:rFonts w:ascii="宋体" w:hAnsi="宋体" w:cs="宋体" w:hint="eastAsia"/>
                <w:szCs w:val="21"/>
              </w:rPr>
            </w:pPr>
            <w:r>
              <w:rPr>
                <w:rFonts w:ascii="宋体" w:hAnsi="宋体" w:cs="宋体" w:hint="eastAsia"/>
                <w:szCs w:val="21"/>
              </w:rPr>
              <w:t>丰裕固收23004期</w:t>
            </w:r>
          </w:p>
        </w:tc>
      </w:tr>
      <w:tr w:rsidR="00C16407" w:rsidTr="00D06BE4">
        <w:trPr>
          <w:trHeight w:val="90"/>
        </w:trPr>
        <w:tc>
          <w:tcPr>
            <w:tcW w:w="1680" w:type="dxa"/>
            <w:vAlign w:val="center"/>
          </w:tcPr>
          <w:p w:rsidR="00C16407" w:rsidRDefault="00C16407" w:rsidP="00D06BE4">
            <w:pPr>
              <w:widowControl/>
              <w:spacing w:line="360" w:lineRule="auto"/>
              <w:contextualSpacing/>
              <w:jc w:val="center"/>
              <w:rPr>
                <w:rFonts w:ascii="宋体" w:hAnsi="宋体" w:cs="宋体" w:hint="eastAsia"/>
                <w:szCs w:val="21"/>
              </w:rPr>
            </w:pPr>
            <w:r>
              <w:rPr>
                <w:rFonts w:ascii="宋体" w:hAnsi="宋体" w:cs="宋体" w:hint="eastAsia"/>
                <w:szCs w:val="21"/>
              </w:rPr>
              <w:t>产品编号</w:t>
            </w:r>
          </w:p>
        </w:tc>
        <w:tc>
          <w:tcPr>
            <w:tcW w:w="7185" w:type="dxa"/>
            <w:vAlign w:val="center"/>
          </w:tcPr>
          <w:p w:rsidR="00C16407" w:rsidRDefault="00C16407" w:rsidP="00D06BE4">
            <w:pPr>
              <w:widowControl/>
              <w:spacing w:line="360" w:lineRule="auto"/>
              <w:contextualSpacing/>
              <w:rPr>
                <w:rFonts w:ascii="宋体" w:hAnsi="宋体" w:cs="宋体"/>
                <w:color w:val="000000"/>
                <w:szCs w:val="21"/>
              </w:rPr>
            </w:pPr>
            <w:r>
              <w:rPr>
                <w:rFonts w:ascii="宋体" w:hAnsi="宋体" w:cs="宋体" w:hint="eastAsia"/>
                <w:szCs w:val="21"/>
              </w:rPr>
              <w:t>〖</w:t>
            </w:r>
            <w:r>
              <w:rPr>
                <w:rFonts w:ascii="宋体" w:hAnsi="宋体" w:cs="宋体" w:hint="eastAsia"/>
                <w:color w:val="000000"/>
                <w:szCs w:val="21"/>
              </w:rPr>
              <w:t>FYG23004</w:t>
            </w:r>
            <w:r>
              <w:rPr>
                <w:rFonts w:ascii="宋体" w:hAnsi="宋体" w:cs="宋体" w:hint="eastAsia"/>
                <w:szCs w:val="21"/>
              </w:rPr>
              <w:t>〗</w:t>
            </w:r>
          </w:p>
        </w:tc>
      </w:tr>
      <w:tr w:rsidR="00C16407" w:rsidTr="00D06BE4">
        <w:trPr>
          <w:trHeight w:val="881"/>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登记编码</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本理财计划在全国银行业理财信息登记系统的登记编码是〖</w:t>
            </w:r>
            <w:r w:rsidRPr="001036F0">
              <w:rPr>
                <w:rFonts w:ascii="宋体" w:hAnsi="宋体" w:cs="宋体"/>
                <w:color w:val="000000"/>
                <w:szCs w:val="21"/>
              </w:rPr>
              <w:t>Z700222300000</w:t>
            </w:r>
            <w:r w:rsidRPr="001036F0">
              <w:rPr>
                <w:rFonts w:ascii="宋体" w:hAnsi="宋体" w:cs="宋体" w:hint="eastAsia"/>
                <w:color w:val="000000"/>
                <w:szCs w:val="21"/>
              </w:rPr>
              <w:t>6</w:t>
            </w:r>
            <w:r>
              <w:rPr>
                <w:rFonts w:ascii="宋体" w:hAnsi="宋体" w:cs="宋体" w:hint="eastAsia"/>
                <w:color w:val="000000"/>
                <w:szCs w:val="21"/>
              </w:rPr>
              <w:t>〗，投资者可依据该编码在“中国理财网（www.chinawealth.com.cn）”查询本理财计划信息。</w:t>
            </w:r>
          </w:p>
        </w:tc>
      </w:tr>
      <w:tr w:rsidR="00C16407" w:rsidTr="00D06BE4">
        <w:trPr>
          <w:trHeight w:val="451"/>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发行对象</w:t>
            </w:r>
          </w:p>
        </w:tc>
        <w:tc>
          <w:tcPr>
            <w:tcW w:w="7185" w:type="dxa"/>
            <w:vAlign w:val="center"/>
          </w:tcPr>
          <w:p w:rsidR="00C16407" w:rsidRDefault="00C16407" w:rsidP="00C16407">
            <w:pPr>
              <w:widowControl/>
              <w:spacing w:line="300" w:lineRule="auto"/>
              <w:contextualSpacing/>
              <w:rPr>
                <w:rFonts w:ascii="宋体" w:hAnsi="宋体" w:cs="宋体" w:hint="eastAsia"/>
                <w:color w:val="000000"/>
                <w:szCs w:val="21"/>
              </w:rPr>
            </w:pPr>
            <w:r>
              <w:rPr>
                <w:rFonts w:ascii="宋体" w:hAnsi="宋体" w:hint="eastAsia"/>
                <w:color w:val="000000"/>
                <w:szCs w:val="21"/>
              </w:rPr>
              <w:t>个人投资者和机构客户</w:t>
            </w:r>
          </w:p>
        </w:tc>
      </w:tr>
      <w:tr w:rsidR="00C16407" w:rsidTr="00D06BE4">
        <w:trPr>
          <w:trHeight w:val="90"/>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发行方式</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szCs w:val="21"/>
              </w:rPr>
              <w:t>公募</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产品类型</w:t>
            </w:r>
          </w:p>
        </w:tc>
        <w:tc>
          <w:tcPr>
            <w:tcW w:w="7185" w:type="dxa"/>
            <w:vAlign w:val="center"/>
          </w:tcPr>
          <w:p w:rsidR="00C16407" w:rsidRDefault="00C16407" w:rsidP="00D06BE4">
            <w:pPr>
              <w:widowControl/>
              <w:spacing w:line="360" w:lineRule="auto"/>
              <w:contextualSpacing/>
              <w:rPr>
                <w:rFonts w:ascii="宋体" w:hAnsi="宋体" w:cs="宋体"/>
                <w:color w:val="000000"/>
                <w:szCs w:val="21"/>
              </w:rPr>
            </w:pPr>
            <w:r>
              <w:rPr>
                <w:rFonts w:ascii="宋体" w:hAnsi="宋体" w:cs="宋体" w:hint="eastAsia"/>
                <w:szCs w:val="21"/>
              </w:rPr>
              <w:t>〖固定收益〗</w:t>
            </w:r>
            <w:r>
              <w:rPr>
                <w:rFonts w:ascii="宋体" w:hAnsi="宋体" w:cs="宋体" w:hint="eastAsia"/>
                <w:color w:val="000000"/>
                <w:szCs w:val="21"/>
              </w:rPr>
              <w:t>类，非保本浮动收益型</w:t>
            </w:r>
          </w:p>
        </w:tc>
      </w:tr>
      <w:tr w:rsidR="00C16407" w:rsidTr="00D06BE4">
        <w:trPr>
          <w:trHeight w:val="308"/>
        </w:trPr>
        <w:tc>
          <w:tcPr>
            <w:tcW w:w="1680" w:type="dxa"/>
            <w:vAlign w:val="center"/>
          </w:tcPr>
          <w:p w:rsidR="00C16407" w:rsidRDefault="00C16407" w:rsidP="00D06BE4">
            <w:pPr>
              <w:widowControl/>
              <w:spacing w:line="360" w:lineRule="auto"/>
              <w:contextualSpacing/>
              <w:jc w:val="center"/>
              <w:rPr>
                <w:rFonts w:ascii="宋体" w:hAnsi="宋体" w:cs="宋体"/>
                <w:color w:val="000000"/>
                <w:szCs w:val="21"/>
              </w:rPr>
            </w:pPr>
            <w:r>
              <w:rPr>
                <w:rFonts w:ascii="宋体" w:hAnsi="宋体" w:cs="宋体" w:hint="eastAsia"/>
                <w:color w:val="000000"/>
                <w:szCs w:val="21"/>
              </w:rPr>
              <w:t>运作模式</w:t>
            </w:r>
          </w:p>
        </w:tc>
        <w:tc>
          <w:tcPr>
            <w:tcW w:w="7185" w:type="dxa"/>
            <w:vAlign w:val="center"/>
          </w:tcPr>
          <w:p w:rsidR="00C16407" w:rsidRDefault="00C16407" w:rsidP="00D06BE4">
            <w:pPr>
              <w:widowControl/>
              <w:spacing w:line="360" w:lineRule="auto"/>
              <w:contextualSpacing/>
              <w:rPr>
                <w:rFonts w:ascii="宋体" w:hAnsi="宋体" w:cs="宋体"/>
                <w:color w:val="000000"/>
                <w:szCs w:val="21"/>
              </w:rPr>
            </w:pPr>
            <w:r>
              <w:rPr>
                <w:rFonts w:ascii="宋体" w:hAnsi="宋体" w:cs="宋体" w:hint="eastAsia"/>
                <w:color w:val="000000"/>
                <w:szCs w:val="21"/>
              </w:rPr>
              <w:t>封闭式净值型</w:t>
            </w:r>
          </w:p>
        </w:tc>
      </w:tr>
      <w:tr w:rsidR="00C16407" w:rsidTr="00D06BE4">
        <w:trPr>
          <w:trHeight w:val="218"/>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分级产品</w:t>
            </w:r>
          </w:p>
        </w:tc>
        <w:tc>
          <w:tcPr>
            <w:tcW w:w="7185" w:type="dxa"/>
            <w:vAlign w:val="center"/>
          </w:tcPr>
          <w:p w:rsidR="00C16407" w:rsidRDefault="00C16407" w:rsidP="00D06BE4">
            <w:pPr>
              <w:widowControl/>
              <w:spacing w:line="360" w:lineRule="auto"/>
              <w:contextualSpacing/>
              <w:rPr>
                <w:rFonts w:ascii="宋体" w:hAnsi="宋体" w:cs="宋体" w:hint="eastAsia"/>
                <w:szCs w:val="21"/>
              </w:rPr>
            </w:pPr>
            <w:r>
              <w:rPr>
                <w:rFonts w:ascii="宋体" w:hAnsi="宋体" w:cs="宋体" w:hint="eastAsia"/>
                <w:szCs w:val="21"/>
              </w:rPr>
              <w:t>〖否〗</w:t>
            </w:r>
          </w:p>
        </w:tc>
      </w:tr>
      <w:tr w:rsidR="00C16407" w:rsidTr="00D06BE4">
        <w:trPr>
          <w:trHeight w:val="218"/>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销售范围</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全国</w:t>
            </w:r>
            <w:r>
              <w:rPr>
                <w:rFonts w:ascii="宋体" w:hAnsi="宋体" w:cs="宋体" w:hint="eastAsia"/>
                <w:szCs w:val="21"/>
              </w:rPr>
              <w:t>〗</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销售渠道</w:t>
            </w:r>
          </w:p>
        </w:tc>
        <w:tc>
          <w:tcPr>
            <w:tcW w:w="7185" w:type="dxa"/>
            <w:vAlign w:val="center"/>
          </w:tcPr>
          <w:p w:rsidR="00C16407" w:rsidRDefault="00C16407" w:rsidP="00D06BE4">
            <w:pPr>
              <w:widowControl/>
              <w:spacing w:line="360" w:lineRule="auto"/>
              <w:contextualSpacing/>
              <w:jc w:val="left"/>
              <w:rPr>
                <w:rFonts w:ascii="宋体" w:hAnsi="宋体" w:cs="宋体" w:hint="eastAsia"/>
                <w:color w:val="000000"/>
                <w:szCs w:val="21"/>
              </w:rPr>
            </w:pPr>
            <w:r>
              <w:rPr>
                <w:rFonts w:ascii="宋体" w:hAnsi="宋体" w:cs="宋体" w:hint="eastAsia"/>
                <w:color w:val="000000"/>
                <w:szCs w:val="21"/>
              </w:rPr>
              <w:t>可通过杭银理财直销渠道和代理销售机构的</w:t>
            </w:r>
            <w:r>
              <w:rPr>
                <w:rFonts w:ascii="宋体" w:hAnsi="宋体" w:cs="宋体" w:hint="eastAsia"/>
                <w:szCs w:val="21"/>
              </w:rPr>
              <w:t>〖</w:t>
            </w:r>
            <w:r>
              <w:rPr>
                <w:rFonts w:ascii="宋体" w:hAnsi="宋体" w:cs="宋体" w:hint="eastAsia"/>
                <w:color w:val="000000"/>
                <w:szCs w:val="21"/>
              </w:rPr>
              <w:t>营业网点、网上银行、手机银行</w:t>
            </w:r>
            <w:r>
              <w:rPr>
                <w:rFonts w:ascii="宋体" w:hAnsi="宋体" w:cs="宋体" w:hint="eastAsia"/>
                <w:szCs w:val="21"/>
              </w:rPr>
              <w:t>〗</w:t>
            </w:r>
            <w:r>
              <w:rPr>
                <w:rFonts w:ascii="宋体" w:hAnsi="宋体" w:cs="宋体" w:hint="eastAsia"/>
                <w:color w:val="000000"/>
                <w:szCs w:val="21"/>
              </w:rPr>
              <w:t>等渠道购买，通过代理销售机构购买的，具体销售渠道以代理销售机构披露为准。</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交易币种</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人民币</w:t>
            </w:r>
            <w:r>
              <w:rPr>
                <w:rFonts w:ascii="宋体" w:hAnsi="宋体" w:cs="宋体" w:hint="eastAsia"/>
                <w:szCs w:val="21"/>
              </w:rPr>
              <w:t>〗</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发行规模上限</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〖61〗亿元</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认购期</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〖2023〗年〖1〗月〖4〗日-〖2023〗年〖1〗月〖10〗日</w:t>
            </w:r>
            <w:r>
              <w:rPr>
                <w:rFonts w:ascii="宋体" w:hAnsi="宋体" w:cs="宋体" w:hint="eastAsia"/>
                <w:color w:val="000000"/>
                <w:kern w:val="0"/>
                <w:szCs w:val="21"/>
              </w:rPr>
              <w:t>（具体以销售机构规</w:t>
            </w:r>
            <w:r>
              <w:rPr>
                <w:rFonts w:ascii="宋体" w:hAnsi="宋体" w:cs="宋体" w:hint="eastAsia"/>
                <w:color w:val="000000"/>
                <w:kern w:val="0"/>
                <w:szCs w:val="21"/>
              </w:rPr>
              <w:lastRenderedPageBreak/>
              <w:t>定为准）</w:t>
            </w:r>
          </w:p>
        </w:tc>
      </w:tr>
      <w:tr w:rsidR="00C16407" w:rsidTr="00D06BE4">
        <w:trPr>
          <w:trHeight w:val="368"/>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认购时间</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认购期首日〖9：00〗至认购结束日〖17：00〗</w:t>
            </w:r>
            <w:r>
              <w:rPr>
                <w:rFonts w:ascii="宋体" w:hAnsi="宋体" w:cs="宋体" w:hint="eastAsia"/>
                <w:color w:val="000000"/>
                <w:kern w:val="0"/>
                <w:szCs w:val="21"/>
              </w:rPr>
              <w:t>（具体以销售机构规定为准）</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成立日</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〖2023〗年〖1〗月〖11〗日</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到期日</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〖2023〗年〖5〗月〖4〗日，若到期日为非工作日则顺延至下一个工作日。</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理财期限</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〖113〗天（实际理财期限受制于管理人提前终止权等条款）</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产品续期</w:t>
            </w:r>
          </w:p>
        </w:tc>
        <w:tc>
          <w:tcPr>
            <w:tcW w:w="7185" w:type="dxa"/>
            <w:vAlign w:val="center"/>
          </w:tcPr>
          <w:p w:rsidR="00C16407" w:rsidRDefault="00C16407" w:rsidP="00D06BE4">
            <w:pPr>
              <w:widowControl/>
              <w:spacing w:line="360" w:lineRule="auto"/>
              <w:contextualSpacing/>
              <w:rPr>
                <w:rFonts w:ascii="宋体" w:hAnsi="宋体" w:cs="宋体"/>
                <w:color w:val="000000"/>
                <w:szCs w:val="21"/>
              </w:rPr>
            </w:pPr>
            <w:r>
              <w:rPr>
                <w:rFonts w:ascii="宋体" w:hAnsi="宋体" w:cs="宋体" w:hint="eastAsia"/>
                <w:color w:val="000000"/>
                <w:szCs w:val="21"/>
              </w:rPr>
              <w:t>本理财计划在到期日前如遇部分资产无法变现，为保障投资者权益，管理人有权进行一次或多次续期，并在到期日前〖5〗</w:t>
            </w:r>
            <w:r>
              <w:rPr>
                <w:rFonts w:ascii="宋体" w:hAnsi="宋体" w:cs="宋体" w:hint="eastAsia"/>
                <w:bCs/>
                <w:szCs w:val="21"/>
              </w:rPr>
              <w:t>个工作日对外公告续期事宜及续期时间。理财计划在续期期间不得进行申购和赎回。</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认购起点金额</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起点</w:t>
            </w:r>
            <w:r>
              <w:rPr>
                <w:rFonts w:ascii="宋体" w:hAnsi="宋体" w:cs="宋体" w:hint="eastAsia"/>
                <w:szCs w:val="21"/>
              </w:rPr>
              <w:t>〖1000〗</w:t>
            </w:r>
            <w:r>
              <w:rPr>
                <w:rFonts w:ascii="宋体" w:hAnsi="宋体" w:cs="宋体" w:hint="eastAsia"/>
                <w:color w:val="000000"/>
                <w:szCs w:val="21"/>
              </w:rPr>
              <w:t>元整，超过认购起点部分，应为</w:t>
            </w:r>
            <w:r>
              <w:rPr>
                <w:rFonts w:ascii="宋体" w:hAnsi="宋体" w:cs="宋体" w:hint="eastAsia"/>
                <w:szCs w:val="21"/>
              </w:rPr>
              <w:t>〖1000〗</w:t>
            </w:r>
            <w:r>
              <w:rPr>
                <w:rFonts w:ascii="宋体" w:hAnsi="宋体" w:cs="宋体" w:hint="eastAsia"/>
                <w:color w:val="000000"/>
                <w:szCs w:val="21"/>
              </w:rPr>
              <w:t>元的整数倍。</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kern w:val="0"/>
                <w:szCs w:val="21"/>
              </w:rPr>
              <w:t>（具体以销售机构规定为准）</w:t>
            </w:r>
          </w:p>
        </w:tc>
      </w:tr>
      <w:tr w:rsidR="00C16407" w:rsidTr="00D06BE4">
        <w:trPr>
          <w:trHeight w:val="524"/>
        </w:trPr>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认购份额</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认购份额=认购金额/1元。认购份额保留至0.01份理财产品份额，小数点后两位以下四舍五入。</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产品成立</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ascii="宋体" w:hAnsi="宋体" w:cs="宋体" w:hint="eastAsia"/>
                <w:szCs w:val="21"/>
              </w:rPr>
              <w:t>〖3000〗</w:t>
            </w:r>
            <w:r>
              <w:rPr>
                <w:rFonts w:ascii="宋体" w:hAnsi="宋体" w:cs="宋体" w:hint="eastAsia"/>
                <w:color w:val="000000"/>
                <w:szCs w:val="21"/>
              </w:rPr>
              <w:t>万元，则管理人可宣布本理财计划不成立并在原定理财计划成立日后</w:t>
            </w:r>
            <w:r>
              <w:rPr>
                <w:rFonts w:ascii="宋体" w:hAnsi="宋体" w:cs="宋体" w:hint="eastAsia"/>
                <w:szCs w:val="21"/>
              </w:rPr>
              <w:t>〖</w:t>
            </w:r>
            <w:r>
              <w:rPr>
                <w:rFonts w:ascii="宋体" w:hAnsi="宋体" w:cs="宋体" w:hint="eastAsia"/>
                <w:color w:val="000000"/>
                <w:szCs w:val="21"/>
              </w:rPr>
              <w:t>2</w:t>
            </w:r>
            <w:r>
              <w:rPr>
                <w:rFonts w:ascii="宋体" w:hAnsi="宋体" w:cs="宋体" w:hint="eastAsia"/>
                <w:szCs w:val="21"/>
              </w:rPr>
              <w:t>〗</w:t>
            </w:r>
            <w:r>
              <w:rPr>
                <w:rFonts w:ascii="宋体" w:hAnsi="宋体" w:cs="宋体" w:hint="eastAsia"/>
                <w:color w:val="000000"/>
                <w:szCs w:val="21"/>
              </w:rPr>
              <w:t>个工作日内通过管理人或销售机构发布不成立信息，投资者购买的理财资金将在原定成立日后2个工作日内划转至投资者指定理财账户，</w:t>
            </w:r>
            <w:r>
              <w:rPr>
                <w:rFonts w:ascii="宋体" w:hAnsi="宋体" w:cs="宋体" w:hint="eastAsia"/>
                <w:b/>
                <w:color w:val="000000"/>
                <w:szCs w:val="21"/>
              </w:rPr>
              <w:t>该理财资金在原定成立日至资金到账日之间不计利息。</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单位净值</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单位净值=理财计划估值日理财计划总净值/理财计划总份额，单位净值保留小数点后四位。</w:t>
            </w:r>
          </w:p>
          <w:p w:rsidR="00C16407" w:rsidRDefault="00C16407" w:rsidP="00D06BE4">
            <w:pPr>
              <w:widowControl/>
              <w:spacing w:line="360" w:lineRule="auto"/>
              <w:contextualSpacing/>
              <w:rPr>
                <w:rFonts w:ascii="宋体" w:hAnsi="宋体" w:cs="宋体" w:hint="eastAsia"/>
                <w:b/>
                <w:color w:val="000000"/>
                <w:szCs w:val="21"/>
              </w:rPr>
            </w:pPr>
            <w:r>
              <w:rPr>
                <w:rFonts w:ascii="宋体" w:hAnsi="宋体" w:cs="宋体" w:hint="eastAsia"/>
                <w:color w:val="000000"/>
                <w:szCs w:val="21"/>
              </w:rPr>
              <w:t>理财计划总净值=理财计划认购总额+理财计划所获总收益-理财计划总费用（包括但不限于固定管理费、托管费、销售服务费、浮动管理费等）。</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资金与收益支付方式</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理财计划到期后，最快</w:t>
            </w:r>
            <w:r>
              <w:rPr>
                <w:rFonts w:ascii="宋体" w:hAnsi="宋体" w:cs="宋体" w:hint="eastAsia"/>
                <w:szCs w:val="21"/>
              </w:rPr>
              <w:t>〖1〗</w:t>
            </w:r>
            <w:r>
              <w:rPr>
                <w:rFonts w:ascii="宋体" w:hAnsi="宋体" w:cs="宋体" w:hint="eastAsia"/>
                <w:color w:val="000000"/>
                <w:szCs w:val="21"/>
              </w:rPr>
              <w:t>个工作日，最晚</w:t>
            </w:r>
            <w:r>
              <w:rPr>
                <w:rFonts w:ascii="宋体" w:hAnsi="宋体" w:cs="宋体" w:hint="eastAsia"/>
                <w:szCs w:val="21"/>
              </w:rPr>
              <w:t>〖3〗</w:t>
            </w:r>
            <w:r>
              <w:rPr>
                <w:rFonts w:ascii="宋体" w:hAnsi="宋体" w:cs="宋体" w:hint="eastAsia"/>
                <w:color w:val="000000"/>
                <w:szCs w:val="21"/>
              </w:rPr>
              <w:t>个工作日内（遇节假日顺延）理财资金与收益一次性支付。如遇资金在途或法定工作日调整，实际资金到账日以公告为准。</w:t>
            </w:r>
            <w:r>
              <w:rPr>
                <w:rFonts w:ascii="宋体" w:hAnsi="宋体" w:cs="宋体" w:hint="eastAsia"/>
                <w:color w:val="000000"/>
                <w:kern w:val="0"/>
                <w:szCs w:val="21"/>
              </w:rPr>
              <w:t>（具体以销售机构规定为准）</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业绩比较基准</w:t>
            </w:r>
          </w:p>
        </w:tc>
        <w:tc>
          <w:tcPr>
            <w:tcW w:w="7185" w:type="dxa"/>
            <w:vAlign w:val="center"/>
          </w:tcPr>
          <w:p w:rsidR="00C16407" w:rsidRDefault="00C16407" w:rsidP="00D06BE4">
            <w:pPr>
              <w:widowControl/>
              <w:spacing w:line="360" w:lineRule="auto"/>
              <w:contextualSpacing/>
              <w:rPr>
                <w:rFonts w:ascii="宋体" w:hAnsi="宋体" w:cs="宋体" w:hint="eastAsia"/>
                <w:szCs w:val="21"/>
              </w:rPr>
            </w:pPr>
            <w:r>
              <w:rPr>
                <w:rFonts w:ascii="宋体" w:hAnsi="宋体" w:cs="宋体" w:hint="eastAsia"/>
                <w:szCs w:val="21"/>
              </w:rPr>
              <w:t>本理财计划〖C份额〗业绩比较基准为〖3.20%〗（年化）。</w:t>
            </w:r>
          </w:p>
          <w:p w:rsidR="00C16407" w:rsidRDefault="00C16407" w:rsidP="00D06BE4">
            <w:pPr>
              <w:widowControl/>
              <w:spacing w:line="360" w:lineRule="auto"/>
              <w:jc w:val="left"/>
              <w:rPr>
                <w:rFonts w:ascii="宋体" w:hAnsi="宋体" w:cs="宋体" w:hint="eastAsia"/>
                <w:b/>
                <w:bCs/>
                <w:szCs w:val="21"/>
              </w:rPr>
            </w:pPr>
            <w:r>
              <w:rPr>
                <w:rFonts w:ascii="宋体" w:hAnsi="宋体" w:cs="宋体" w:hint="eastAsia"/>
                <w:b/>
                <w:bCs/>
                <w:szCs w:val="21"/>
              </w:rPr>
              <w:lastRenderedPageBreak/>
              <w:t>业绩基准测算依据：本理财计划重点投资于货币市场工具、债券、非标准化债权类资产等资产，管理人根据固定收益市场历史表现，结合当前利率水平、资产配比及市场同类型产品情况，经综合判断得出。</w:t>
            </w:r>
          </w:p>
          <w:p w:rsidR="00C16407" w:rsidRDefault="00C16407" w:rsidP="00D06BE4">
            <w:pPr>
              <w:widowControl/>
              <w:spacing w:line="360" w:lineRule="auto"/>
              <w:jc w:val="left"/>
              <w:rPr>
                <w:rFonts w:ascii="宋体" w:hAnsi="宋体" w:cs="宋体" w:hint="eastAsia"/>
                <w:b/>
                <w:szCs w:val="21"/>
              </w:rPr>
            </w:pPr>
            <w:r>
              <w:rPr>
                <w:rFonts w:ascii="宋体" w:hAnsi="宋体" w:cs="宋体" w:hint="eastAsia"/>
                <w:szCs w:val="21"/>
              </w:rPr>
              <w:t>管理人有权根据市场情况及理财计划运作情况调整业绩基准，并至少于新业绩基准启用前</w:t>
            </w:r>
            <w:r>
              <w:rPr>
                <w:rFonts w:ascii="宋体" w:hAnsi="宋体" w:cs="宋体" w:hint="eastAsia"/>
                <w:kern w:val="0"/>
              </w:rPr>
              <w:t>〖2〗</w:t>
            </w:r>
            <w:r>
              <w:rPr>
                <w:rFonts w:ascii="宋体" w:hAnsi="宋体" w:cs="宋体" w:hint="eastAsia"/>
                <w:szCs w:val="21"/>
              </w:rPr>
              <w:t>个工作日公告。</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b/>
                <w:szCs w:val="21"/>
              </w:rPr>
              <w:t>本理财计划为净值型理财产品，其业绩表现将随市场波动具有不确定性。本公司提醒投资者关注，业绩比较基准并不代表理财计划的未来表现和实际收益率，不构成对理财计划收益的承诺。</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产品费用</w:t>
            </w:r>
          </w:p>
        </w:tc>
        <w:tc>
          <w:tcPr>
            <w:tcW w:w="7185" w:type="dxa"/>
            <w:vAlign w:val="center"/>
          </w:tcPr>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1.销售服务费：</w:t>
            </w: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w:t>
            </w:r>
            <w:r>
              <w:rPr>
                <w:rFonts w:ascii="宋体" w:hAnsi="宋体" w:cs="宋体"/>
                <w:szCs w:val="21"/>
              </w:rPr>
              <w:t>2</w:t>
            </w:r>
            <w:r>
              <w:rPr>
                <w:rFonts w:ascii="宋体" w:hAnsi="宋体" w:cs="宋体" w:hint="eastAsia"/>
                <w:szCs w:val="21"/>
              </w:rPr>
              <w:t>0%〗</w:t>
            </w:r>
            <w:r>
              <w:rPr>
                <w:rFonts w:ascii="宋体" w:hAnsi="宋体" w:cs="宋体" w:hint="eastAsia"/>
                <w:color w:val="000000"/>
                <w:szCs w:val="21"/>
              </w:rPr>
              <w:t>的销售服务费。</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2.托管费：收取年化</w:t>
            </w:r>
            <w:r>
              <w:rPr>
                <w:rFonts w:ascii="宋体" w:hAnsi="宋体" w:cs="宋体" w:hint="eastAsia"/>
                <w:szCs w:val="21"/>
              </w:rPr>
              <w:t>〖0.025%〗</w:t>
            </w:r>
            <w:r>
              <w:rPr>
                <w:rFonts w:ascii="宋体" w:hAnsi="宋体" w:cs="宋体" w:hint="eastAsia"/>
                <w:color w:val="000000"/>
                <w:szCs w:val="21"/>
              </w:rPr>
              <w:t>的托管费。</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3.固定管理费：</w:t>
            </w: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〖0.30%〗</w:t>
            </w:r>
            <w:r>
              <w:rPr>
                <w:rFonts w:ascii="宋体" w:hAnsi="宋体" w:cs="宋体" w:hint="eastAsia"/>
                <w:color w:val="000000"/>
                <w:szCs w:val="21"/>
              </w:rPr>
              <w:t>的固定管理费</w:t>
            </w:r>
          </w:p>
          <w:p w:rsidR="00C16407" w:rsidRDefault="00C16407" w:rsidP="00D06BE4">
            <w:pPr>
              <w:widowControl/>
              <w:spacing w:line="360" w:lineRule="auto"/>
              <w:contextualSpacing/>
              <w:rPr>
                <w:rFonts w:ascii="宋体" w:hAnsi="宋体" w:cs="宋体"/>
                <w:color w:val="000000"/>
                <w:szCs w:val="21"/>
              </w:rPr>
            </w:pPr>
            <w:r>
              <w:rPr>
                <w:rFonts w:ascii="宋体" w:hAnsi="宋体" w:cs="宋体" w:hint="eastAsia"/>
                <w:color w:val="000000"/>
                <w:szCs w:val="21"/>
              </w:rPr>
              <w:t>4.认购费：本理财计划免除认购费。</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5.浮动管理费。管理人根据理财计划投资情况计算浮动管理费，本理财计划份额到期日（提前终止日）的折合年化收益率超过该份额</w:t>
            </w:r>
            <w:r>
              <w:rPr>
                <w:rFonts w:ascii="宋体" w:hAnsi="宋体" w:cs="宋体" w:hint="eastAsia"/>
                <w:szCs w:val="21"/>
              </w:rPr>
              <w:t>业绩比较基准</w:t>
            </w:r>
            <w:r>
              <w:rPr>
                <w:rFonts w:ascii="宋体" w:hAnsi="宋体" w:cs="宋体" w:hint="eastAsia"/>
                <w:color w:val="000000"/>
                <w:szCs w:val="21"/>
              </w:rPr>
              <w:t>的部分,</w:t>
            </w:r>
            <w:r>
              <w:rPr>
                <w:rFonts w:ascii="宋体" w:hAnsi="宋体" w:cs="宋体" w:hint="eastAsia"/>
                <w:b/>
                <w:color w:val="000000"/>
                <w:szCs w:val="21"/>
              </w:rPr>
              <w:t>管理人提取</w:t>
            </w:r>
            <w:r>
              <w:rPr>
                <w:rFonts w:ascii="宋体" w:hAnsi="宋体" w:cs="宋体" w:hint="eastAsia"/>
                <w:b/>
                <w:bCs/>
                <w:szCs w:val="21"/>
              </w:rPr>
              <w:t>〖80%〗</w:t>
            </w:r>
            <w:r>
              <w:rPr>
                <w:rFonts w:ascii="宋体" w:hAnsi="宋体" w:cs="宋体" w:hint="eastAsia"/>
                <w:b/>
                <w:color w:val="000000"/>
                <w:szCs w:val="21"/>
              </w:rPr>
              <w:t>作为浮动管理费。</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提前终止</w:t>
            </w:r>
          </w:p>
        </w:tc>
        <w:tc>
          <w:tcPr>
            <w:tcW w:w="7185" w:type="dxa"/>
            <w:vAlign w:val="center"/>
          </w:tcPr>
          <w:p w:rsidR="00C16407" w:rsidRDefault="00C16407" w:rsidP="00D06BE4">
            <w:pPr>
              <w:widowControl/>
              <w:spacing w:line="360" w:lineRule="auto"/>
              <w:contextualSpacing/>
              <w:rPr>
                <w:rFonts w:ascii="宋体" w:hAnsi="宋体" w:cs="宋体" w:hint="eastAsia"/>
                <w:b/>
                <w:color w:val="000000"/>
                <w:kern w:val="0"/>
                <w:szCs w:val="21"/>
              </w:rPr>
            </w:pPr>
            <w:r>
              <w:rPr>
                <w:rFonts w:ascii="宋体" w:hAnsi="宋体" w:cs="宋体" w:hint="eastAsia"/>
                <w:b/>
                <w:color w:val="000000"/>
                <w:kern w:val="0"/>
                <w:szCs w:val="21"/>
              </w:rPr>
              <w:t>如遇国家金融政策出现重大调整并影响到本理财计划的正常运行的、市场收益率大幅波动可能或实质影响理财计划收益等情况，管理人有权提前终止本理财计划。具体参见说明书“交易规则”部分。</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税费规定</w:t>
            </w:r>
          </w:p>
        </w:tc>
        <w:tc>
          <w:tcPr>
            <w:tcW w:w="7185" w:type="dxa"/>
            <w:vAlign w:val="center"/>
          </w:tcPr>
          <w:p w:rsidR="00C16407" w:rsidRDefault="00C16407" w:rsidP="00D06BE4">
            <w:pPr>
              <w:spacing w:line="360" w:lineRule="auto"/>
              <w:outlineLvl w:val="0"/>
              <w:rPr>
                <w:rFonts w:ascii="宋体" w:hAnsi="宋体" w:cs="宋体" w:hint="eastAsia"/>
                <w:color w:val="000000"/>
                <w:szCs w:val="21"/>
              </w:rPr>
            </w:pPr>
            <w:r>
              <w:rPr>
                <w:rFonts w:ascii="宋体" w:hAnsi="宋体" w:cs="宋体" w:hint="eastAsia"/>
                <w:color w:val="000000"/>
                <w:szCs w:val="21"/>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rsidR="00C16407" w:rsidRDefault="00C16407" w:rsidP="00D06BE4">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支付给投资者的理财收益的应纳税款由投资者自行申报及缴纳。</w:t>
            </w:r>
          </w:p>
        </w:tc>
      </w:tr>
      <w:tr w:rsidR="00C16407" w:rsidTr="00D06BE4">
        <w:tc>
          <w:tcPr>
            <w:tcW w:w="1680" w:type="dxa"/>
            <w:vAlign w:val="center"/>
          </w:tcPr>
          <w:p w:rsidR="00C16407" w:rsidRDefault="00C16407" w:rsidP="00D06BE4">
            <w:pPr>
              <w:widowControl/>
              <w:spacing w:line="360" w:lineRule="auto"/>
              <w:contextualSpacing/>
              <w:jc w:val="center"/>
              <w:rPr>
                <w:rFonts w:ascii="宋体" w:hAnsi="宋体" w:cs="宋体" w:hint="eastAsia"/>
                <w:color w:val="000000"/>
                <w:kern w:val="0"/>
                <w:szCs w:val="21"/>
              </w:rPr>
            </w:pPr>
            <w:r>
              <w:rPr>
                <w:rFonts w:ascii="宋体" w:hAnsi="宋体" w:cs="宋体" w:hint="eastAsia"/>
                <w:color w:val="000000"/>
                <w:szCs w:val="21"/>
              </w:rPr>
              <w:t>融资服务</w:t>
            </w:r>
          </w:p>
        </w:tc>
        <w:tc>
          <w:tcPr>
            <w:tcW w:w="7185" w:type="dxa"/>
            <w:vAlign w:val="bottom"/>
          </w:tcPr>
          <w:p w:rsidR="00C16407" w:rsidRDefault="00C16407" w:rsidP="00D06BE4">
            <w:pPr>
              <w:spacing w:line="360" w:lineRule="auto"/>
              <w:rPr>
                <w:rFonts w:ascii="宋体" w:hAnsi="宋体" w:cs="宋体" w:hint="eastAsia"/>
                <w:b/>
                <w:color w:val="000000"/>
                <w:kern w:val="0"/>
                <w:szCs w:val="21"/>
              </w:rPr>
            </w:pPr>
            <w:r>
              <w:rPr>
                <w:rFonts w:ascii="宋体" w:hAnsi="宋体" w:cs="宋体" w:hint="eastAsia"/>
                <w:b/>
                <w:color w:val="000000"/>
                <w:szCs w:val="21"/>
              </w:rPr>
              <w:t>投资者在理财期限内不能提前赎回，如需质押按销售机构相关规定执行。</w:t>
            </w:r>
          </w:p>
        </w:tc>
      </w:tr>
      <w:tr w:rsidR="00C16407" w:rsidTr="00D06BE4">
        <w:trPr>
          <w:trHeight w:val="975"/>
        </w:trPr>
        <w:tc>
          <w:tcPr>
            <w:tcW w:w="1680" w:type="dxa"/>
            <w:tcBorders>
              <w:top w:val="single" w:sz="4" w:space="0" w:color="auto"/>
              <w:left w:val="single" w:sz="4" w:space="0" w:color="auto"/>
              <w:bottom w:val="single" w:sz="4" w:space="0" w:color="auto"/>
              <w:right w:val="single" w:sz="4" w:space="0" w:color="auto"/>
            </w:tcBorders>
            <w:vAlign w:val="center"/>
          </w:tcPr>
          <w:p w:rsidR="00C16407" w:rsidRDefault="00C16407" w:rsidP="00D06BE4">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其他规定</w:t>
            </w:r>
          </w:p>
        </w:tc>
        <w:tc>
          <w:tcPr>
            <w:tcW w:w="7185" w:type="dxa"/>
            <w:tcBorders>
              <w:top w:val="single" w:sz="4" w:space="0" w:color="auto"/>
              <w:left w:val="single" w:sz="4" w:space="0" w:color="auto"/>
              <w:bottom w:val="single" w:sz="4" w:space="0" w:color="auto"/>
              <w:right w:val="single" w:sz="4" w:space="0" w:color="auto"/>
            </w:tcBorders>
            <w:vAlign w:val="center"/>
          </w:tcPr>
          <w:p w:rsidR="00C16407" w:rsidRDefault="00C16407" w:rsidP="00D06BE4">
            <w:pPr>
              <w:spacing w:line="360" w:lineRule="auto"/>
              <w:rPr>
                <w:rFonts w:ascii="宋体" w:hAnsi="宋体" w:cs="宋体" w:hint="eastAsia"/>
                <w:color w:val="000000"/>
                <w:kern w:val="0"/>
                <w:szCs w:val="21"/>
              </w:rPr>
            </w:pPr>
            <w:r>
              <w:rPr>
                <w:rFonts w:ascii="宋体" w:hAnsi="宋体" w:cs="宋体" w:hint="eastAsia"/>
                <w:color w:val="000000"/>
                <w:szCs w:val="21"/>
              </w:rPr>
              <w:t>认购期内按照活期存款利率计息，认购期内的利息不计入认购本金份额。到期日（或理财计划实际终止日）到理财资金返还到账日为还本清算期，还本清算期内不计付利息。</w:t>
            </w:r>
            <w:r>
              <w:rPr>
                <w:rFonts w:ascii="宋体" w:hAnsi="宋体" w:cs="宋体" w:hint="eastAsia"/>
                <w:color w:val="000000"/>
                <w:kern w:val="0"/>
                <w:szCs w:val="21"/>
              </w:rPr>
              <w:t>（具体以销售机构规定为准）</w:t>
            </w:r>
          </w:p>
          <w:p w:rsidR="00C16407" w:rsidRDefault="00C16407" w:rsidP="00D06BE4">
            <w:pPr>
              <w:spacing w:line="360" w:lineRule="auto"/>
              <w:rPr>
                <w:rFonts w:ascii="宋体" w:hAnsi="宋体" w:cs="宋体" w:hint="eastAsia"/>
                <w:color w:val="000000"/>
                <w:kern w:val="0"/>
                <w:szCs w:val="21"/>
              </w:rPr>
            </w:pPr>
            <w:r>
              <w:rPr>
                <w:rFonts w:ascii="宋体" w:hAnsi="宋体" w:cs="宋体" w:hint="eastAsia"/>
                <w:color w:val="000000"/>
                <w:kern w:val="0"/>
                <w:szCs w:val="21"/>
              </w:rPr>
              <w:t>管理人有权根据市场情况和本理财计划运作情况，对本理财计划的收费项目、</w:t>
            </w:r>
            <w:r>
              <w:rPr>
                <w:rFonts w:ascii="宋体" w:hAnsi="宋体" w:cs="宋体" w:hint="eastAsia"/>
                <w:color w:val="000000"/>
                <w:kern w:val="0"/>
                <w:szCs w:val="21"/>
              </w:rPr>
              <w:lastRenderedPageBreak/>
              <w:t>条件、标准和方式进行调整。</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5F62F8" w:rsidRPr="005F62F8">
        <w:rPr>
          <w:rFonts w:ascii="仿宋_GB2312" w:eastAsia="仿宋_GB2312" w:hAnsi="微软雅黑" w:cs="宋体" w:hint="eastAsia"/>
          <w:color w:val="000000"/>
          <w:sz w:val="32"/>
          <w:szCs w:val="32"/>
        </w:rPr>
        <w:t xml:space="preserve"> </w:t>
      </w:r>
      <w:r w:rsidR="005F62F8">
        <w:rPr>
          <w:rFonts w:ascii="仿宋_GB2312" w:eastAsia="仿宋_GB2312" w:hAnsi="微软雅黑" w:cs="宋体" w:hint="eastAsia"/>
          <w:color w:val="000000"/>
          <w:sz w:val="32"/>
          <w:szCs w:val="32"/>
        </w:rPr>
        <w:t>杭银理财有限责任公司对本产品的风险评级结果为中</w:t>
      </w:r>
      <w:r w:rsidR="005F62F8" w:rsidRPr="00BD7167">
        <w:rPr>
          <w:rFonts w:ascii="仿宋_GB2312" w:eastAsia="仿宋_GB2312" w:hAnsi="微软雅黑" w:cs="宋体" w:hint="eastAsia"/>
          <w:color w:val="000000"/>
          <w:sz w:val="32"/>
          <w:szCs w:val="32"/>
        </w:rPr>
        <w:t>低风险；</w:t>
      </w:r>
      <w:r w:rsidR="00242592" w:rsidRPr="005F62F8">
        <w:rPr>
          <w:rFonts w:ascii="仿宋_GB2312" w:eastAsia="仿宋_GB2312" w:hAnsi="微软雅黑" w:cs="宋体" w:hint="eastAsia"/>
          <w:b/>
          <w:color w:val="FF0000"/>
          <w:sz w:val="32"/>
          <w:szCs w:val="32"/>
        </w:rPr>
        <w:t>紫金农商银行对本产品的风险评级为中风险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Pr="00F53B54">
        <w:rPr>
          <w:rFonts w:ascii="仿宋_GB2312" w:eastAsia="仿宋_GB2312" w:hAnsi="微软雅黑" w:cs="宋体" w:hint="eastAsia"/>
          <w:color w:val="000000"/>
          <w:sz w:val="32"/>
          <w:szCs w:val="32"/>
        </w:rPr>
        <w:t>杭银理财理财计划投资协议书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Pr="00F53B54">
        <w:rPr>
          <w:rFonts w:ascii="仿宋_GB2312" w:eastAsia="仿宋_GB2312" w:hAnsi="微软雅黑" w:cs="宋体" w:hint="eastAsia"/>
          <w:color w:val="000000"/>
          <w:sz w:val="32"/>
          <w:szCs w:val="32"/>
        </w:rPr>
        <w:t>杭银理财理财计划销售协议书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Pr="00F53B54">
        <w:rPr>
          <w:rFonts w:ascii="仿宋_GB2312" w:eastAsia="仿宋_GB2312" w:hAnsi="微软雅黑" w:cs="宋体" w:hint="eastAsia"/>
          <w:color w:val="000000"/>
          <w:sz w:val="32"/>
          <w:szCs w:val="32"/>
        </w:rPr>
        <w:t>杭银理财投资者权益须知</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w:t>
      </w:r>
      <w:r w:rsidR="00212779">
        <w:rPr>
          <w:rFonts w:ascii="仿宋_GB2312" w:eastAsia="仿宋_GB2312" w:hAnsi="微软雅黑" w:cs="宋体" w:hint="eastAsia"/>
          <w:color w:val="000000"/>
          <w:sz w:val="32"/>
          <w:szCs w:val="32"/>
        </w:rPr>
        <w:t>4</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w:t>
      </w:r>
      <w:r w:rsidR="00212779">
        <w:rPr>
          <w:rFonts w:ascii="仿宋_GB2312" w:eastAsia="仿宋_GB2312" w:hAnsi="微软雅黑" w:cs="宋体" w:hint="eastAsia"/>
          <w:color w:val="000000"/>
          <w:sz w:val="32"/>
          <w:szCs w:val="32"/>
        </w:rPr>
        <w:t>4</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理财风险揭示书</w:t>
      </w:r>
    </w:p>
    <w:p w:rsidR="00D96045" w:rsidRPr="00B3133F"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lastRenderedPageBreak/>
        <w:t>202</w:t>
      </w:r>
      <w:r w:rsidR="00B3133F">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F53B54">
        <w:rPr>
          <w:rFonts w:ascii="仿宋_GB2312" w:eastAsia="仿宋_GB2312" w:hAnsi="微软雅黑" w:cs="宋体" w:hint="eastAsia"/>
          <w:color w:val="000000"/>
          <w:sz w:val="32"/>
          <w:szCs w:val="32"/>
        </w:rPr>
        <w:t>1</w:t>
      </w:r>
      <w:r w:rsidRPr="00A215C9">
        <w:rPr>
          <w:rFonts w:ascii="仿宋_GB2312" w:eastAsia="仿宋_GB2312" w:hAnsi="微软雅黑" w:cs="宋体" w:hint="eastAsia"/>
          <w:color w:val="000000"/>
          <w:sz w:val="32"/>
          <w:szCs w:val="32"/>
        </w:rPr>
        <w:t>月</w:t>
      </w:r>
      <w:r w:rsidR="00B3133F">
        <w:rPr>
          <w:rFonts w:ascii="仿宋_GB2312" w:eastAsia="仿宋_GB2312" w:hAnsi="微软雅黑" w:cs="宋体" w:hint="eastAsia"/>
          <w:color w:val="000000"/>
          <w:sz w:val="32"/>
          <w:szCs w:val="32"/>
        </w:rPr>
        <w:t>4</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AE" w:rsidRDefault="00C531AE" w:rsidP="00D96045">
      <w:r>
        <w:separator/>
      </w:r>
    </w:p>
  </w:endnote>
  <w:endnote w:type="continuationSeparator" w:id="1">
    <w:p w:rsidR="00C531AE" w:rsidRDefault="00C531AE"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AE" w:rsidRDefault="00C531AE" w:rsidP="00D96045">
      <w:r>
        <w:separator/>
      </w:r>
    </w:p>
  </w:footnote>
  <w:footnote w:type="continuationSeparator" w:id="1">
    <w:p w:rsidR="00C531AE" w:rsidRDefault="00C531AE" w:rsidP="00D960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3CD5"/>
    <w:rsid w:val="00074585"/>
    <w:rsid w:val="0007529A"/>
    <w:rsid w:val="00077DC2"/>
    <w:rsid w:val="000833C0"/>
    <w:rsid w:val="00083918"/>
    <w:rsid w:val="00083AB9"/>
    <w:rsid w:val="00083C8F"/>
    <w:rsid w:val="00085E4C"/>
    <w:rsid w:val="00091A62"/>
    <w:rsid w:val="000921CB"/>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2521"/>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6FE3"/>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47F"/>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779"/>
    <w:rsid w:val="00212BF7"/>
    <w:rsid w:val="00212D78"/>
    <w:rsid w:val="002136FC"/>
    <w:rsid w:val="00215A8B"/>
    <w:rsid w:val="0022062F"/>
    <w:rsid w:val="00220A20"/>
    <w:rsid w:val="00222E85"/>
    <w:rsid w:val="00226903"/>
    <w:rsid w:val="0022698C"/>
    <w:rsid w:val="002305FC"/>
    <w:rsid w:val="002324EA"/>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4A84"/>
    <w:rsid w:val="00266247"/>
    <w:rsid w:val="00266607"/>
    <w:rsid w:val="002701D7"/>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E77B9"/>
    <w:rsid w:val="002F0506"/>
    <w:rsid w:val="002F3816"/>
    <w:rsid w:val="002F3BB9"/>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3903"/>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6D0"/>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4646"/>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503C77"/>
    <w:rsid w:val="00504C46"/>
    <w:rsid w:val="0051109E"/>
    <w:rsid w:val="00512727"/>
    <w:rsid w:val="00512A8F"/>
    <w:rsid w:val="005150E3"/>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3E8D"/>
    <w:rsid w:val="005E4D24"/>
    <w:rsid w:val="005E6EEA"/>
    <w:rsid w:val="005E7317"/>
    <w:rsid w:val="005E73F3"/>
    <w:rsid w:val="005F28E0"/>
    <w:rsid w:val="005F3054"/>
    <w:rsid w:val="005F36FC"/>
    <w:rsid w:val="005F3769"/>
    <w:rsid w:val="005F4C22"/>
    <w:rsid w:val="005F5357"/>
    <w:rsid w:val="005F62F8"/>
    <w:rsid w:val="005F7812"/>
    <w:rsid w:val="00600401"/>
    <w:rsid w:val="00602D85"/>
    <w:rsid w:val="00604A33"/>
    <w:rsid w:val="00604EE4"/>
    <w:rsid w:val="0061126D"/>
    <w:rsid w:val="00613641"/>
    <w:rsid w:val="00613CB0"/>
    <w:rsid w:val="006140E4"/>
    <w:rsid w:val="00615B5D"/>
    <w:rsid w:val="00615D9B"/>
    <w:rsid w:val="0061647C"/>
    <w:rsid w:val="0061787E"/>
    <w:rsid w:val="00617D10"/>
    <w:rsid w:val="0062420A"/>
    <w:rsid w:val="006244E5"/>
    <w:rsid w:val="0062607D"/>
    <w:rsid w:val="00627BF4"/>
    <w:rsid w:val="00632A8A"/>
    <w:rsid w:val="00641A78"/>
    <w:rsid w:val="00641E0D"/>
    <w:rsid w:val="00643038"/>
    <w:rsid w:val="006431C1"/>
    <w:rsid w:val="00644948"/>
    <w:rsid w:val="00647429"/>
    <w:rsid w:val="00647E01"/>
    <w:rsid w:val="00650297"/>
    <w:rsid w:val="00650DB5"/>
    <w:rsid w:val="006525DB"/>
    <w:rsid w:val="00653416"/>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6546"/>
    <w:rsid w:val="006911CE"/>
    <w:rsid w:val="00692F17"/>
    <w:rsid w:val="00697D3B"/>
    <w:rsid w:val="006A12E5"/>
    <w:rsid w:val="006A15B0"/>
    <w:rsid w:val="006A3984"/>
    <w:rsid w:val="006A451F"/>
    <w:rsid w:val="006A50FD"/>
    <w:rsid w:val="006A731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0943"/>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709C"/>
    <w:rsid w:val="007F7A21"/>
    <w:rsid w:val="008022DC"/>
    <w:rsid w:val="00802AD6"/>
    <w:rsid w:val="00805B37"/>
    <w:rsid w:val="008076BE"/>
    <w:rsid w:val="00810F2D"/>
    <w:rsid w:val="00811075"/>
    <w:rsid w:val="00811D43"/>
    <w:rsid w:val="00811E4F"/>
    <w:rsid w:val="00814959"/>
    <w:rsid w:val="00816657"/>
    <w:rsid w:val="00817F31"/>
    <w:rsid w:val="00822AE1"/>
    <w:rsid w:val="008243AD"/>
    <w:rsid w:val="0082443A"/>
    <w:rsid w:val="008257AC"/>
    <w:rsid w:val="0082774C"/>
    <w:rsid w:val="00827B59"/>
    <w:rsid w:val="0083383D"/>
    <w:rsid w:val="00835104"/>
    <w:rsid w:val="008358C4"/>
    <w:rsid w:val="0083700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DF9"/>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0057"/>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33F"/>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F00"/>
    <w:rsid w:val="00BC4B35"/>
    <w:rsid w:val="00BC5B34"/>
    <w:rsid w:val="00BD032A"/>
    <w:rsid w:val="00BD0CF7"/>
    <w:rsid w:val="00BD423B"/>
    <w:rsid w:val="00BD71C0"/>
    <w:rsid w:val="00BD7688"/>
    <w:rsid w:val="00BD786F"/>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6407"/>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31AE"/>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B2E"/>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12DC"/>
    <w:rsid w:val="00E23A02"/>
    <w:rsid w:val="00E24340"/>
    <w:rsid w:val="00E24A41"/>
    <w:rsid w:val="00E314A2"/>
    <w:rsid w:val="00E33F0C"/>
    <w:rsid w:val="00E33F4F"/>
    <w:rsid w:val="00E3556E"/>
    <w:rsid w:val="00E367EB"/>
    <w:rsid w:val="00E3727F"/>
    <w:rsid w:val="00E4037A"/>
    <w:rsid w:val="00E45C84"/>
    <w:rsid w:val="00E45ED2"/>
    <w:rsid w:val="00E46123"/>
    <w:rsid w:val="00E477ED"/>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3214"/>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1623"/>
    <w:rsid w:val="00FB2258"/>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B5D"/>
    <w:rsid w:val="00FE4FE9"/>
    <w:rsid w:val="00FE6E59"/>
    <w:rsid w:val="00FE7E13"/>
    <w:rsid w:val="00FF3A1F"/>
    <w:rsid w:val="00FF3FA9"/>
    <w:rsid w:val="00FF4006"/>
    <w:rsid w:val="00FF51C7"/>
    <w:rsid w:val="00FF5A5E"/>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el-tooltip">
    <w:name w:val="el-tooltip"/>
    <w:basedOn w:val="a"/>
    <w:rsid w:val="005F62F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375</Words>
  <Characters>2144</Characters>
  <Application>Microsoft Office Word</Application>
  <DocSecurity>0</DocSecurity>
  <Lines>17</Lines>
  <Paragraphs>5</Paragraphs>
  <ScaleCrop>false</ScaleCrop>
  <Company>Microsoft</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刘云飞</dc:creator>
  <cp:lastModifiedBy>lenovo</cp:lastModifiedBy>
  <cp:revision>3</cp:revision>
  <dcterms:created xsi:type="dcterms:W3CDTF">2023-01-04T01:31:00Z</dcterms:created>
  <dcterms:modified xsi:type="dcterms:W3CDTF">2023-01-04T01:31:00Z</dcterms:modified>
</cp:coreProperties>
</file>