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06CF" w:rsidRDefault="003723AE" w:rsidP="00A12304">
      <w:pPr>
        <w:pStyle w:val="a7"/>
        <w:snapToGrid w:val="0"/>
        <w:spacing w:line="400" w:lineRule="exact"/>
        <w:ind w:firstLine="0"/>
        <w:jc w:val="center"/>
        <w:rPr>
          <w:rFonts w:eastAsia="黑体"/>
          <w:bCs/>
          <w:kern w:val="2"/>
          <w:sz w:val="36"/>
          <w:szCs w:val="36"/>
        </w:rPr>
      </w:pPr>
      <w:r>
        <w:rPr>
          <w:rFonts w:eastAsia="黑体" w:hint="eastAsia"/>
          <w:bCs/>
          <w:kern w:val="2"/>
          <w:sz w:val="36"/>
          <w:szCs w:val="36"/>
        </w:rPr>
        <w:t>华夏理财固定收益</w:t>
      </w:r>
      <w:proofErr w:type="gramStart"/>
      <w:r>
        <w:rPr>
          <w:rFonts w:eastAsia="黑体" w:hint="eastAsia"/>
          <w:bCs/>
          <w:kern w:val="2"/>
          <w:sz w:val="36"/>
          <w:szCs w:val="36"/>
        </w:rPr>
        <w:t>纯债型</w:t>
      </w:r>
      <w:proofErr w:type="gramEnd"/>
      <w:r>
        <w:rPr>
          <w:rFonts w:eastAsia="黑体" w:hint="eastAsia"/>
          <w:bCs/>
          <w:kern w:val="2"/>
          <w:sz w:val="36"/>
          <w:szCs w:val="36"/>
        </w:rPr>
        <w:t>四个月定开理财产品</w:t>
      </w:r>
      <w:r>
        <w:rPr>
          <w:rFonts w:eastAsia="黑体" w:hint="eastAsia"/>
          <w:bCs/>
          <w:kern w:val="2"/>
          <w:sz w:val="36"/>
          <w:szCs w:val="36"/>
        </w:rPr>
        <w:t>1</w:t>
      </w:r>
      <w:r>
        <w:rPr>
          <w:rFonts w:eastAsia="黑体" w:hint="eastAsia"/>
          <w:bCs/>
          <w:kern w:val="2"/>
          <w:sz w:val="36"/>
          <w:szCs w:val="36"/>
        </w:rPr>
        <w:t>号</w:t>
      </w:r>
    </w:p>
    <w:p w:rsidR="0092528D" w:rsidRDefault="0092528D" w:rsidP="00A12304">
      <w:pPr>
        <w:pStyle w:val="a7"/>
        <w:snapToGrid w:val="0"/>
        <w:spacing w:line="400" w:lineRule="exact"/>
        <w:ind w:firstLine="0"/>
        <w:jc w:val="center"/>
        <w:rPr>
          <w:rFonts w:eastAsia="黑体"/>
          <w:bCs/>
          <w:kern w:val="2"/>
          <w:sz w:val="36"/>
          <w:szCs w:val="36"/>
        </w:rPr>
      </w:pPr>
      <w:r>
        <w:rPr>
          <w:rFonts w:eastAsia="黑体" w:hint="eastAsia"/>
          <w:bCs/>
          <w:kern w:val="2"/>
          <w:sz w:val="36"/>
          <w:szCs w:val="36"/>
        </w:rPr>
        <w:t>说明书</w:t>
      </w:r>
    </w:p>
    <w:tbl>
      <w:tblPr>
        <w:tblpPr w:leftFromText="180" w:rightFromText="180" w:vertAnchor="page" w:horzAnchor="page" w:tblpX="1867" w:tblpY="2343"/>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90"/>
      </w:tblGrid>
      <w:tr w:rsidR="0092528D">
        <w:trPr>
          <w:trHeight w:val="6142"/>
        </w:trPr>
        <w:tc>
          <w:tcPr>
            <w:tcW w:w="8590" w:type="dxa"/>
            <w:tcBorders>
              <w:top w:val="single" w:sz="4" w:space="0" w:color="auto"/>
              <w:left w:val="single" w:sz="4" w:space="0" w:color="auto"/>
              <w:right w:val="single" w:sz="4" w:space="0" w:color="auto"/>
            </w:tcBorders>
            <w:vAlign w:val="center"/>
          </w:tcPr>
          <w:p w:rsidR="0092528D" w:rsidRDefault="0092528D">
            <w:pPr>
              <w:adjustRightInd w:val="0"/>
              <w:snapToGrid w:val="0"/>
              <w:spacing w:line="400" w:lineRule="exact"/>
              <w:ind w:left="343" w:rightChars="90" w:right="189"/>
              <w:rPr>
                <w:rFonts w:ascii="黑体" w:eastAsia="黑体" w:hAnsi="黑体"/>
                <w:b/>
                <w:sz w:val="28"/>
                <w:szCs w:val="28"/>
                <w:u w:val="single"/>
              </w:rPr>
            </w:pPr>
            <w:r>
              <w:rPr>
                <w:rFonts w:ascii="黑体" w:eastAsia="黑体" w:hAnsi="黑体" w:hint="eastAsia"/>
                <w:b/>
                <w:sz w:val="28"/>
                <w:szCs w:val="28"/>
                <w:u w:val="single"/>
              </w:rPr>
              <w:t>一、</w:t>
            </w:r>
            <w:r>
              <w:rPr>
                <w:rFonts w:ascii="黑体" w:eastAsia="黑体" w:hAnsi="黑体"/>
                <w:b/>
                <w:sz w:val="28"/>
                <w:szCs w:val="28"/>
                <w:u w:val="single"/>
              </w:rPr>
              <w:t>理财产品与存款存在明显区别，具有一定的风险</w:t>
            </w:r>
            <w:r>
              <w:rPr>
                <w:rFonts w:ascii="黑体" w:eastAsia="黑体" w:hAnsi="黑体" w:hint="eastAsia"/>
                <w:b/>
                <w:sz w:val="28"/>
                <w:szCs w:val="28"/>
                <w:u w:val="single"/>
              </w:rPr>
              <w:t>。</w:t>
            </w:r>
          </w:p>
          <w:p w:rsidR="0092528D" w:rsidRDefault="0092528D">
            <w:pPr>
              <w:adjustRightInd w:val="0"/>
              <w:snapToGrid w:val="0"/>
              <w:spacing w:line="400" w:lineRule="exact"/>
              <w:ind w:left="343" w:rightChars="90" w:right="189"/>
              <w:rPr>
                <w:rFonts w:ascii="黑体" w:eastAsia="黑体" w:hAnsi="黑体"/>
                <w:b/>
                <w:sz w:val="28"/>
                <w:szCs w:val="28"/>
              </w:rPr>
            </w:pPr>
            <w:r>
              <w:rPr>
                <w:rFonts w:ascii="黑体" w:eastAsia="黑体" w:hAnsi="黑体" w:hint="eastAsia"/>
                <w:b/>
                <w:sz w:val="28"/>
                <w:szCs w:val="28"/>
                <w:u w:val="single"/>
              </w:rPr>
              <w:t>二、本理财产品为非保本浮动收益净值型理财产品，</w:t>
            </w:r>
            <w:r>
              <w:rPr>
                <w:rFonts w:ascii="黑体" w:eastAsia="黑体" w:hAnsi="黑体"/>
                <w:b/>
                <w:sz w:val="28"/>
                <w:szCs w:val="28"/>
                <w:u w:val="single"/>
              </w:rPr>
              <w:t>华夏</w:t>
            </w:r>
            <w:r>
              <w:rPr>
                <w:rFonts w:ascii="黑体" w:eastAsia="黑体" w:hAnsi="黑体" w:hint="eastAsia"/>
                <w:b/>
                <w:sz w:val="28"/>
                <w:szCs w:val="28"/>
                <w:u w:val="single"/>
              </w:rPr>
              <w:t>理财</w:t>
            </w:r>
            <w:r>
              <w:rPr>
                <w:rFonts w:ascii="黑体" w:eastAsia="黑体" w:hAnsi="黑体"/>
                <w:b/>
                <w:sz w:val="28"/>
                <w:szCs w:val="28"/>
                <w:u w:val="single"/>
              </w:rPr>
              <w:t>有限</w:t>
            </w:r>
            <w:r>
              <w:rPr>
                <w:rFonts w:ascii="黑体" w:eastAsia="黑体" w:hAnsi="黑体" w:hint="eastAsia"/>
                <w:b/>
                <w:sz w:val="28"/>
                <w:szCs w:val="28"/>
                <w:u w:val="single"/>
              </w:rPr>
              <w:t>责任</w:t>
            </w:r>
            <w:r>
              <w:rPr>
                <w:rFonts w:ascii="黑体" w:eastAsia="黑体" w:hAnsi="黑体"/>
                <w:b/>
                <w:sz w:val="28"/>
                <w:szCs w:val="28"/>
                <w:u w:val="single"/>
              </w:rPr>
              <w:t>公司（以下简称</w:t>
            </w:r>
            <w:r>
              <w:rPr>
                <w:rFonts w:ascii="黑体" w:eastAsia="黑体" w:hAnsi="黑体" w:hint="eastAsia"/>
                <w:b/>
                <w:sz w:val="28"/>
                <w:szCs w:val="28"/>
                <w:u w:val="single"/>
              </w:rPr>
              <w:t>“</w:t>
            </w:r>
            <w:r>
              <w:rPr>
                <w:rFonts w:ascii="黑体" w:eastAsia="黑体" w:hAnsi="黑体"/>
                <w:b/>
                <w:sz w:val="28"/>
                <w:szCs w:val="28"/>
                <w:u w:val="single"/>
              </w:rPr>
              <w:t>华夏</w:t>
            </w:r>
            <w:r>
              <w:rPr>
                <w:rFonts w:ascii="黑体" w:eastAsia="黑体" w:hAnsi="黑体" w:hint="eastAsia"/>
                <w:b/>
                <w:sz w:val="28"/>
                <w:szCs w:val="28"/>
                <w:u w:val="single"/>
              </w:rPr>
              <w:t>理财”</w:t>
            </w:r>
            <w:r>
              <w:rPr>
                <w:rFonts w:ascii="黑体" w:eastAsia="黑体" w:hAnsi="黑体"/>
                <w:b/>
                <w:sz w:val="28"/>
                <w:szCs w:val="28"/>
                <w:u w:val="single"/>
              </w:rPr>
              <w:t>）不保证理财产品本金及理财收益</w:t>
            </w:r>
            <w:r>
              <w:rPr>
                <w:rFonts w:ascii="黑体" w:eastAsia="黑体" w:hAnsi="黑体" w:hint="eastAsia"/>
                <w:b/>
                <w:sz w:val="28"/>
                <w:szCs w:val="28"/>
                <w:u w:val="single"/>
              </w:rPr>
              <w:t>。在本理财产品存续期间，除</w:t>
            </w:r>
            <w:r>
              <w:rPr>
                <w:rFonts w:ascii="黑体" w:eastAsia="黑体" w:hAnsi="黑体"/>
                <w:b/>
                <w:sz w:val="28"/>
                <w:szCs w:val="28"/>
                <w:u w:val="single"/>
              </w:rPr>
              <w:t>本产品说明书约定的特殊情况</w:t>
            </w:r>
            <w:r>
              <w:rPr>
                <w:rFonts w:ascii="黑体" w:eastAsia="黑体" w:hAnsi="黑体" w:hint="eastAsia"/>
                <w:b/>
                <w:sz w:val="28"/>
                <w:szCs w:val="28"/>
                <w:u w:val="single"/>
              </w:rPr>
              <w:t>外</w:t>
            </w:r>
            <w:r>
              <w:rPr>
                <w:rFonts w:ascii="黑体" w:eastAsia="黑体" w:hAnsi="黑体"/>
                <w:b/>
                <w:sz w:val="28"/>
                <w:szCs w:val="28"/>
                <w:u w:val="single"/>
              </w:rPr>
              <w:t>，</w:t>
            </w:r>
            <w:r>
              <w:rPr>
                <w:rFonts w:ascii="黑体" w:eastAsia="黑体" w:hAnsi="黑体" w:hint="eastAsia"/>
                <w:b/>
                <w:sz w:val="28"/>
                <w:szCs w:val="28"/>
                <w:u w:val="single"/>
              </w:rPr>
              <w:t>投资者可在规定时间内按照本产品说明书中约定的申购、赎回条款申购或赎回本理财产品。</w:t>
            </w:r>
            <w:r>
              <w:rPr>
                <w:rFonts w:ascii="黑体" w:eastAsia="黑体" w:hAnsi="黑体"/>
                <w:b/>
                <w:sz w:val="28"/>
                <w:szCs w:val="28"/>
                <w:u w:val="single"/>
              </w:rPr>
              <w:t>投资者</w:t>
            </w:r>
            <w:r>
              <w:rPr>
                <w:rFonts w:ascii="黑体" w:eastAsia="黑体" w:hAnsi="黑体" w:hint="eastAsia"/>
                <w:b/>
                <w:sz w:val="28"/>
                <w:szCs w:val="28"/>
                <w:u w:val="single"/>
              </w:rPr>
              <w:t>投资本理财产品所</w:t>
            </w:r>
            <w:r>
              <w:rPr>
                <w:rFonts w:ascii="黑体" w:eastAsia="黑体" w:hAnsi="黑体"/>
                <w:b/>
                <w:sz w:val="28"/>
                <w:szCs w:val="28"/>
                <w:u w:val="single"/>
              </w:rPr>
              <w:t>面临的风险</w:t>
            </w:r>
            <w:r>
              <w:rPr>
                <w:rFonts w:ascii="黑体" w:eastAsia="黑体" w:hAnsi="黑体" w:hint="eastAsia"/>
                <w:b/>
                <w:sz w:val="28"/>
                <w:szCs w:val="28"/>
                <w:u w:val="single"/>
              </w:rPr>
              <w:t>请详细阅读本产品说明书第八部分风险揭示内容</w:t>
            </w:r>
            <w:r>
              <w:rPr>
                <w:rFonts w:ascii="黑体" w:eastAsia="黑体" w:hAnsi="黑体"/>
                <w:b/>
                <w:sz w:val="28"/>
                <w:szCs w:val="28"/>
                <w:u w:val="single"/>
              </w:rPr>
              <w:t>。投资者应在对风险有充分认识基础上</w:t>
            </w:r>
            <w:r>
              <w:rPr>
                <w:rFonts w:ascii="黑体" w:eastAsia="黑体" w:hAnsi="黑体" w:hint="eastAsia"/>
                <w:b/>
                <w:sz w:val="28"/>
                <w:szCs w:val="28"/>
                <w:u w:val="single"/>
              </w:rPr>
              <w:t>基于自身的独立判断</w:t>
            </w:r>
            <w:r>
              <w:rPr>
                <w:rFonts w:ascii="黑体" w:eastAsia="黑体" w:hAnsi="黑体"/>
                <w:b/>
                <w:sz w:val="28"/>
                <w:szCs w:val="28"/>
                <w:u w:val="single"/>
              </w:rPr>
              <w:t>谨慎投资</w:t>
            </w:r>
            <w:r>
              <w:rPr>
                <w:rFonts w:ascii="黑体" w:eastAsia="黑体" w:hAnsi="黑体" w:hint="eastAsia"/>
                <w:b/>
                <w:sz w:val="28"/>
                <w:szCs w:val="28"/>
                <w:u w:val="single"/>
              </w:rPr>
              <w:t>。</w:t>
            </w:r>
          </w:p>
          <w:p w:rsidR="0092528D" w:rsidRDefault="0092528D">
            <w:pPr>
              <w:adjustRightInd w:val="0"/>
              <w:snapToGrid w:val="0"/>
              <w:spacing w:line="400" w:lineRule="exact"/>
              <w:ind w:left="343" w:rightChars="90" w:right="189"/>
              <w:rPr>
                <w:rFonts w:ascii="黑体" w:eastAsia="黑体" w:hAnsi="黑体"/>
                <w:b/>
                <w:sz w:val="28"/>
                <w:szCs w:val="28"/>
                <w:u w:val="single"/>
              </w:rPr>
            </w:pPr>
            <w:r>
              <w:rPr>
                <w:rFonts w:ascii="黑体" w:eastAsia="黑体" w:hAnsi="黑体" w:hint="eastAsia"/>
                <w:b/>
                <w:sz w:val="28"/>
                <w:szCs w:val="28"/>
                <w:u w:val="single"/>
              </w:rPr>
              <w:t>三、</w:t>
            </w:r>
            <w:r>
              <w:rPr>
                <w:rFonts w:ascii="黑体" w:eastAsia="黑体" w:hAnsi="黑体"/>
                <w:b/>
                <w:sz w:val="28"/>
                <w:szCs w:val="28"/>
                <w:u w:val="single"/>
              </w:rPr>
              <w:t>华夏</w:t>
            </w:r>
            <w:r>
              <w:rPr>
                <w:rFonts w:ascii="黑体" w:eastAsia="黑体" w:hAnsi="黑体" w:hint="eastAsia"/>
                <w:b/>
                <w:sz w:val="28"/>
                <w:szCs w:val="28"/>
                <w:u w:val="single"/>
              </w:rPr>
              <w:t>理财</w:t>
            </w:r>
            <w:r>
              <w:rPr>
                <w:rFonts w:ascii="黑体" w:eastAsia="黑体" w:hAnsi="黑体"/>
                <w:b/>
                <w:sz w:val="28"/>
                <w:szCs w:val="28"/>
                <w:u w:val="single"/>
              </w:rPr>
              <w:t>郑重提示：在购买理财产品前，投资者应确保自己完全明白</w:t>
            </w:r>
            <w:r>
              <w:rPr>
                <w:rFonts w:ascii="黑体" w:eastAsia="黑体" w:hAnsi="黑体" w:hint="eastAsia"/>
                <w:b/>
                <w:sz w:val="28"/>
                <w:szCs w:val="28"/>
                <w:u w:val="single"/>
              </w:rPr>
              <w:t>本</w:t>
            </w:r>
            <w:r>
              <w:rPr>
                <w:rFonts w:ascii="黑体" w:eastAsia="黑体" w:hAnsi="黑体"/>
                <w:b/>
                <w:sz w:val="28"/>
                <w:szCs w:val="28"/>
                <w:u w:val="single"/>
              </w:rPr>
              <w:t>项投资的性质和所涉及的风险，详细了解和审慎评估</w:t>
            </w:r>
            <w:r>
              <w:rPr>
                <w:rFonts w:ascii="黑体" w:eastAsia="黑体" w:hAnsi="黑体" w:hint="eastAsia"/>
                <w:b/>
                <w:sz w:val="28"/>
                <w:szCs w:val="28"/>
                <w:u w:val="single"/>
              </w:rPr>
              <w:t>本</w:t>
            </w:r>
            <w:r>
              <w:rPr>
                <w:rFonts w:ascii="黑体" w:eastAsia="黑体" w:hAnsi="黑体"/>
                <w:b/>
                <w:sz w:val="28"/>
                <w:szCs w:val="28"/>
                <w:u w:val="single"/>
              </w:rPr>
              <w:t>理财产品的资金投资方向、风险类型等基本情况，在慎重考虑后自行决定购买与自身风险承受能力和资产管理需求匹配的理财产品</w:t>
            </w:r>
            <w:r>
              <w:rPr>
                <w:rFonts w:ascii="黑体" w:eastAsia="黑体" w:hAnsi="黑体" w:hint="eastAsia"/>
                <w:b/>
                <w:sz w:val="28"/>
                <w:szCs w:val="28"/>
                <w:u w:val="single"/>
              </w:rPr>
              <w:t>。</w:t>
            </w:r>
          </w:p>
          <w:p w:rsidR="0092528D" w:rsidRDefault="0092528D" w:rsidP="001B007A">
            <w:pPr>
              <w:adjustRightInd w:val="0"/>
              <w:snapToGrid w:val="0"/>
              <w:spacing w:line="400" w:lineRule="exact"/>
              <w:ind w:left="343" w:rightChars="90" w:right="189"/>
              <w:rPr>
                <w:rFonts w:eastAsia="楷体_GB2312"/>
                <w:sz w:val="28"/>
                <w:szCs w:val="28"/>
                <w:u w:val="single"/>
              </w:rPr>
            </w:pPr>
            <w:r>
              <w:rPr>
                <w:rFonts w:ascii="黑体" w:eastAsia="黑体" w:hAnsi="黑体" w:hint="eastAsia"/>
                <w:b/>
                <w:sz w:val="28"/>
                <w:szCs w:val="28"/>
                <w:u w:val="single"/>
              </w:rPr>
              <w:t>四、本理财产品的</w:t>
            </w:r>
            <w:r>
              <w:rPr>
                <w:rFonts w:ascii="黑体" w:eastAsia="黑体" w:hAnsi="黑体"/>
                <w:b/>
                <w:sz w:val="28"/>
                <w:szCs w:val="28"/>
                <w:u w:val="single"/>
              </w:rPr>
              <w:t>信息披露将通过华夏银行</w:t>
            </w:r>
            <w:r>
              <w:rPr>
                <w:rFonts w:ascii="黑体" w:eastAsia="黑体" w:hAnsi="黑体" w:hint="eastAsia"/>
                <w:b/>
                <w:sz w:val="28"/>
                <w:szCs w:val="28"/>
                <w:u w:val="single"/>
              </w:rPr>
              <w:t>官方</w:t>
            </w:r>
            <w:r>
              <w:rPr>
                <w:rFonts w:ascii="黑体" w:eastAsia="黑体" w:hAnsi="黑体"/>
                <w:b/>
                <w:sz w:val="28"/>
                <w:szCs w:val="28"/>
                <w:u w:val="single"/>
              </w:rPr>
              <w:t>网站</w:t>
            </w:r>
            <w:r>
              <w:rPr>
                <w:rFonts w:ascii="黑体" w:eastAsia="黑体" w:hAnsi="黑体" w:hint="eastAsia"/>
                <w:b/>
                <w:sz w:val="28"/>
                <w:szCs w:val="28"/>
                <w:u w:val="single"/>
              </w:rPr>
              <w:t>、代理销售机构（如有）信息披露渠道等进行公告</w:t>
            </w:r>
            <w:r>
              <w:rPr>
                <w:rFonts w:ascii="黑体" w:eastAsia="黑体" w:hAnsi="黑体"/>
                <w:b/>
                <w:sz w:val="28"/>
                <w:szCs w:val="28"/>
                <w:u w:val="single"/>
              </w:rPr>
              <w:t>。</w:t>
            </w:r>
            <w:r>
              <w:rPr>
                <w:rFonts w:ascii="黑体" w:eastAsia="黑体" w:hAnsi="黑体" w:hint="eastAsia"/>
                <w:b/>
                <w:sz w:val="28"/>
                <w:szCs w:val="28"/>
                <w:u w:val="single"/>
              </w:rPr>
              <w:t>投资者在购买理财产品后，应随时关注本理财产品的信息披露情况，及时获取相关信息。</w:t>
            </w:r>
            <w:r>
              <w:rPr>
                <w:rFonts w:ascii="黑体" w:eastAsia="黑体" w:hAnsi="黑体"/>
                <w:b/>
                <w:sz w:val="28"/>
                <w:szCs w:val="28"/>
                <w:u w:val="single"/>
              </w:rPr>
              <w:t>如果投资者未及时查询</w:t>
            </w:r>
            <w:r>
              <w:rPr>
                <w:rFonts w:ascii="黑体" w:eastAsia="黑体" w:hAnsi="黑体" w:hint="eastAsia"/>
                <w:b/>
                <w:sz w:val="28"/>
                <w:szCs w:val="28"/>
                <w:u w:val="single"/>
              </w:rPr>
              <w:t>而未能</w:t>
            </w:r>
            <w:r>
              <w:rPr>
                <w:rFonts w:ascii="黑体" w:eastAsia="黑体" w:hAnsi="黑体"/>
                <w:b/>
                <w:sz w:val="28"/>
                <w:szCs w:val="28"/>
                <w:u w:val="single"/>
              </w:rPr>
              <w:t>及时了解</w:t>
            </w:r>
            <w:r>
              <w:rPr>
                <w:rFonts w:ascii="黑体" w:eastAsia="黑体" w:hAnsi="黑体" w:hint="eastAsia"/>
                <w:b/>
                <w:sz w:val="28"/>
                <w:szCs w:val="28"/>
                <w:u w:val="single"/>
              </w:rPr>
              <w:t>本理财产品</w:t>
            </w:r>
            <w:r>
              <w:rPr>
                <w:rFonts w:ascii="黑体" w:eastAsia="黑体" w:hAnsi="黑体"/>
                <w:b/>
                <w:sz w:val="28"/>
                <w:szCs w:val="28"/>
                <w:u w:val="single"/>
              </w:rPr>
              <w:t>信息，因此产生的责任和风险由投资者承担。</w:t>
            </w:r>
            <w:r>
              <w:rPr>
                <w:rFonts w:ascii="黑体" w:eastAsia="黑体" w:hAnsi="黑体" w:hint="eastAsia"/>
                <w:b/>
                <w:sz w:val="28"/>
                <w:szCs w:val="28"/>
                <w:u w:val="single"/>
              </w:rPr>
              <w:t>投资者如需进行业务咨询或投诉，请拨打华夏银行客户服务热线95577或其他代理销售机构客户服务热线。</w:t>
            </w:r>
          </w:p>
        </w:tc>
      </w:tr>
    </w:tbl>
    <w:p w:rsidR="0092528D" w:rsidRDefault="0092528D">
      <w:pPr>
        <w:pStyle w:val="a7"/>
        <w:adjustRightInd w:val="0"/>
        <w:snapToGrid w:val="0"/>
        <w:spacing w:line="400" w:lineRule="exact"/>
        <w:ind w:firstLine="0"/>
        <w:jc w:val="center"/>
        <w:rPr>
          <w:rFonts w:eastAsia="黑体"/>
          <w:bCs/>
          <w:kern w:val="2"/>
          <w:sz w:val="36"/>
          <w:szCs w:val="36"/>
        </w:rPr>
      </w:pPr>
    </w:p>
    <w:p w:rsidR="0092528D" w:rsidRDefault="0092528D">
      <w:pPr>
        <w:pStyle w:val="a7"/>
        <w:adjustRightInd w:val="0"/>
        <w:snapToGrid w:val="0"/>
        <w:spacing w:line="400" w:lineRule="exact"/>
        <w:ind w:firstLine="0"/>
        <w:jc w:val="center"/>
        <w:rPr>
          <w:rFonts w:eastAsia="黑体"/>
          <w:bCs/>
          <w:kern w:val="2"/>
          <w:sz w:val="36"/>
          <w:szCs w:val="36"/>
        </w:rPr>
      </w:pP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一、</w:t>
      </w:r>
      <w:r>
        <w:rPr>
          <w:rFonts w:ascii="Times New Roman" w:eastAsia="黑体" w:cs="Times New Roman"/>
          <w:b/>
          <w:color w:val="auto"/>
        </w:rPr>
        <w:t>产品概述</w:t>
      </w:r>
    </w:p>
    <w:tbl>
      <w:tblPr>
        <w:tblW w:w="9134"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30"/>
        <w:gridCol w:w="7404"/>
      </w:tblGrid>
      <w:tr w:rsidR="003723AE" w:rsidTr="00A12304">
        <w:trPr>
          <w:trHeight w:val="392"/>
          <w:jc w:val="center"/>
        </w:trPr>
        <w:tc>
          <w:tcPr>
            <w:tcW w:w="1730" w:type="dxa"/>
            <w:tcBorders>
              <w:top w:val="single" w:sz="4" w:space="0" w:color="auto"/>
              <w:left w:val="single" w:sz="4" w:space="0" w:color="auto"/>
              <w:bottom w:val="single" w:sz="4" w:space="0" w:color="auto"/>
              <w:right w:val="single" w:sz="4" w:space="0" w:color="auto"/>
            </w:tcBorders>
            <w:vAlign w:val="center"/>
          </w:tcPr>
          <w:p w:rsidR="003723AE" w:rsidRDefault="003723AE" w:rsidP="003723AE">
            <w:pPr>
              <w:adjustRightInd w:val="0"/>
              <w:snapToGrid w:val="0"/>
              <w:spacing w:line="240" w:lineRule="atLeast"/>
              <w:jc w:val="center"/>
              <w:rPr>
                <w:rFonts w:ascii="仿宋" w:eastAsia="仿宋" w:hAnsi="仿宋"/>
                <w:bCs/>
                <w:szCs w:val="21"/>
              </w:rPr>
            </w:pPr>
            <w:r>
              <w:rPr>
                <w:rFonts w:ascii="仿宋" w:eastAsia="仿宋" w:hAnsi="仿宋"/>
                <w:bCs/>
                <w:szCs w:val="21"/>
              </w:rPr>
              <w:t>产品名称</w:t>
            </w:r>
          </w:p>
        </w:tc>
        <w:tc>
          <w:tcPr>
            <w:tcW w:w="7404" w:type="dxa"/>
            <w:tcBorders>
              <w:top w:val="single" w:sz="4" w:space="0" w:color="auto"/>
              <w:left w:val="single" w:sz="4" w:space="0" w:color="auto"/>
              <w:bottom w:val="single" w:sz="4" w:space="0" w:color="auto"/>
              <w:right w:val="single" w:sz="4" w:space="0" w:color="auto"/>
            </w:tcBorders>
            <w:vAlign w:val="center"/>
          </w:tcPr>
          <w:p w:rsidR="003723AE" w:rsidRDefault="003723AE" w:rsidP="003723AE">
            <w:pPr>
              <w:adjustRightInd w:val="0"/>
              <w:snapToGrid w:val="0"/>
              <w:spacing w:line="240" w:lineRule="atLeast"/>
              <w:jc w:val="center"/>
              <w:rPr>
                <w:rFonts w:ascii="仿宋" w:eastAsia="仿宋" w:hAnsi="仿宋"/>
                <w:b/>
                <w:bCs/>
                <w:szCs w:val="21"/>
              </w:rPr>
            </w:pPr>
            <w:r>
              <w:rPr>
                <w:rFonts w:ascii="仿宋" w:eastAsia="仿宋" w:hAnsi="仿宋" w:hint="eastAsia"/>
                <w:b/>
                <w:bCs/>
                <w:szCs w:val="21"/>
              </w:rPr>
              <w:t>华夏理财固定收益</w:t>
            </w:r>
            <w:proofErr w:type="gramStart"/>
            <w:r>
              <w:rPr>
                <w:rFonts w:ascii="仿宋" w:eastAsia="仿宋" w:hAnsi="仿宋" w:hint="eastAsia"/>
                <w:b/>
                <w:bCs/>
                <w:szCs w:val="21"/>
              </w:rPr>
              <w:t>纯债型</w:t>
            </w:r>
            <w:proofErr w:type="gramEnd"/>
            <w:r>
              <w:rPr>
                <w:rFonts w:ascii="仿宋" w:eastAsia="仿宋" w:hAnsi="仿宋" w:hint="eastAsia"/>
                <w:b/>
                <w:bCs/>
                <w:szCs w:val="21"/>
              </w:rPr>
              <w:t>四个月定开理财产品1号</w:t>
            </w:r>
          </w:p>
          <w:p w:rsidR="003723AE" w:rsidRDefault="003723AE" w:rsidP="003723AE">
            <w:pPr>
              <w:adjustRightInd w:val="0"/>
              <w:snapToGrid w:val="0"/>
              <w:spacing w:line="240" w:lineRule="atLeast"/>
              <w:jc w:val="center"/>
              <w:rPr>
                <w:rFonts w:ascii="仿宋" w:eastAsia="仿宋" w:hAnsi="仿宋"/>
                <w:b/>
                <w:bCs/>
                <w:szCs w:val="21"/>
              </w:rPr>
            </w:pPr>
            <w:r>
              <w:rPr>
                <w:rFonts w:ascii="仿宋" w:eastAsia="仿宋" w:hAnsi="仿宋" w:hint="eastAsia"/>
                <w:b/>
                <w:bCs/>
                <w:szCs w:val="21"/>
              </w:rPr>
              <w:t>A份额简称：“华夏理财固收纯债四个月定开1号A”</w:t>
            </w:r>
          </w:p>
          <w:p w:rsidR="003723AE" w:rsidRDefault="003723AE" w:rsidP="003723AE">
            <w:pPr>
              <w:adjustRightInd w:val="0"/>
              <w:snapToGrid w:val="0"/>
              <w:spacing w:line="240" w:lineRule="atLeast"/>
              <w:jc w:val="center"/>
              <w:rPr>
                <w:rFonts w:ascii="仿宋" w:eastAsia="仿宋" w:hAnsi="仿宋"/>
                <w:b/>
                <w:bCs/>
                <w:szCs w:val="21"/>
              </w:rPr>
            </w:pPr>
            <w:r>
              <w:rPr>
                <w:rFonts w:ascii="仿宋" w:eastAsia="仿宋" w:hAnsi="仿宋" w:hint="eastAsia"/>
                <w:b/>
                <w:bCs/>
                <w:szCs w:val="21"/>
              </w:rPr>
              <w:t>B份额简称：“华夏理财固收纯债四个月定开1号B”</w:t>
            </w:r>
          </w:p>
          <w:p w:rsidR="003723AE" w:rsidRDefault="003723AE" w:rsidP="003723AE">
            <w:pPr>
              <w:adjustRightInd w:val="0"/>
              <w:snapToGrid w:val="0"/>
              <w:spacing w:line="240" w:lineRule="atLeast"/>
              <w:jc w:val="center"/>
              <w:rPr>
                <w:rFonts w:ascii="仿宋" w:eastAsia="仿宋" w:hAnsi="仿宋"/>
                <w:b/>
                <w:bCs/>
                <w:szCs w:val="21"/>
              </w:rPr>
            </w:pPr>
            <w:r>
              <w:rPr>
                <w:rFonts w:ascii="仿宋" w:eastAsia="仿宋" w:hAnsi="仿宋"/>
                <w:b/>
                <w:bCs/>
                <w:szCs w:val="21"/>
              </w:rPr>
              <w:t>C</w:t>
            </w:r>
            <w:r>
              <w:rPr>
                <w:rFonts w:ascii="仿宋" w:eastAsia="仿宋" w:hAnsi="仿宋" w:hint="eastAsia"/>
                <w:b/>
                <w:bCs/>
                <w:szCs w:val="21"/>
              </w:rPr>
              <w:t>份额简称：“华夏理财固收纯债四个月定开1号</w:t>
            </w:r>
            <w:r>
              <w:rPr>
                <w:rFonts w:ascii="仿宋" w:eastAsia="仿宋" w:hAnsi="仿宋"/>
                <w:b/>
                <w:bCs/>
                <w:szCs w:val="21"/>
              </w:rPr>
              <w:t>C</w:t>
            </w:r>
            <w:r>
              <w:rPr>
                <w:rFonts w:ascii="仿宋" w:eastAsia="仿宋" w:hAnsi="仿宋" w:hint="eastAsia"/>
                <w:b/>
                <w:bCs/>
                <w:szCs w:val="21"/>
              </w:rPr>
              <w:t>”</w:t>
            </w:r>
          </w:p>
        </w:tc>
      </w:tr>
      <w:tr w:rsidR="003723AE" w:rsidTr="00A12304">
        <w:trPr>
          <w:trHeight w:val="412"/>
          <w:jc w:val="center"/>
        </w:trPr>
        <w:tc>
          <w:tcPr>
            <w:tcW w:w="1730" w:type="dxa"/>
            <w:tcBorders>
              <w:top w:val="single" w:sz="4" w:space="0" w:color="auto"/>
              <w:left w:val="single" w:sz="4" w:space="0" w:color="auto"/>
              <w:bottom w:val="single" w:sz="4" w:space="0" w:color="auto"/>
              <w:right w:val="single" w:sz="4" w:space="0" w:color="auto"/>
            </w:tcBorders>
            <w:vAlign w:val="center"/>
          </w:tcPr>
          <w:p w:rsidR="003723AE" w:rsidRDefault="003723AE" w:rsidP="003723AE">
            <w:pPr>
              <w:adjustRightInd w:val="0"/>
              <w:snapToGrid w:val="0"/>
              <w:spacing w:line="240" w:lineRule="atLeast"/>
              <w:jc w:val="center"/>
              <w:rPr>
                <w:rFonts w:ascii="仿宋" w:eastAsia="仿宋" w:hAnsi="仿宋"/>
                <w:bCs/>
                <w:szCs w:val="21"/>
              </w:rPr>
            </w:pPr>
            <w:r>
              <w:rPr>
                <w:rFonts w:ascii="仿宋" w:eastAsia="仿宋" w:hAnsi="仿宋" w:hint="eastAsia"/>
                <w:bCs/>
                <w:szCs w:val="21"/>
              </w:rPr>
              <w:t>产品代码</w:t>
            </w:r>
          </w:p>
        </w:tc>
        <w:tc>
          <w:tcPr>
            <w:tcW w:w="7404" w:type="dxa"/>
            <w:tcBorders>
              <w:top w:val="single" w:sz="4" w:space="0" w:color="auto"/>
              <w:left w:val="single" w:sz="4" w:space="0" w:color="auto"/>
              <w:bottom w:val="single" w:sz="4" w:space="0" w:color="auto"/>
              <w:right w:val="single" w:sz="4" w:space="0" w:color="auto"/>
            </w:tcBorders>
            <w:vAlign w:val="center"/>
          </w:tcPr>
          <w:p w:rsidR="003723AE" w:rsidRDefault="003723AE" w:rsidP="003723AE">
            <w:pPr>
              <w:adjustRightInd w:val="0"/>
              <w:snapToGrid w:val="0"/>
              <w:spacing w:line="240" w:lineRule="atLeast"/>
              <w:jc w:val="center"/>
              <w:rPr>
                <w:rFonts w:ascii="仿宋" w:eastAsia="仿宋" w:hAnsi="仿宋"/>
                <w:bCs/>
                <w:szCs w:val="21"/>
              </w:rPr>
            </w:pPr>
            <w:r>
              <w:rPr>
                <w:rFonts w:ascii="仿宋" w:eastAsia="仿宋" w:hAnsi="仿宋" w:hint="eastAsia"/>
                <w:bCs/>
                <w:szCs w:val="21"/>
              </w:rPr>
              <w:t>21113001</w:t>
            </w:r>
          </w:p>
        </w:tc>
      </w:tr>
      <w:tr w:rsidR="003723AE" w:rsidTr="00A12304">
        <w:trPr>
          <w:trHeight w:val="412"/>
          <w:jc w:val="center"/>
        </w:trPr>
        <w:tc>
          <w:tcPr>
            <w:tcW w:w="1730" w:type="dxa"/>
            <w:tcBorders>
              <w:top w:val="single" w:sz="4" w:space="0" w:color="auto"/>
              <w:left w:val="single" w:sz="4" w:space="0" w:color="auto"/>
              <w:bottom w:val="single" w:sz="4" w:space="0" w:color="auto"/>
              <w:right w:val="single" w:sz="4" w:space="0" w:color="auto"/>
            </w:tcBorders>
            <w:vAlign w:val="center"/>
          </w:tcPr>
          <w:p w:rsidR="003723AE" w:rsidRDefault="003723AE" w:rsidP="003723AE">
            <w:pPr>
              <w:adjustRightInd w:val="0"/>
              <w:snapToGrid w:val="0"/>
              <w:spacing w:line="300" w:lineRule="exact"/>
              <w:jc w:val="center"/>
              <w:rPr>
                <w:rFonts w:ascii="仿宋" w:eastAsia="仿宋" w:hAnsi="仿宋"/>
                <w:bCs/>
                <w:szCs w:val="21"/>
              </w:rPr>
            </w:pPr>
            <w:r>
              <w:rPr>
                <w:rFonts w:ascii="仿宋" w:eastAsia="仿宋" w:hAnsi="仿宋" w:hint="eastAsia"/>
                <w:bCs/>
                <w:szCs w:val="21"/>
              </w:rPr>
              <w:t>销售代码</w:t>
            </w:r>
          </w:p>
        </w:tc>
        <w:tc>
          <w:tcPr>
            <w:tcW w:w="7404" w:type="dxa"/>
            <w:tcBorders>
              <w:top w:val="single" w:sz="4" w:space="0" w:color="auto"/>
              <w:left w:val="single" w:sz="4" w:space="0" w:color="auto"/>
              <w:bottom w:val="single" w:sz="4" w:space="0" w:color="auto"/>
              <w:right w:val="single" w:sz="4" w:space="0" w:color="auto"/>
            </w:tcBorders>
            <w:vAlign w:val="center"/>
          </w:tcPr>
          <w:p w:rsidR="003723AE" w:rsidRDefault="003723AE" w:rsidP="003723AE">
            <w:pPr>
              <w:adjustRightInd w:val="0"/>
              <w:snapToGrid w:val="0"/>
              <w:spacing w:line="300" w:lineRule="exact"/>
              <w:jc w:val="center"/>
              <w:rPr>
                <w:rFonts w:ascii="仿宋" w:eastAsia="仿宋" w:hAnsi="仿宋"/>
                <w:bCs/>
                <w:szCs w:val="21"/>
              </w:rPr>
            </w:pPr>
            <w:r>
              <w:rPr>
                <w:rFonts w:ascii="仿宋" w:eastAsia="仿宋" w:hAnsi="仿宋" w:hint="eastAsia"/>
                <w:bCs/>
                <w:szCs w:val="21"/>
              </w:rPr>
              <w:t>A份额代码：21113001A（招商银行销售代码：HX02020</w:t>
            </w:r>
            <w:r>
              <w:rPr>
                <w:rFonts w:ascii="仿宋" w:eastAsia="仿宋" w:hAnsi="仿宋"/>
                <w:bCs/>
                <w:szCs w:val="21"/>
              </w:rPr>
              <w:t>7</w:t>
            </w:r>
            <w:r>
              <w:rPr>
                <w:rFonts w:ascii="仿宋" w:eastAsia="仿宋" w:hAnsi="仿宋" w:hint="eastAsia"/>
                <w:bCs/>
                <w:szCs w:val="21"/>
              </w:rPr>
              <w:t>）</w:t>
            </w:r>
          </w:p>
          <w:p w:rsidR="003723AE" w:rsidRDefault="003723AE" w:rsidP="003723AE">
            <w:pPr>
              <w:adjustRightInd w:val="0"/>
              <w:snapToGrid w:val="0"/>
              <w:spacing w:line="300" w:lineRule="exact"/>
              <w:jc w:val="center"/>
              <w:rPr>
                <w:rFonts w:ascii="仿宋" w:eastAsia="仿宋" w:hAnsi="仿宋"/>
                <w:bCs/>
                <w:szCs w:val="21"/>
              </w:rPr>
            </w:pPr>
            <w:r>
              <w:rPr>
                <w:rFonts w:ascii="仿宋" w:eastAsia="仿宋" w:hAnsi="仿宋" w:hint="eastAsia"/>
                <w:bCs/>
                <w:szCs w:val="21"/>
              </w:rPr>
              <w:t>B份额代码：21113001B</w:t>
            </w:r>
          </w:p>
          <w:p w:rsidR="003723AE" w:rsidRDefault="003723AE" w:rsidP="003723AE">
            <w:pPr>
              <w:adjustRightInd w:val="0"/>
              <w:snapToGrid w:val="0"/>
              <w:spacing w:line="300" w:lineRule="exact"/>
              <w:jc w:val="center"/>
              <w:rPr>
                <w:rFonts w:ascii="仿宋" w:eastAsia="仿宋" w:hAnsi="仿宋"/>
                <w:bCs/>
                <w:szCs w:val="21"/>
              </w:rPr>
            </w:pPr>
            <w:r>
              <w:rPr>
                <w:rFonts w:ascii="仿宋" w:eastAsia="仿宋" w:hAnsi="仿宋"/>
                <w:bCs/>
                <w:szCs w:val="21"/>
              </w:rPr>
              <w:t>C</w:t>
            </w:r>
            <w:r>
              <w:rPr>
                <w:rFonts w:ascii="仿宋" w:eastAsia="仿宋" w:hAnsi="仿宋" w:hint="eastAsia"/>
                <w:bCs/>
                <w:szCs w:val="21"/>
              </w:rPr>
              <w:t>份额代码：21113001</w:t>
            </w:r>
            <w:r>
              <w:rPr>
                <w:rFonts w:ascii="仿宋" w:eastAsia="仿宋" w:hAnsi="仿宋"/>
                <w:bCs/>
                <w:szCs w:val="21"/>
              </w:rPr>
              <w:t>C</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全国银行业理财信息登记系统登记编码</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3723AE"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Z7003921000389</w:t>
            </w:r>
          </w:p>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投资者可以依据该登记编码在中国理财网（www.chinawealth.com.cn）查询产品信息</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产品管理人</w:t>
            </w:r>
          </w:p>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lastRenderedPageBreak/>
              <w:t>/管理人</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lastRenderedPageBreak/>
              <w:t>华夏理财</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lastRenderedPageBreak/>
              <w:t>产品募集方式</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公募</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产品运作模式</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开放式净值型</w:t>
            </w:r>
          </w:p>
        </w:tc>
      </w:tr>
      <w:tr w:rsidR="00846FF0" w:rsidTr="00A12304">
        <w:trPr>
          <w:trHeight w:val="90"/>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产品投资性质</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固定收益类</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产品收益</w:t>
            </w:r>
            <w:r>
              <w:rPr>
                <w:rFonts w:ascii="仿宋" w:eastAsia="仿宋" w:hAnsi="仿宋"/>
                <w:bCs/>
                <w:szCs w:val="21"/>
              </w:rPr>
              <w:t>类型</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非保本浮动收益</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投资及收益币种</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人民币</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产品风险评级</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bCs/>
                <w:szCs w:val="21"/>
              </w:rPr>
              <w:t>根据华夏</w:t>
            </w:r>
            <w:r>
              <w:rPr>
                <w:rFonts w:ascii="仿宋" w:eastAsia="仿宋" w:hAnsi="仿宋" w:hint="eastAsia"/>
                <w:bCs/>
                <w:szCs w:val="21"/>
              </w:rPr>
              <w:t>理财</w:t>
            </w:r>
            <w:r>
              <w:rPr>
                <w:rFonts w:ascii="仿宋" w:eastAsia="仿宋" w:hAnsi="仿宋"/>
                <w:bCs/>
                <w:szCs w:val="21"/>
              </w:rPr>
              <w:t>产品风险评级，本产品为</w:t>
            </w:r>
            <w:r w:rsidRPr="00BE7E09">
              <w:rPr>
                <w:rFonts w:ascii="仿宋" w:eastAsia="仿宋" w:hAnsi="仿宋" w:hint="eastAsia"/>
                <w:bCs/>
                <w:szCs w:val="21"/>
                <w:u w:val="single"/>
              </w:rPr>
              <w:t xml:space="preserve"> PR2级（中低风险） </w:t>
            </w:r>
            <w:r>
              <w:rPr>
                <w:rFonts w:ascii="仿宋" w:eastAsia="仿宋" w:hAnsi="仿宋"/>
                <w:bCs/>
                <w:szCs w:val="21"/>
              </w:rPr>
              <w:t>理财产品。</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bCs/>
                <w:szCs w:val="21"/>
              </w:rPr>
              <w:t>理财产品风险</w:t>
            </w:r>
            <w:r>
              <w:rPr>
                <w:rFonts w:ascii="仿宋" w:eastAsia="仿宋" w:hAnsi="仿宋" w:hint="eastAsia"/>
                <w:bCs/>
                <w:szCs w:val="21"/>
              </w:rPr>
              <w:t>评</w:t>
            </w:r>
            <w:r>
              <w:rPr>
                <w:rFonts w:ascii="仿宋" w:eastAsia="仿宋" w:hAnsi="仿宋"/>
                <w:bCs/>
                <w:szCs w:val="21"/>
              </w:rPr>
              <w:t>级</w:t>
            </w:r>
            <w:r>
              <w:rPr>
                <w:rFonts w:ascii="仿宋" w:eastAsia="仿宋" w:hAnsi="仿宋" w:hint="eastAsia"/>
                <w:bCs/>
                <w:szCs w:val="21"/>
              </w:rPr>
              <w:t>分</w:t>
            </w:r>
            <w:r>
              <w:rPr>
                <w:rFonts w:ascii="仿宋" w:eastAsia="仿宋" w:hAnsi="仿宋"/>
                <w:bCs/>
                <w:szCs w:val="21"/>
              </w:rPr>
              <w:t>为：</w:t>
            </w:r>
            <w:r>
              <w:rPr>
                <w:rFonts w:ascii="仿宋" w:eastAsia="仿宋" w:hAnsi="仿宋" w:hint="eastAsia"/>
                <w:bCs/>
                <w:szCs w:val="21"/>
              </w:rPr>
              <w:t>PR1级（低风险）、PR2级（中低风险）、PR3级（中等风险）、PR4级（中高风险）、PR5级（高风险）</w:t>
            </w:r>
            <w:r>
              <w:rPr>
                <w:rFonts w:ascii="仿宋" w:eastAsia="仿宋" w:hAnsi="仿宋"/>
                <w:bCs/>
                <w:szCs w:val="21"/>
              </w:rPr>
              <w:t>。</w:t>
            </w:r>
          </w:p>
          <w:p w:rsidR="00846FF0" w:rsidRDefault="00846FF0" w:rsidP="00846FF0">
            <w:pPr>
              <w:adjustRightInd w:val="0"/>
              <w:snapToGrid w:val="0"/>
              <w:spacing w:line="240" w:lineRule="atLeast"/>
              <w:ind w:firstLineChars="200" w:firstLine="422"/>
              <w:rPr>
                <w:rFonts w:ascii="仿宋" w:eastAsia="仿宋" w:hAnsi="仿宋"/>
                <w:b/>
                <w:bCs/>
                <w:szCs w:val="21"/>
              </w:rPr>
            </w:pPr>
            <w:r>
              <w:rPr>
                <w:rFonts w:ascii="仿宋" w:eastAsia="仿宋" w:hAnsi="仿宋" w:hint="eastAsia"/>
                <w:b/>
                <w:bCs/>
                <w:szCs w:val="21"/>
              </w:rPr>
              <w:t>本理财产品风险评级为华夏理财自主评定，仅供参考。</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300" w:lineRule="exact"/>
              <w:jc w:val="center"/>
              <w:rPr>
                <w:rFonts w:ascii="仿宋" w:eastAsia="仿宋" w:hAnsi="仿宋"/>
                <w:bCs/>
                <w:szCs w:val="21"/>
              </w:rPr>
            </w:pPr>
            <w:r>
              <w:rPr>
                <w:rFonts w:ascii="仿宋" w:eastAsia="仿宋" w:hAnsi="仿宋" w:hint="eastAsia"/>
                <w:bCs/>
                <w:szCs w:val="21"/>
              </w:rPr>
              <w:t>产品销售评级</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hint="eastAsia"/>
                <w:bCs/>
                <w:szCs w:val="21"/>
              </w:rPr>
              <w:t>本理财产品通过代理销售机构（以下简称“代销机构”）渠道销售的，理财产品评级应当以代销机构最终披露的评级结果为准。代销机构</w:t>
            </w:r>
            <w:r>
              <w:rPr>
                <w:rFonts w:ascii="仿宋" w:eastAsia="仿宋" w:hAnsi="仿宋" w:hint="eastAsia"/>
                <w:szCs w:val="21"/>
              </w:rPr>
              <w:t>如与华夏理财产品风险评级结果不一致，应当采用对应较高风险等级的评级结果</w:t>
            </w:r>
            <w:r w:rsidRPr="00A12304">
              <w:rPr>
                <w:rFonts w:ascii="仿宋" w:eastAsia="仿宋" w:hAnsi="仿宋"/>
                <w:bCs/>
                <w:szCs w:val="21"/>
              </w:rPr>
              <w:t>。</w:t>
            </w:r>
          </w:p>
        </w:tc>
      </w:tr>
      <w:tr w:rsidR="00846FF0" w:rsidTr="00A12304">
        <w:trPr>
          <w:jc w:val="center"/>
        </w:trPr>
        <w:tc>
          <w:tcPr>
            <w:tcW w:w="1730" w:type="dxa"/>
            <w:tcBorders>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销售</w:t>
            </w:r>
            <w:r>
              <w:rPr>
                <w:rFonts w:ascii="仿宋" w:eastAsia="仿宋" w:hAnsi="仿宋"/>
                <w:bCs/>
                <w:szCs w:val="21"/>
              </w:rPr>
              <w:t>对象</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个人投资</w:t>
            </w:r>
            <w:r>
              <w:rPr>
                <w:rFonts w:ascii="仿宋" w:eastAsia="仿宋" w:hAnsi="仿宋"/>
                <w:bCs/>
                <w:szCs w:val="21"/>
              </w:rPr>
              <w:t>者</w:t>
            </w:r>
            <w:r>
              <w:rPr>
                <w:rFonts w:ascii="仿宋" w:eastAsia="仿宋" w:hAnsi="仿宋" w:hint="eastAsia"/>
                <w:bCs/>
                <w:szCs w:val="21"/>
              </w:rPr>
              <w:t>、</w:t>
            </w:r>
            <w:r>
              <w:rPr>
                <w:rFonts w:ascii="仿宋" w:eastAsia="仿宋" w:hAnsi="仿宋"/>
                <w:bCs/>
                <w:szCs w:val="21"/>
              </w:rPr>
              <w:t>机构投资者</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适合投资者</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jc w:val="left"/>
              <w:rPr>
                <w:rFonts w:ascii="仿宋" w:eastAsia="仿宋" w:hAnsi="仿宋"/>
                <w:bCs/>
                <w:szCs w:val="21"/>
              </w:rPr>
            </w:pPr>
            <w:r>
              <w:rPr>
                <w:rFonts w:ascii="仿宋" w:eastAsia="仿宋" w:hAnsi="仿宋" w:hint="eastAsia"/>
                <w:bCs/>
                <w:szCs w:val="21"/>
              </w:rPr>
              <w:t>本理财产品</w:t>
            </w:r>
            <w:r>
              <w:rPr>
                <w:rFonts w:ascii="仿宋" w:eastAsia="仿宋" w:hAnsi="仿宋"/>
                <w:bCs/>
                <w:szCs w:val="21"/>
              </w:rPr>
              <w:t>面向不特定社会公众销售，经</w:t>
            </w:r>
            <w:r>
              <w:rPr>
                <w:rFonts w:ascii="仿宋" w:eastAsia="仿宋" w:hAnsi="仿宋" w:hint="eastAsia"/>
                <w:bCs/>
                <w:szCs w:val="21"/>
              </w:rPr>
              <w:t>华夏理财</w:t>
            </w:r>
            <w:r>
              <w:rPr>
                <w:rFonts w:ascii="仿宋" w:eastAsia="仿宋" w:hAnsi="仿宋"/>
                <w:bCs/>
                <w:szCs w:val="21"/>
              </w:rPr>
              <w:t>风险评估评定为</w:t>
            </w:r>
            <w:r w:rsidRPr="00BE7E09">
              <w:rPr>
                <w:rFonts w:ascii="仿宋" w:eastAsia="仿宋" w:hAnsi="仿宋" w:hint="eastAsia"/>
                <w:bCs/>
                <w:szCs w:val="21"/>
                <w:u w:val="single"/>
              </w:rPr>
              <w:t xml:space="preserve"> </w:t>
            </w:r>
            <w:r w:rsidRPr="00BE7E09">
              <w:rPr>
                <w:rFonts w:ascii="仿宋" w:eastAsia="仿宋" w:hAnsi="仿宋" w:hint="eastAsia"/>
                <w:bCs/>
                <w:color w:val="000000"/>
                <w:szCs w:val="21"/>
                <w:u w:val="single"/>
              </w:rPr>
              <w:t xml:space="preserve">CR2（稳健型）、CR3（平衡型）、CR4（进取型）、CR5（激进型） </w:t>
            </w:r>
            <w:r>
              <w:rPr>
                <w:rFonts w:ascii="仿宋" w:eastAsia="仿宋" w:hAnsi="仿宋" w:hint="eastAsia"/>
                <w:bCs/>
                <w:szCs w:val="21"/>
              </w:rPr>
              <w:t>的个人投资者。</w:t>
            </w:r>
            <w:r>
              <w:rPr>
                <w:rFonts w:ascii="仿宋" w:eastAsia="仿宋" w:hAnsi="仿宋" w:hint="eastAsia"/>
                <w:bCs/>
                <w:color w:val="000000"/>
                <w:szCs w:val="21"/>
              </w:rPr>
              <w:t>客户风险承受能力评级类型分为：CR1（谨慎型）、CR2（稳健型）、CR3（平衡型）、CR4（进取型）、CR5（激进型）</w:t>
            </w:r>
            <w:r>
              <w:rPr>
                <w:rFonts w:ascii="仿宋" w:eastAsia="仿宋" w:hAnsi="仿宋"/>
                <w:bCs/>
                <w:color w:val="000000"/>
                <w:szCs w:val="21"/>
              </w:rPr>
              <w:t>。</w:t>
            </w:r>
          </w:p>
          <w:p w:rsidR="00846FF0" w:rsidRDefault="00846FF0" w:rsidP="00846FF0">
            <w:pPr>
              <w:adjustRightInd w:val="0"/>
              <w:snapToGrid w:val="0"/>
              <w:spacing w:line="240" w:lineRule="atLeast"/>
              <w:ind w:firstLineChars="200" w:firstLine="420"/>
              <w:jc w:val="left"/>
              <w:rPr>
                <w:rFonts w:ascii="仿宋" w:eastAsia="仿宋" w:hAnsi="仿宋"/>
                <w:bCs/>
                <w:szCs w:val="21"/>
              </w:rPr>
            </w:pPr>
            <w:r>
              <w:rPr>
                <w:rFonts w:ascii="仿宋" w:eastAsia="仿宋" w:hAnsi="仿宋" w:hint="eastAsia"/>
                <w:bCs/>
                <w:szCs w:val="21"/>
              </w:rPr>
              <w:t>本理财产品</w:t>
            </w:r>
            <w:r>
              <w:rPr>
                <w:rFonts w:ascii="仿宋" w:eastAsia="仿宋" w:hAnsi="仿宋"/>
                <w:bCs/>
                <w:szCs w:val="21"/>
              </w:rPr>
              <w:t>面向不特定社会公众销售</w:t>
            </w:r>
            <w:r>
              <w:rPr>
                <w:rFonts w:ascii="仿宋" w:eastAsia="仿宋" w:hAnsi="仿宋" w:hint="eastAsia"/>
                <w:bCs/>
                <w:szCs w:val="21"/>
              </w:rPr>
              <w:t>，包括</w:t>
            </w:r>
            <w:r>
              <w:rPr>
                <w:rFonts w:ascii="仿宋" w:eastAsia="仿宋" w:hAnsi="仿宋"/>
                <w:bCs/>
                <w:szCs w:val="21"/>
              </w:rPr>
              <w:t>法人</w:t>
            </w:r>
            <w:r>
              <w:rPr>
                <w:rFonts w:ascii="仿宋" w:eastAsia="仿宋" w:hAnsi="仿宋" w:hint="eastAsia"/>
                <w:bCs/>
                <w:szCs w:val="21"/>
              </w:rPr>
              <w:t>或</w:t>
            </w:r>
            <w:r>
              <w:rPr>
                <w:rFonts w:ascii="仿宋" w:eastAsia="仿宋" w:hAnsi="仿宋"/>
                <w:bCs/>
                <w:szCs w:val="21"/>
              </w:rPr>
              <w:t>依法成立的其他组织。</w:t>
            </w:r>
          </w:p>
          <w:p w:rsidR="00846FF0" w:rsidRDefault="00846FF0" w:rsidP="00846FF0">
            <w:pPr>
              <w:adjustRightInd w:val="0"/>
              <w:snapToGrid w:val="0"/>
              <w:spacing w:line="240" w:lineRule="atLeast"/>
              <w:ind w:firstLineChars="200" w:firstLine="420"/>
              <w:rPr>
                <w:rFonts w:ascii="仿宋" w:eastAsia="仿宋" w:hAnsi="仿宋"/>
                <w:bCs/>
                <w:color w:val="000000"/>
                <w:szCs w:val="21"/>
              </w:rPr>
            </w:pPr>
            <w:r>
              <w:rPr>
                <w:rFonts w:ascii="仿宋" w:eastAsia="仿宋" w:hAnsi="仿宋" w:hint="eastAsia"/>
                <w:bCs/>
                <w:szCs w:val="21"/>
              </w:rPr>
              <w:t>通过代销机构购买的，适合投资者及投资者风险承受能力评估结果以代销机构规定为准</w:t>
            </w:r>
            <w:r>
              <w:rPr>
                <w:rFonts w:ascii="仿宋" w:eastAsia="仿宋" w:hAnsi="仿宋"/>
                <w:bCs/>
                <w:szCs w:val="21"/>
              </w:rPr>
              <w:t>。</w:t>
            </w:r>
            <w:r>
              <w:rPr>
                <w:rFonts w:ascii="仿宋" w:eastAsia="仿宋" w:hAnsi="仿宋" w:hint="eastAsia"/>
                <w:b/>
                <w:bCs/>
                <w:color w:val="000000"/>
                <w:szCs w:val="21"/>
              </w:rPr>
              <w:t>华夏理财/代销机构根据</w:t>
            </w:r>
            <w:proofErr w:type="gramStart"/>
            <w:r>
              <w:rPr>
                <w:rFonts w:ascii="仿宋" w:eastAsia="仿宋" w:hAnsi="仿宋" w:hint="eastAsia"/>
                <w:b/>
                <w:bCs/>
                <w:color w:val="000000"/>
                <w:szCs w:val="21"/>
              </w:rPr>
              <w:t>非机构</w:t>
            </w:r>
            <w:proofErr w:type="gramEnd"/>
            <w:r>
              <w:rPr>
                <w:rFonts w:ascii="仿宋" w:eastAsia="仿宋" w:hAnsi="仿宋" w:hint="eastAsia"/>
                <w:b/>
                <w:bCs/>
                <w:color w:val="000000"/>
                <w:szCs w:val="21"/>
              </w:rPr>
              <w:t>投资者自身提供的信息</w:t>
            </w:r>
            <w:proofErr w:type="gramStart"/>
            <w:r>
              <w:rPr>
                <w:rFonts w:ascii="仿宋" w:eastAsia="仿宋" w:hAnsi="仿宋" w:hint="eastAsia"/>
                <w:b/>
                <w:bCs/>
                <w:color w:val="000000"/>
                <w:szCs w:val="21"/>
              </w:rPr>
              <w:t>评估非机构</w:t>
            </w:r>
            <w:proofErr w:type="gramEnd"/>
            <w:r>
              <w:rPr>
                <w:rFonts w:ascii="仿宋" w:eastAsia="仿宋" w:hAnsi="仿宋" w:hint="eastAsia"/>
                <w:b/>
                <w:bCs/>
                <w:color w:val="000000"/>
                <w:szCs w:val="21"/>
              </w:rPr>
              <w:t>投资者风险承受能力，因</w:t>
            </w:r>
            <w:proofErr w:type="gramStart"/>
            <w:r>
              <w:rPr>
                <w:rFonts w:ascii="仿宋" w:eastAsia="仿宋" w:hAnsi="仿宋" w:hint="eastAsia"/>
                <w:b/>
                <w:bCs/>
                <w:color w:val="000000"/>
                <w:szCs w:val="21"/>
              </w:rPr>
              <w:t>非机构</w:t>
            </w:r>
            <w:proofErr w:type="gramEnd"/>
            <w:r>
              <w:rPr>
                <w:rFonts w:ascii="仿宋" w:eastAsia="仿宋" w:hAnsi="仿宋" w:hint="eastAsia"/>
                <w:b/>
                <w:bCs/>
                <w:color w:val="000000"/>
                <w:szCs w:val="21"/>
              </w:rPr>
              <w:t>投资者提供信息不准确或不完整，导致其购买与自己风险承受能力不匹配的理财产品的</w:t>
            </w:r>
            <w:r>
              <w:rPr>
                <w:rFonts w:ascii="仿宋" w:eastAsia="仿宋" w:hAnsi="仿宋"/>
                <w:b/>
                <w:bCs/>
                <w:color w:val="000000"/>
                <w:szCs w:val="21"/>
              </w:rPr>
              <w:t>责任和风险由</w:t>
            </w:r>
            <w:r>
              <w:rPr>
                <w:rFonts w:ascii="仿宋" w:eastAsia="仿宋" w:hAnsi="仿宋" w:hint="eastAsia"/>
                <w:b/>
                <w:bCs/>
                <w:color w:val="000000"/>
                <w:szCs w:val="21"/>
              </w:rPr>
              <w:t>投资者</w:t>
            </w:r>
            <w:r>
              <w:rPr>
                <w:rFonts w:ascii="仿宋" w:eastAsia="仿宋" w:hAnsi="仿宋"/>
                <w:b/>
                <w:bCs/>
                <w:color w:val="000000"/>
                <w:szCs w:val="21"/>
              </w:rPr>
              <w:t>承担</w:t>
            </w:r>
            <w:r>
              <w:rPr>
                <w:rFonts w:ascii="仿宋" w:eastAsia="仿宋" w:hAnsi="仿宋" w:hint="eastAsia"/>
                <w:b/>
                <w:bCs/>
                <w:color w:val="000000"/>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业绩比较基准</w:t>
            </w:r>
          </w:p>
        </w:tc>
        <w:tc>
          <w:tcPr>
            <w:tcW w:w="7404" w:type="dxa"/>
            <w:tcBorders>
              <w:top w:val="single" w:sz="4" w:space="0" w:color="auto"/>
              <w:left w:val="single" w:sz="4" w:space="0" w:color="auto"/>
              <w:bottom w:val="single" w:sz="4" w:space="0" w:color="auto"/>
              <w:right w:val="single" w:sz="4" w:space="0" w:color="auto"/>
            </w:tcBorders>
            <w:vAlign w:val="center"/>
          </w:tcPr>
          <w:p w:rsidR="006F7AD4" w:rsidRPr="006F7AD4" w:rsidRDefault="00835BC2" w:rsidP="006F7AD4">
            <w:pPr>
              <w:adjustRightInd w:val="0"/>
              <w:snapToGrid w:val="0"/>
              <w:spacing w:line="240" w:lineRule="atLeast"/>
              <w:ind w:firstLineChars="200" w:firstLine="420"/>
              <w:rPr>
                <w:rFonts w:ascii="仿宋" w:eastAsia="仿宋" w:hAnsi="仿宋" w:cs="Cambria" w:hint="eastAsia"/>
                <w:bCs/>
                <w:szCs w:val="21"/>
              </w:rPr>
            </w:pPr>
            <w:r w:rsidRPr="00C9259E">
              <w:rPr>
                <w:rFonts w:ascii="仿宋" w:eastAsia="仿宋" w:hAnsi="仿宋" w:cs="Cambria" w:hint="eastAsia"/>
                <w:bCs/>
                <w:szCs w:val="21"/>
              </w:rPr>
              <w:t>A份额：业绩</w:t>
            </w:r>
            <w:r w:rsidR="006E3A7D">
              <w:rPr>
                <w:rFonts w:ascii="仿宋" w:eastAsia="仿宋" w:hAnsi="仿宋" w:hint="eastAsia"/>
                <w:bCs/>
                <w:szCs w:val="21"/>
              </w:rPr>
              <w:t>比较</w:t>
            </w:r>
            <w:r w:rsidRPr="00C9259E">
              <w:rPr>
                <w:rFonts w:ascii="仿宋" w:eastAsia="仿宋" w:hAnsi="仿宋" w:cs="Cambria" w:hint="eastAsia"/>
                <w:bCs/>
                <w:szCs w:val="21"/>
              </w:rPr>
              <w:t>基准为</w:t>
            </w:r>
            <w:r w:rsidR="00AB4999" w:rsidRPr="00AB4999">
              <w:rPr>
                <w:rFonts w:ascii="仿宋" w:eastAsia="仿宋" w:hAnsi="仿宋" w:cs="Cambria"/>
                <w:bCs/>
                <w:szCs w:val="21"/>
              </w:rPr>
              <w:t>2.85%-3.25%</w:t>
            </w:r>
            <w:r w:rsidRPr="00C9259E">
              <w:rPr>
                <w:rFonts w:ascii="仿宋" w:eastAsia="仿宋" w:hAnsi="仿宋" w:cs="Cambria" w:hint="eastAsia"/>
                <w:bCs/>
                <w:szCs w:val="21"/>
              </w:rPr>
              <w:t>（年化）；B份额：业绩</w:t>
            </w:r>
            <w:r w:rsidR="006E3A7D">
              <w:rPr>
                <w:rFonts w:ascii="仿宋" w:eastAsia="仿宋" w:hAnsi="仿宋" w:hint="eastAsia"/>
                <w:bCs/>
                <w:szCs w:val="21"/>
              </w:rPr>
              <w:t>比较</w:t>
            </w:r>
            <w:r w:rsidRPr="00C9259E">
              <w:rPr>
                <w:rFonts w:ascii="仿宋" w:eastAsia="仿宋" w:hAnsi="仿宋" w:cs="Cambria" w:hint="eastAsia"/>
                <w:bCs/>
                <w:szCs w:val="21"/>
              </w:rPr>
              <w:t>基准为</w:t>
            </w:r>
            <w:r w:rsidR="00AB4999" w:rsidRPr="00AB4999">
              <w:rPr>
                <w:rFonts w:ascii="仿宋" w:eastAsia="仿宋" w:hAnsi="仿宋" w:cs="Cambria"/>
                <w:bCs/>
                <w:szCs w:val="21"/>
              </w:rPr>
              <w:t>2.95%-3.35%</w:t>
            </w:r>
            <w:r w:rsidRPr="00C9259E">
              <w:rPr>
                <w:rFonts w:ascii="仿宋" w:eastAsia="仿宋" w:hAnsi="仿宋" w:cs="Cambria" w:hint="eastAsia"/>
                <w:bCs/>
                <w:szCs w:val="21"/>
              </w:rPr>
              <w:t>（年化）</w:t>
            </w:r>
            <w:r w:rsidR="00D808E5" w:rsidRPr="00C9259E">
              <w:rPr>
                <w:rFonts w:ascii="仿宋" w:eastAsia="仿宋" w:hAnsi="仿宋" w:cs="Cambria" w:hint="eastAsia"/>
                <w:bCs/>
                <w:szCs w:val="21"/>
              </w:rPr>
              <w:t>；</w:t>
            </w:r>
            <w:r w:rsidR="00D808E5">
              <w:rPr>
                <w:rFonts w:ascii="仿宋" w:eastAsia="仿宋" w:hAnsi="仿宋" w:cs="Cambria"/>
                <w:bCs/>
                <w:szCs w:val="21"/>
              </w:rPr>
              <w:t>C</w:t>
            </w:r>
            <w:r w:rsidR="00D808E5" w:rsidRPr="00C9259E">
              <w:rPr>
                <w:rFonts w:ascii="仿宋" w:eastAsia="仿宋" w:hAnsi="仿宋" w:cs="Cambria" w:hint="eastAsia"/>
                <w:bCs/>
                <w:szCs w:val="21"/>
              </w:rPr>
              <w:t>份额：业绩</w:t>
            </w:r>
            <w:r w:rsidR="00D808E5">
              <w:rPr>
                <w:rFonts w:ascii="仿宋" w:eastAsia="仿宋" w:hAnsi="仿宋" w:hint="eastAsia"/>
                <w:bCs/>
                <w:szCs w:val="21"/>
              </w:rPr>
              <w:t>比较</w:t>
            </w:r>
            <w:r w:rsidR="00D808E5" w:rsidRPr="00C9259E">
              <w:rPr>
                <w:rFonts w:ascii="仿宋" w:eastAsia="仿宋" w:hAnsi="仿宋" w:cs="Cambria" w:hint="eastAsia"/>
                <w:bCs/>
                <w:szCs w:val="21"/>
              </w:rPr>
              <w:t>基准为</w:t>
            </w:r>
            <w:r w:rsidR="00AB4999" w:rsidRPr="00AB4999">
              <w:rPr>
                <w:rFonts w:ascii="仿宋" w:eastAsia="仿宋" w:hAnsi="仿宋" w:cs="Cambria"/>
                <w:bCs/>
                <w:szCs w:val="21"/>
              </w:rPr>
              <w:t>3.00%-3.40%</w:t>
            </w:r>
            <w:r w:rsidR="00D808E5" w:rsidRPr="00C9259E">
              <w:rPr>
                <w:rFonts w:ascii="仿宋" w:eastAsia="仿宋" w:hAnsi="仿宋" w:cs="Cambria" w:hint="eastAsia"/>
                <w:bCs/>
                <w:szCs w:val="21"/>
              </w:rPr>
              <w:t>（年化）</w:t>
            </w:r>
            <w:r>
              <w:rPr>
                <w:rFonts w:ascii="仿宋" w:eastAsia="仿宋" w:hAnsi="仿宋" w:cs="Cambria" w:hint="eastAsia"/>
                <w:bCs/>
                <w:szCs w:val="21"/>
              </w:rPr>
              <w:t>。</w:t>
            </w:r>
            <w:r w:rsidR="006F7AD4" w:rsidRPr="006F7AD4">
              <w:rPr>
                <w:rFonts w:ascii="仿宋" w:eastAsia="仿宋" w:hAnsi="仿宋" w:cs="Cambria" w:hint="eastAsia"/>
                <w:bCs/>
                <w:szCs w:val="21"/>
              </w:rPr>
              <w:t>以产品投资利率债</w:t>
            </w:r>
            <w:proofErr w:type="gramStart"/>
            <w:r w:rsidR="006F7AD4" w:rsidRPr="006F7AD4">
              <w:rPr>
                <w:rFonts w:ascii="仿宋" w:eastAsia="仿宋" w:hAnsi="仿宋" w:cs="Cambria" w:hint="eastAsia"/>
                <w:bCs/>
                <w:szCs w:val="21"/>
              </w:rPr>
              <w:t>仓位</w:t>
            </w:r>
            <w:proofErr w:type="gramEnd"/>
            <w:r w:rsidR="006F7AD4" w:rsidRPr="006F7AD4">
              <w:rPr>
                <w:rFonts w:ascii="仿宋" w:eastAsia="仿宋" w:hAnsi="仿宋" w:cs="Cambria" w:hint="eastAsia"/>
                <w:bCs/>
                <w:szCs w:val="21"/>
              </w:rPr>
              <w:t>5%-10%，信用债</w:t>
            </w:r>
            <w:proofErr w:type="gramStart"/>
            <w:r w:rsidR="006F7AD4" w:rsidRPr="006F7AD4">
              <w:rPr>
                <w:rFonts w:ascii="仿宋" w:eastAsia="仿宋" w:hAnsi="仿宋" w:cs="Cambria" w:hint="eastAsia"/>
                <w:bCs/>
                <w:szCs w:val="21"/>
              </w:rPr>
              <w:t>仓位</w:t>
            </w:r>
            <w:proofErr w:type="gramEnd"/>
            <w:r w:rsidR="006F7AD4" w:rsidRPr="006F7AD4">
              <w:rPr>
                <w:rFonts w:ascii="仿宋" w:eastAsia="仿宋" w:hAnsi="仿宋" w:cs="Cambria" w:hint="eastAsia"/>
                <w:bCs/>
                <w:szCs w:val="21"/>
              </w:rPr>
              <w:t>95%-100%，组合杠杆率100%-110%为例，参考中债-国债总财富指数、中债-</w:t>
            </w:r>
            <w:proofErr w:type="gramStart"/>
            <w:r w:rsidR="006F7AD4" w:rsidRPr="006F7AD4">
              <w:rPr>
                <w:rFonts w:ascii="仿宋" w:eastAsia="仿宋" w:hAnsi="仿宋" w:cs="Cambria" w:hint="eastAsia"/>
                <w:bCs/>
                <w:szCs w:val="21"/>
              </w:rPr>
              <w:t>信用债总财富</w:t>
            </w:r>
            <w:proofErr w:type="gramEnd"/>
            <w:r w:rsidR="006F7AD4" w:rsidRPr="006F7AD4">
              <w:rPr>
                <w:rFonts w:ascii="仿宋" w:eastAsia="仿宋" w:hAnsi="仿宋" w:cs="Cambria" w:hint="eastAsia"/>
                <w:bCs/>
                <w:szCs w:val="21"/>
              </w:rPr>
              <w:t>指数，结合产品投资策略并扣除各项费用后，综合测算得出上述业绩比较基准。测算示例仅供参考，具体资产投资比例可根据各类资产的收益水平、流动性特征、信用风险等因素动态调整。</w:t>
            </w:r>
          </w:p>
          <w:p w:rsidR="00846FF0" w:rsidRDefault="006F7AD4" w:rsidP="00846FF0">
            <w:pPr>
              <w:adjustRightInd w:val="0"/>
              <w:snapToGrid w:val="0"/>
              <w:spacing w:line="240" w:lineRule="atLeast"/>
              <w:ind w:firstLineChars="200" w:firstLine="420"/>
              <w:rPr>
                <w:rFonts w:ascii="仿宋" w:eastAsia="仿宋" w:hAnsi="仿宋"/>
                <w:bCs/>
                <w:color w:val="000000"/>
                <w:szCs w:val="21"/>
              </w:rPr>
            </w:pPr>
            <w:r w:rsidRPr="006F7AD4">
              <w:rPr>
                <w:rFonts w:ascii="仿宋" w:eastAsia="仿宋" w:hAnsi="仿宋" w:cs="Cambria" w:hint="eastAsia"/>
                <w:bCs/>
                <w:szCs w:val="21"/>
              </w:rPr>
              <w:t>业绩比较基准是管理人基于产品性质、投资策略、过往经验等因素对产品设定的投资目标，不是预期收益率，不代表产品的未来表现和实际收益，不构成对产品收益的承诺。</w:t>
            </w:r>
          </w:p>
          <w:p w:rsidR="00846FF0" w:rsidRDefault="00846FF0" w:rsidP="00846FF0">
            <w:pPr>
              <w:adjustRightInd w:val="0"/>
              <w:snapToGrid w:val="0"/>
              <w:spacing w:line="240" w:lineRule="atLeast"/>
              <w:ind w:firstLineChars="200" w:firstLine="420"/>
              <w:rPr>
                <w:rFonts w:ascii="仿宋" w:eastAsia="仿宋" w:hAnsi="仿宋"/>
                <w:bCs/>
                <w:color w:val="000000"/>
                <w:szCs w:val="21"/>
              </w:rPr>
            </w:pPr>
            <w:r>
              <w:rPr>
                <w:rFonts w:ascii="仿宋" w:eastAsia="仿宋" w:hAnsi="仿宋" w:hint="eastAsia"/>
                <w:bCs/>
                <w:color w:val="000000"/>
                <w:szCs w:val="21"/>
              </w:rPr>
              <w:t>华夏理财有权根据市场情况及产品运作情况调整业绩比较基准，</w:t>
            </w:r>
            <w:r>
              <w:rPr>
                <w:rFonts w:ascii="仿宋" w:eastAsia="仿宋" w:hAnsi="仿宋" w:hint="eastAsia"/>
                <w:bCs/>
                <w:szCs w:val="21"/>
              </w:rPr>
              <w:t>并至少于新业绩比较基准启用前3个工作日公告</w:t>
            </w:r>
            <w:r>
              <w:rPr>
                <w:rFonts w:ascii="仿宋" w:eastAsia="仿宋" w:hAnsi="仿宋" w:hint="eastAsia"/>
                <w:bCs/>
                <w:color w:val="000000"/>
                <w:szCs w:val="21"/>
              </w:rPr>
              <w:t>。</w:t>
            </w:r>
          </w:p>
          <w:p w:rsidR="00846FF0" w:rsidRDefault="00846FF0" w:rsidP="00846FF0">
            <w:pPr>
              <w:adjustRightInd w:val="0"/>
              <w:snapToGrid w:val="0"/>
              <w:spacing w:line="240" w:lineRule="atLeast"/>
              <w:ind w:firstLineChars="200" w:firstLine="422"/>
              <w:rPr>
                <w:rFonts w:ascii="仿宋" w:eastAsia="仿宋" w:hAnsi="仿宋"/>
                <w:b/>
                <w:bCs/>
                <w:szCs w:val="21"/>
              </w:rPr>
            </w:pPr>
            <w:r>
              <w:rPr>
                <w:rFonts w:ascii="仿宋" w:eastAsia="仿宋" w:hAnsi="仿宋" w:hint="eastAsia"/>
                <w:b/>
                <w:bCs/>
                <w:szCs w:val="21"/>
              </w:rPr>
              <w:t>1.本理财产品为净值型产品，其业绩表现将随市场波动，具有不确定性。</w:t>
            </w:r>
          </w:p>
          <w:p w:rsidR="00846FF0" w:rsidRDefault="00846FF0" w:rsidP="00846FF0">
            <w:pPr>
              <w:adjustRightInd w:val="0"/>
              <w:snapToGrid w:val="0"/>
              <w:spacing w:line="240" w:lineRule="atLeast"/>
              <w:ind w:firstLineChars="200" w:firstLine="422"/>
              <w:rPr>
                <w:rFonts w:ascii="仿宋" w:eastAsia="仿宋" w:hAnsi="仿宋"/>
                <w:b/>
                <w:bCs/>
                <w:szCs w:val="21"/>
              </w:rPr>
            </w:pPr>
            <w:r>
              <w:rPr>
                <w:rFonts w:ascii="仿宋" w:eastAsia="仿宋" w:hAnsi="仿宋" w:hint="eastAsia"/>
                <w:b/>
                <w:bCs/>
                <w:szCs w:val="21"/>
              </w:rPr>
              <w:t>2.</w:t>
            </w:r>
            <w:proofErr w:type="gramStart"/>
            <w:r>
              <w:rPr>
                <w:rFonts w:ascii="仿宋" w:eastAsia="仿宋" w:hAnsi="仿宋" w:hint="eastAsia"/>
                <w:b/>
                <w:bCs/>
                <w:szCs w:val="21"/>
              </w:rPr>
              <w:t>本业绩</w:t>
            </w:r>
            <w:proofErr w:type="gramEnd"/>
            <w:r>
              <w:rPr>
                <w:rFonts w:ascii="仿宋" w:eastAsia="仿宋" w:hAnsi="仿宋" w:hint="eastAsia"/>
                <w:b/>
                <w:bCs/>
                <w:szCs w:val="21"/>
              </w:rPr>
              <w:t>比较基准不构成华夏理财/代销机构对本理财产品的任何收益承诺。</w:t>
            </w:r>
          </w:p>
          <w:p w:rsidR="00846FF0" w:rsidRDefault="00846FF0" w:rsidP="00846FF0">
            <w:pPr>
              <w:adjustRightInd w:val="0"/>
              <w:snapToGrid w:val="0"/>
              <w:spacing w:line="240" w:lineRule="atLeast"/>
              <w:ind w:firstLineChars="200" w:firstLine="422"/>
              <w:rPr>
                <w:rFonts w:ascii="仿宋" w:eastAsia="仿宋" w:hAnsi="仿宋"/>
                <w:b/>
                <w:bCs/>
                <w:szCs w:val="21"/>
              </w:rPr>
            </w:pPr>
            <w:r>
              <w:rPr>
                <w:rFonts w:ascii="仿宋" w:eastAsia="仿宋" w:hAnsi="仿宋" w:hint="eastAsia"/>
                <w:b/>
                <w:bCs/>
                <w:szCs w:val="21"/>
              </w:rPr>
              <w:t>3.理财产品过往业绩不代表其未来表现，不等于理财产品实际收益，投资须谨慎。</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募集</w:t>
            </w:r>
            <w:r>
              <w:rPr>
                <w:rFonts w:ascii="仿宋" w:eastAsia="仿宋" w:hAnsi="仿宋"/>
                <w:bCs/>
                <w:szCs w:val="21"/>
              </w:rPr>
              <w:t>期</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3723AE"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2021</w:t>
            </w:r>
            <w:r>
              <w:rPr>
                <w:rFonts w:ascii="仿宋" w:eastAsia="仿宋" w:hAnsi="仿宋"/>
                <w:bCs/>
                <w:szCs w:val="21"/>
              </w:rPr>
              <w:t>年</w:t>
            </w:r>
            <w:r>
              <w:rPr>
                <w:rFonts w:ascii="仿宋" w:eastAsia="仿宋" w:hAnsi="仿宋" w:hint="eastAsia"/>
                <w:bCs/>
                <w:szCs w:val="21"/>
              </w:rPr>
              <w:t>10月12</w:t>
            </w:r>
            <w:r>
              <w:rPr>
                <w:rFonts w:ascii="仿宋" w:eastAsia="仿宋" w:hAnsi="仿宋"/>
                <w:bCs/>
                <w:szCs w:val="21"/>
              </w:rPr>
              <w:t>日－</w:t>
            </w:r>
            <w:r>
              <w:rPr>
                <w:rFonts w:ascii="仿宋" w:eastAsia="仿宋" w:hAnsi="仿宋" w:hint="eastAsia"/>
                <w:bCs/>
                <w:szCs w:val="21"/>
              </w:rPr>
              <w:t>2021</w:t>
            </w:r>
            <w:r>
              <w:rPr>
                <w:rFonts w:ascii="仿宋" w:eastAsia="仿宋" w:hAnsi="仿宋"/>
                <w:bCs/>
                <w:szCs w:val="21"/>
              </w:rPr>
              <w:t>年</w:t>
            </w:r>
            <w:r>
              <w:rPr>
                <w:rFonts w:ascii="仿宋" w:eastAsia="仿宋" w:hAnsi="仿宋" w:hint="eastAsia"/>
                <w:bCs/>
                <w:szCs w:val="21"/>
              </w:rPr>
              <w:t>10</w:t>
            </w:r>
            <w:r>
              <w:rPr>
                <w:rFonts w:ascii="仿宋" w:eastAsia="仿宋" w:hAnsi="仿宋"/>
                <w:bCs/>
                <w:szCs w:val="21"/>
              </w:rPr>
              <w:t>月</w:t>
            </w:r>
            <w:r>
              <w:rPr>
                <w:rFonts w:ascii="仿宋" w:eastAsia="仿宋" w:hAnsi="仿宋" w:hint="eastAsia"/>
                <w:bCs/>
                <w:szCs w:val="21"/>
              </w:rPr>
              <w:t>14日</w:t>
            </w:r>
            <w:r w:rsidR="00846FF0">
              <w:rPr>
                <w:rFonts w:ascii="仿宋" w:eastAsia="仿宋" w:hAnsi="仿宋"/>
                <w:bCs/>
                <w:szCs w:val="21"/>
              </w:rPr>
              <w:t>（含）</w:t>
            </w:r>
            <w:r w:rsidR="00846FF0">
              <w:rPr>
                <w:rFonts w:ascii="仿宋" w:eastAsia="仿宋" w:hAnsi="仿宋" w:hint="eastAsia"/>
                <w:bCs/>
                <w:szCs w:val="21"/>
              </w:rPr>
              <w:t>（根据市场情况，华夏理财有权提前结束认购或调整相关日期，募集期最后一日认购截止时点如与华夏理财不一致则以各代销机构规定为准，其中华夏银行/华夏理财17:30（含）后不可认购。</w:t>
            </w:r>
            <w:r w:rsidR="00846FF0">
              <w:rPr>
                <w:rFonts w:ascii="仿宋" w:eastAsia="仿宋" w:hAnsi="仿宋"/>
                <w:bCs/>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成立日</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3723AE"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2021</w:t>
            </w:r>
            <w:r>
              <w:rPr>
                <w:rFonts w:ascii="仿宋" w:eastAsia="仿宋" w:hAnsi="仿宋"/>
                <w:bCs/>
                <w:szCs w:val="21"/>
              </w:rPr>
              <w:t>年</w:t>
            </w:r>
            <w:r>
              <w:rPr>
                <w:rFonts w:ascii="仿宋" w:eastAsia="仿宋" w:hAnsi="仿宋" w:hint="eastAsia"/>
                <w:bCs/>
                <w:szCs w:val="21"/>
              </w:rPr>
              <w:t>10</w:t>
            </w:r>
            <w:r>
              <w:rPr>
                <w:rFonts w:ascii="仿宋" w:eastAsia="仿宋" w:hAnsi="仿宋"/>
                <w:bCs/>
                <w:szCs w:val="21"/>
              </w:rPr>
              <w:t>月</w:t>
            </w:r>
            <w:r>
              <w:rPr>
                <w:rFonts w:ascii="仿宋" w:eastAsia="仿宋" w:hAnsi="仿宋" w:hint="eastAsia"/>
                <w:bCs/>
                <w:szCs w:val="21"/>
              </w:rPr>
              <w:t>15</w:t>
            </w:r>
            <w:r>
              <w:rPr>
                <w:rFonts w:ascii="仿宋" w:eastAsia="仿宋" w:hAnsi="仿宋"/>
                <w:bCs/>
                <w:szCs w:val="21"/>
              </w:rPr>
              <w:t>日</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封闭期</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right="-44" w:firstLineChars="200" w:firstLine="420"/>
              <w:jc w:val="left"/>
              <w:rPr>
                <w:rFonts w:ascii="仿宋" w:eastAsia="仿宋" w:hAnsi="仿宋"/>
                <w:bCs/>
                <w:szCs w:val="21"/>
              </w:rPr>
            </w:pPr>
            <w:r>
              <w:rPr>
                <w:rFonts w:ascii="仿宋" w:eastAsia="仿宋" w:hAnsi="仿宋" w:hint="eastAsia"/>
                <w:bCs/>
                <w:szCs w:val="21"/>
              </w:rPr>
              <w:t>产品成立日至产品首个</w:t>
            </w:r>
            <w:r>
              <w:rPr>
                <w:rFonts w:ascii="仿宋" w:eastAsia="仿宋" w:hAnsi="仿宋"/>
                <w:bCs/>
                <w:szCs w:val="21"/>
              </w:rPr>
              <w:t>开放</w:t>
            </w:r>
            <w:r>
              <w:rPr>
                <w:rFonts w:ascii="仿宋" w:eastAsia="仿宋" w:hAnsi="仿宋" w:hint="eastAsia"/>
                <w:bCs/>
                <w:szCs w:val="21"/>
              </w:rPr>
              <w:t>期</w:t>
            </w:r>
            <w:r>
              <w:rPr>
                <w:rFonts w:ascii="仿宋" w:eastAsia="仿宋" w:hAnsi="仿宋"/>
                <w:bCs/>
                <w:szCs w:val="21"/>
              </w:rPr>
              <w:t>的</w:t>
            </w:r>
            <w:r>
              <w:rPr>
                <w:rFonts w:ascii="仿宋" w:eastAsia="仿宋" w:hAnsi="仿宋" w:hint="eastAsia"/>
                <w:bCs/>
                <w:szCs w:val="21"/>
              </w:rPr>
              <w:t>前一</w:t>
            </w:r>
            <w:r>
              <w:rPr>
                <w:rFonts w:ascii="仿宋" w:eastAsia="仿宋" w:hAnsi="仿宋"/>
                <w:bCs/>
                <w:szCs w:val="21"/>
              </w:rPr>
              <w:t>日</w:t>
            </w:r>
            <w:r>
              <w:rPr>
                <w:rFonts w:ascii="仿宋" w:eastAsia="仿宋" w:hAnsi="仿宋" w:hint="eastAsia"/>
                <w:bCs/>
                <w:szCs w:val="21"/>
              </w:rPr>
              <w:t>、产品</w:t>
            </w:r>
            <w:r>
              <w:rPr>
                <w:rFonts w:ascii="仿宋" w:eastAsia="仿宋" w:hAnsi="仿宋"/>
                <w:bCs/>
                <w:szCs w:val="21"/>
              </w:rPr>
              <w:t>上</w:t>
            </w:r>
            <w:r>
              <w:rPr>
                <w:rFonts w:ascii="仿宋" w:eastAsia="仿宋" w:hAnsi="仿宋" w:hint="eastAsia"/>
                <w:bCs/>
                <w:szCs w:val="21"/>
              </w:rPr>
              <w:t>一</w:t>
            </w:r>
            <w:r>
              <w:rPr>
                <w:rFonts w:ascii="仿宋" w:eastAsia="仿宋" w:hAnsi="仿宋"/>
                <w:bCs/>
                <w:szCs w:val="21"/>
              </w:rPr>
              <w:t>开放</w:t>
            </w:r>
            <w:r>
              <w:rPr>
                <w:rFonts w:ascii="仿宋" w:eastAsia="仿宋" w:hAnsi="仿宋" w:hint="eastAsia"/>
                <w:bCs/>
                <w:szCs w:val="21"/>
              </w:rPr>
              <w:t>期的下一日</w:t>
            </w:r>
            <w:proofErr w:type="gramStart"/>
            <w:r>
              <w:rPr>
                <w:rFonts w:ascii="仿宋" w:eastAsia="仿宋" w:hAnsi="仿宋"/>
                <w:bCs/>
                <w:szCs w:val="21"/>
              </w:rPr>
              <w:t>至</w:t>
            </w:r>
            <w:r>
              <w:rPr>
                <w:rFonts w:ascii="仿宋" w:eastAsia="仿宋" w:hAnsi="仿宋" w:hint="eastAsia"/>
                <w:bCs/>
                <w:szCs w:val="21"/>
              </w:rPr>
              <w:t>产品</w:t>
            </w:r>
            <w:r>
              <w:rPr>
                <w:rFonts w:ascii="仿宋" w:eastAsia="仿宋" w:hAnsi="仿宋"/>
                <w:bCs/>
                <w:szCs w:val="21"/>
              </w:rPr>
              <w:t>下</w:t>
            </w:r>
            <w:proofErr w:type="gramEnd"/>
            <w:r>
              <w:rPr>
                <w:rFonts w:ascii="仿宋" w:eastAsia="仿宋" w:hAnsi="仿宋"/>
                <w:bCs/>
                <w:szCs w:val="21"/>
              </w:rPr>
              <w:t>一开放</w:t>
            </w:r>
            <w:r>
              <w:rPr>
                <w:rFonts w:ascii="仿宋" w:eastAsia="仿宋" w:hAnsi="仿宋" w:hint="eastAsia"/>
                <w:bCs/>
                <w:szCs w:val="21"/>
              </w:rPr>
              <w:t>期</w:t>
            </w:r>
            <w:r>
              <w:rPr>
                <w:rFonts w:ascii="仿宋" w:eastAsia="仿宋" w:hAnsi="仿宋"/>
                <w:bCs/>
                <w:szCs w:val="21"/>
              </w:rPr>
              <w:t>的</w:t>
            </w:r>
            <w:r>
              <w:rPr>
                <w:rFonts w:ascii="仿宋" w:eastAsia="仿宋" w:hAnsi="仿宋" w:hint="eastAsia"/>
                <w:bCs/>
                <w:szCs w:val="21"/>
              </w:rPr>
              <w:t>前一</w:t>
            </w:r>
            <w:r>
              <w:rPr>
                <w:rFonts w:ascii="仿宋" w:eastAsia="仿宋" w:hAnsi="仿宋"/>
                <w:bCs/>
                <w:szCs w:val="21"/>
              </w:rPr>
              <w:t>日、产品最后一个</w:t>
            </w:r>
            <w:r>
              <w:rPr>
                <w:rFonts w:ascii="仿宋" w:eastAsia="仿宋" w:hAnsi="仿宋" w:hint="eastAsia"/>
                <w:bCs/>
                <w:szCs w:val="21"/>
              </w:rPr>
              <w:t>开放期的下一</w:t>
            </w:r>
            <w:r>
              <w:rPr>
                <w:rFonts w:ascii="仿宋" w:eastAsia="仿宋" w:hAnsi="仿宋"/>
                <w:bCs/>
                <w:szCs w:val="21"/>
              </w:rPr>
              <w:t>日</w:t>
            </w:r>
            <w:proofErr w:type="gramStart"/>
            <w:r>
              <w:rPr>
                <w:rFonts w:ascii="仿宋" w:eastAsia="仿宋" w:hAnsi="仿宋"/>
                <w:bCs/>
                <w:szCs w:val="21"/>
              </w:rPr>
              <w:t>至产品</w:t>
            </w:r>
            <w:proofErr w:type="gramEnd"/>
            <w:r>
              <w:rPr>
                <w:rFonts w:ascii="仿宋" w:eastAsia="仿宋" w:hAnsi="仿宋" w:hint="eastAsia"/>
                <w:bCs/>
                <w:szCs w:val="21"/>
              </w:rPr>
              <w:t>到期日</w:t>
            </w:r>
            <w:r>
              <w:rPr>
                <w:rFonts w:ascii="仿宋" w:eastAsia="仿宋" w:hAnsi="仿宋"/>
                <w:bCs/>
                <w:szCs w:val="21"/>
              </w:rPr>
              <w:t>为产品的封闭期</w:t>
            </w:r>
            <w:r>
              <w:rPr>
                <w:rFonts w:ascii="仿宋" w:eastAsia="仿宋" w:hAnsi="仿宋" w:hint="eastAsia"/>
                <w:bCs/>
                <w:szCs w:val="21"/>
              </w:rPr>
              <w:t>。</w:t>
            </w:r>
          </w:p>
          <w:p w:rsidR="00846FF0" w:rsidRDefault="00846FF0" w:rsidP="00846FF0">
            <w:pPr>
              <w:adjustRightInd w:val="0"/>
              <w:snapToGrid w:val="0"/>
              <w:spacing w:line="240" w:lineRule="atLeast"/>
              <w:ind w:firstLineChars="200" w:firstLine="422"/>
              <w:jc w:val="left"/>
              <w:rPr>
                <w:rFonts w:ascii="仿宋" w:eastAsia="仿宋" w:hAnsi="仿宋"/>
                <w:b/>
                <w:bCs/>
                <w:szCs w:val="21"/>
              </w:rPr>
            </w:pPr>
            <w:r>
              <w:rPr>
                <w:rFonts w:ascii="仿宋" w:eastAsia="仿宋" w:hAnsi="仿宋"/>
                <w:b/>
                <w:bCs/>
                <w:szCs w:val="21"/>
              </w:rPr>
              <w:t>封闭期内，除本产品说明书规定情形以外，华夏理财/代销机构不受理投资者任何形式的提前赎回申请。因投资者资金安排不合理，导致其购买与自身流</w:t>
            </w:r>
            <w:r>
              <w:rPr>
                <w:rFonts w:ascii="仿宋" w:eastAsia="仿宋" w:hAnsi="仿宋"/>
                <w:b/>
                <w:bCs/>
                <w:szCs w:val="21"/>
              </w:rPr>
              <w:lastRenderedPageBreak/>
              <w:t>动性需求不匹配的理财产品的责任和风险由投资者承担。</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lastRenderedPageBreak/>
              <w:t>产品存续期限</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color w:val="000000"/>
                <w:szCs w:val="21"/>
              </w:rPr>
              <w:t>本理财产品无特定存续期限（产品实际期限受制于提前终止条款的约定）</w:t>
            </w:r>
            <w:r>
              <w:rPr>
                <w:rFonts w:ascii="仿宋" w:eastAsia="仿宋" w:hAnsi="仿宋" w:hint="eastAsia"/>
                <w:bCs/>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color w:val="000000"/>
                <w:szCs w:val="21"/>
              </w:rPr>
            </w:pPr>
            <w:r>
              <w:rPr>
                <w:rFonts w:ascii="仿宋" w:eastAsia="仿宋" w:hAnsi="仿宋" w:hint="eastAsia"/>
                <w:bCs/>
                <w:color w:val="000000"/>
                <w:szCs w:val="21"/>
              </w:rPr>
              <w:t>发行范围</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color w:val="000000"/>
                <w:szCs w:val="21"/>
              </w:rPr>
            </w:pPr>
            <w:r>
              <w:rPr>
                <w:rFonts w:ascii="仿宋" w:eastAsia="仿宋" w:hAnsi="仿宋" w:hint="eastAsia"/>
                <w:bCs/>
                <w:color w:val="000000"/>
                <w:szCs w:val="21"/>
              </w:rPr>
              <w:t>全国发行</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cs="仿宋" w:hint="eastAsia"/>
                <w:bCs/>
                <w:szCs w:val="21"/>
              </w:rPr>
              <w:t>发行规模下限</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3723AE" w:rsidP="004A7A7E">
            <w:pPr>
              <w:adjustRightInd w:val="0"/>
              <w:snapToGrid w:val="0"/>
              <w:spacing w:line="240" w:lineRule="atLeast"/>
              <w:jc w:val="center"/>
              <w:rPr>
                <w:rFonts w:ascii="仿宋" w:eastAsia="仿宋" w:hAnsi="仿宋"/>
                <w:bCs/>
                <w:szCs w:val="21"/>
              </w:rPr>
            </w:pPr>
            <w:r>
              <w:rPr>
                <w:rFonts w:ascii="仿宋" w:eastAsia="仿宋" w:hAnsi="仿宋" w:hint="eastAsia"/>
                <w:bCs/>
                <w:szCs w:val="21"/>
              </w:rPr>
              <w:t>1000万元</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产品</w:t>
            </w:r>
            <w:r>
              <w:rPr>
                <w:rFonts w:ascii="仿宋" w:eastAsia="仿宋" w:hAnsi="仿宋" w:hint="eastAsia"/>
                <w:bCs/>
                <w:szCs w:val="21"/>
              </w:rPr>
              <w:t>不</w:t>
            </w:r>
            <w:r>
              <w:rPr>
                <w:rFonts w:ascii="仿宋" w:eastAsia="仿宋" w:hAnsi="仿宋"/>
                <w:bCs/>
                <w:szCs w:val="21"/>
              </w:rPr>
              <w:t>成立</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2"/>
              <w:rPr>
                <w:rFonts w:ascii="仿宋" w:eastAsia="仿宋" w:hAnsi="仿宋"/>
                <w:b/>
                <w:bCs/>
                <w:szCs w:val="21"/>
              </w:rPr>
            </w:pPr>
            <w:r>
              <w:rPr>
                <w:rFonts w:ascii="仿宋" w:eastAsia="仿宋" w:hAnsi="仿宋" w:hint="eastAsia"/>
                <w:b/>
                <w:bCs/>
                <w:szCs w:val="21"/>
              </w:rPr>
              <w:t>募集期结束，如理财产品募集总金额未达到发行规模下限；或者市场发生重大变化，华夏理财无法或者经其合理判断难以按照本产品说明书向投资者提供本理财产品；或者法律法规、监管规定、国家政策发生变化导致无法按照本产品说明书向投资者提供本理财产品，华夏理财有权宣布本理财产品不成立。</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bCs/>
                <w:szCs w:val="21"/>
              </w:rPr>
              <w:t>如理财产品不成立，华夏</w:t>
            </w:r>
            <w:r>
              <w:rPr>
                <w:rFonts w:ascii="仿宋" w:eastAsia="仿宋" w:hAnsi="仿宋" w:hint="eastAsia"/>
                <w:bCs/>
                <w:szCs w:val="21"/>
              </w:rPr>
              <w:t>理财</w:t>
            </w:r>
            <w:r>
              <w:rPr>
                <w:rFonts w:ascii="仿宋" w:eastAsia="仿宋" w:hAnsi="仿宋"/>
                <w:bCs/>
                <w:szCs w:val="21"/>
              </w:rPr>
              <w:t>将于</w:t>
            </w:r>
            <w:r>
              <w:rPr>
                <w:rFonts w:ascii="仿宋" w:eastAsia="仿宋" w:hAnsi="仿宋" w:hint="eastAsia"/>
                <w:bCs/>
                <w:szCs w:val="21"/>
              </w:rPr>
              <w:t>原定成立日后2</w:t>
            </w:r>
            <w:r>
              <w:rPr>
                <w:rFonts w:ascii="仿宋" w:eastAsia="仿宋" w:hAnsi="仿宋"/>
                <w:bCs/>
                <w:szCs w:val="21"/>
              </w:rPr>
              <w:t>个工作日</w:t>
            </w:r>
            <w:r>
              <w:rPr>
                <w:rFonts w:ascii="仿宋" w:eastAsia="仿宋" w:hAnsi="仿宋" w:hint="eastAsia"/>
                <w:bCs/>
                <w:szCs w:val="21"/>
              </w:rPr>
              <w:t>内</w:t>
            </w:r>
            <w:r>
              <w:rPr>
                <w:rFonts w:ascii="仿宋" w:eastAsia="仿宋" w:hAnsi="仿宋"/>
                <w:bCs/>
                <w:szCs w:val="21"/>
              </w:rPr>
              <w:t>通过</w:t>
            </w:r>
            <w:r>
              <w:rPr>
                <w:rFonts w:ascii="仿宋" w:eastAsia="仿宋" w:hAnsi="仿宋" w:hint="eastAsia"/>
                <w:bCs/>
                <w:szCs w:val="21"/>
              </w:rPr>
              <w:t>本产品说明书约定的信息披露渠道</w:t>
            </w:r>
            <w:r>
              <w:rPr>
                <w:rFonts w:ascii="仿宋" w:eastAsia="仿宋" w:hAnsi="仿宋"/>
                <w:bCs/>
                <w:szCs w:val="21"/>
              </w:rPr>
              <w:t>发布本理财产品不成立的公告</w:t>
            </w:r>
            <w:r>
              <w:rPr>
                <w:rFonts w:ascii="仿宋" w:eastAsia="仿宋" w:hAnsi="仿宋" w:hint="eastAsia"/>
                <w:bCs/>
                <w:szCs w:val="21"/>
              </w:rPr>
              <w:t>。通过华夏银行/华夏理财购买的，将</w:t>
            </w:r>
            <w:r>
              <w:rPr>
                <w:rFonts w:ascii="仿宋" w:eastAsia="仿宋" w:hAnsi="仿宋"/>
                <w:bCs/>
                <w:szCs w:val="21"/>
              </w:rPr>
              <w:t>于原定成立日</w:t>
            </w:r>
            <w:r>
              <w:rPr>
                <w:rFonts w:ascii="仿宋" w:eastAsia="仿宋" w:hAnsi="仿宋" w:hint="eastAsia"/>
                <w:bCs/>
                <w:szCs w:val="21"/>
              </w:rPr>
              <w:t>后</w:t>
            </w:r>
            <w:r>
              <w:rPr>
                <w:rFonts w:ascii="仿宋" w:eastAsia="仿宋" w:hAnsi="仿宋"/>
                <w:bCs/>
                <w:szCs w:val="21"/>
              </w:rPr>
              <w:t>2个工作日内将已</w:t>
            </w:r>
            <w:r>
              <w:rPr>
                <w:rFonts w:ascii="仿宋" w:eastAsia="仿宋" w:hAnsi="仿宋" w:hint="eastAsia"/>
                <w:bCs/>
                <w:szCs w:val="21"/>
              </w:rPr>
              <w:t>募集</w:t>
            </w:r>
            <w:r>
              <w:rPr>
                <w:rFonts w:ascii="仿宋" w:eastAsia="仿宋" w:hAnsi="仿宋"/>
                <w:bCs/>
                <w:szCs w:val="21"/>
              </w:rPr>
              <w:t>资金退回</w:t>
            </w:r>
            <w:r>
              <w:rPr>
                <w:rFonts w:ascii="仿宋" w:eastAsia="仿宋" w:hAnsi="仿宋" w:hint="eastAsia"/>
                <w:bCs/>
                <w:szCs w:val="21"/>
              </w:rPr>
              <w:t>华夏银行/华夏理财客户</w:t>
            </w:r>
            <w:r>
              <w:rPr>
                <w:rFonts w:ascii="仿宋" w:eastAsia="仿宋" w:hAnsi="仿宋"/>
                <w:bCs/>
                <w:szCs w:val="21"/>
              </w:rPr>
              <w:t>的</w:t>
            </w:r>
            <w:r>
              <w:rPr>
                <w:rFonts w:ascii="仿宋" w:eastAsia="仿宋" w:hAnsi="仿宋" w:hint="eastAsia"/>
                <w:bCs/>
                <w:szCs w:val="21"/>
              </w:rPr>
              <w:t>理财签约</w:t>
            </w:r>
            <w:r>
              <w:rPr>
                <w:rFonts w:ascii="仿宋" w:eastAsia="仿宋" w:hAnsi="仿宋"/>
                <w:bCs/>
                <w:szCs w:val="21"/>
              </w:rPr>
              <w:t>账户</w:t>
            </w:r>
            <w:r>
              <w:rPr>
                <w:rFonts w:ascii="仿宋" w:eastAsia="仿宋" w:hAnsi="仿宋" w:hint="eastAsia"/>
                <w:bCs/>
                <w:szCs w:val="21"/>
              </w:rPr>
              <w:t>内（</w:t>
            </w:r>
            <w:r>
              <w:rPr>
                <w:rFonts w:ascii="仿宋" w:eastAsia="仿宋" w:hAnsi="仿宋" w:hint="eastAsia"/>
                <w:b/>
                <w:szCs w:val="21"/>
              </w:rPr>
              <w:t>原定</w:t>
            </w:r>
            <w:r>
              <w:rPr>
                <w:rFonts w:ascii="仿宋" w:eastAsia="仿宋" w:hAnsi="仿宋"/>
                <w:b/>
                <w:szCs w:val="21"/>
              </w:rPr>
              <w:t>成立日至资金到账日之间</w:t>
            </w:r>
            <w:r>
              <w:rPr>
                <w:rFonts w:ascii="仿宋" w:eastAsia="仿宋" w:hAnsi="仿宋" w:hint="eastAsia"/>
                <w:b/>
                <w:szCs w:val="21"/>
              </w:rPr>
              <w:t>不计</w:t>
            </w:r>
            <w:r>
              <w:rPr>
                <w:rFonts w:ascii="仿宋" w:eastAsia="仿宋" w:hAnsi="仿宋"/>
                <w:b/>
                <w:szCs w:val="21"/>
              </w:rPr>
              <w:t>利息</w:t>
            </w:r>
            <w:r>
              <w:rPr>
                <w:rFonts w:ascii="仿宋" w:eastAsia="仿宋" w:hAnsi="仿宋" w:hint="eastAsia"/>
                <w:bCs/>
                <w:szCs w:val="21"/>
              </w:rPr>
              <w:t>）；通过其他代销机构购买的，客户已募集资金退回的具体到账账户、到账日及到账时间以代销机构划付规定为准</w:t>
            </w:r>
            <w:r>
              <w:rPr>
                <w:rFonts w:ascii="仿宋" w:eastAsia="仿宋" w:hAnsi="仿宋"/>
                <w:bCs/>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认购</w:t>
            </w:r>
            <w:r>
              <w:rPr>
                <w:rFonts w:ascii="仿宋" w:eastAsia="仿宋" w:hAnsi="仿宋" w:hint="eastAsia"/>
                <w:bCs/>
                <w:szCs w:val="21"/>
              </w:rPr>
              <w:t>/</w:t>
            </w:r>
            <w:r>
              <w:rPr>
                <w:rFonts w:ascii="仿宋" w:eastAsia="仿宋" w:hAnsi="仿宋"/>
                <w:bCs/>
                <w:szCs w:val="21"/>
              </w:rPr>
              <w:t>申购</w:t>
            </w:r>
          </w:p>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起点金额</w:t>
            </w:r>
          </w:p>
        </w:tc>
        <w:tc>
          <w:tcPr>
            <w:tcW w:w="7404" w:type="dxa"/>
            <w:tcBorders>
              <w:top w:val="single" w:sz="4" w:space="0" w:color="auto"/>
              <w:left w:val="single" w:sz="4" w:space="0" w:color="auto"/>
              <w:bottom w:val="single" w:sz="4" w:space="0" w:color="auto"/>
              <w:right w:val="single" w:sz="4" w:space="0" w:color="auto"/>
            </w:tcBorders>
            <w:vAlign w:val="center"/>
          </w:tcPr>
          <w:p w:rsidR="003723AE" w:rsidRDefault="003723AE" w:rsidP="003723AE">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A份额：1元，以1元的</w:t>
            </w:r>
            <w:r>
              <w:rPr>
                <w:rFonts w:ascii="仿宋" w:eastAsia="仿宋" w:hAnsi="仿宋" w:hint="eastAsia"/>
              </w:rPr>
              <w:t>整数</w:t>
            </w:r>
            <w:proofErr w:type="gramStart"/>
            <w:r>
              <w:rPr>
                <w:rFonts w:ascii="仿宋" w:eastAsia="仿宋" w:hAnsi="仿宋" w:hint="eastAsia"/>
              </w:rPr>
              <w:t>倍</w:t>
            </w:r>
            <w:proofErr w:type="gramEnd"/>
            <w:r>
              <w:rPr>
                <w:rFonts w:ascii="仿宋" w:eastAsia="仿宋" w:hAnsi="仿宋" w:hint="eastAsia"/>
              </w:rPr>
              <w:t>递增</w:t>
            </w:r>
            <w:r>
              <w:rPr>
                <w:rFonts w:ascii="仿宋" w:eastAsia="仿宋" w:hAnsi="仿宋" w:hint="eastAsia"/>
                <w:bCs/>
                <w:szCs w:val="21"/>
              </w:rPr>
              <w:t>。</w:t>
            </w:r>
          </w:p>
          <w:p w:rsidR="003723AE" w:rsidRDefault="003723AE" w:rsidP="003723AE">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B份额：100万</w:t>
            </w:r>
            <w:r>
              <w:rPr>
                <w:rFonts w:ascii="仿宋" w:eastAsia="仿宋" w:hAnsi="仿宋"/>
                <w:bCs/>
                <w:szCs w:val="21"/>
              </w:rPr>
              <w:t>元，以</w:t>
            </w:r>
            <w:r>
              <w:rPr>
                <w:rFonts w:ascii="仿宋" w:eastAsia="仿宋" w:hAnsi="仿宋" w:hint="eastAsia"/>
                <w:bCs/>
                <w:szCs w:val="21"/>
              </w:rPr>
              <w:t>1</w:t>
            </w:r>
            <w:r>
              <w:rPr>
                <w:rFonts w:ascii="仿宋" w:eastAsia="仿宋" w:hAnsi="仿宋"/>
                <w:bCs/>
                <w:szCs w:val="21"/>
              </w:rPr>
              <w:t>元的整数</w:t>
            </w:r>
            <w:proofErr w:type="gramStart"/>
            <w:r>
              <w:rPr>
                <w:rFonts w:ascii="仿宋" w:eastAsia="仿宋" w:hAnsi="仿宋"/>
                <w:bCs/>
                <w:szCs w:val="21"/>
              </w:rPr>
              <w:t>倍</w:t>
            </w:r>
            <w:proofErr w:type="gramEnd"/>
            <w:r>
              <w:rPr>
                <w:rFonts w:ascii="仿宋" w:eastAsia="仿宋" w:hAnsi="仿宋"/>
                <w:bCs/>
                <w:szCs w:val="21"/>
              </w:rPr>
              <w:t>递增</w:t>
            </w:r>
            <w:r>
              <w:rPr>
                <w:rFonts w:ascii="仿宋" w:eastAsia="仿宋" w:hAnsi="仿宋" w:hint="eastAsia"/>
                <w:bCs/>
                <w:szCs w:val="21"/>
              </w:rPr>
              <w:t>。</w:t>
            </w:r>
          </w:p>
          <w:p w:rsidR="00846FF0" w:rsidRDefault="003723AE" w:rsidP="00BE68E0">
            <w:pPr>
              <w:adjustRightInd w:val="0"/>
              <w:snapToGrid w:val="0"/>
              <w:spacing w:line="240" w:lineRule="atLeast"/>
              <w:ind w:firstLineChars="200" w:firstLine="420"/>
              <w:rPr>
                <w:rFonts w:ascii="仿宋" w:eastAsia="仿宋" w:hAnsi="仿宋"/>
                <w:bCs/>
                <w:szCs w:val="21"/>
              </w:rPr>
            </w:pPr>
            <w:r>
              <w:rPr>
                <w:rFonts w:ascii="仿宋" w:eastAsia="仿宋" w:hAnsi="仿宋"/>
                <w:bCs/>
                <w:szCs w:val="21"/>
              </w:rPr>
              <w:t>C</w:t>
            </w:r>
            <w:r>
              <w:rPr>
                <w:rFonts w:ascii="仿宋" w:eastAsia="仿宋" w:hAnsi="仿宋" w:hint="eastAsia"/>
                <w:bCs/>
                <w:szCs w:val="21"/>
              </w:rPr>
              <w:t>份额：</w:t>
            </w:r>
            <w:r>
              <w:rPr>
                <w:rFonts w:ascii="仿宋" w:eastAsia="仿宋" w:hAnsi="仿宋"/>
                <w:bCs/>
                <w:szCs w:val="21"/>
              </w:rPr>
              <w:t>3</w:t>
            </w:r>
            <w:r>
              <w:rPr>
                <w:rFonts w:ascii="仿宋" w:eastAsia="仿宋" w:hAnsi="仿宋" w:hint="eastAsia"/>
                <w:bCs/>
                <w:szCs w:val="21"/>
              </w:rPr>
              <w:t>00万</w:t>
            </w:r>
            <w:r>
              <w:rPr>
                <w:rFonts w:ascii="仿宋" w:eastAsia="仿宋" w:hAnsi="仿宋"/>
                <w:bCs/>
                <w:szCs w:val="21"/>
              </w:rPr>
              <w:t>元，以</w:t>
            </w:r>
            <w:r>
              <w:rPr>
                <w:rFonts w:ascii="仿宋" w:eastAsia="仿宋" w:hAnsi="仿宋" w:hint="eastAsia"/>
                <w:bCs/>
                <w:szCs w:val="21"/>
              </w:rPr>
              <w:t>1</w:t>
            </w:r>
            <w:r>
              <w:rPr>
                <w:rFonts w:ascii="仿宋" w:eastAsia="仿宋" w:hAnsi="仿宋"/>
                <w:bCs/>
                <w:szCs w:val="21"/>
              </w:rPr>
              <w:t>元的整数</w:t>
            </w:r>
            <w:proofErr w:type="gramStart"/>
            <w:r>
              <w:rPr>
                <w:rFonts w:ascii="仿宋" w:eastAsia="仿宋" w:hAnsi="仿宋"/>
                <w:bCs/>
                <w:szCs w:val="21"/>
              </w:rPr>
              <w:t>倍</w:t>
            </w:r>
            <w:proofErr w:type="gramEnd"/>
            <w:r>
              <w:rPr>
                <w:rFonts w:ascii="仿宋" w:eastAsia="仿宋" w:hAnsi="仿宋"/>
                <w:bCs/>
                <w:szCs w:val="21"/>
              </w:rPr>
              <w:t>递增</w:t>
            </w:r>
            <w:r>
              <w:rPr>
                <w:rFonts w:ascii="仿宋" w:eastAsia="仿宋" w:hAnsi="仿宋" w:hint="eastAsia"/>
                <w:bCs/>
                <w:szCs w:val="21"/>
              </w:rPr>
              <w:t>。</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rPr>
              <w:t>如代销机构规定与本规则不一致的，则以各代销机构规定为准，但不得低于本起点金额。</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color w:val="000000"/>
                <w:szCs w:val="21"/>
              </w:rPr>
              <w:t>最高持有限额</w:t>
            </w:r>
          </w:p>
        </w:tc>
        <w:tc>
          <w:tcPr>
            <w:tcW w:w="7404" w:type="dxa"/>
            <w:tcBorders>
              <w:top w:val="single" w:sz="4" w:space="0" w:color="auto"/>
              <w:left w:val="single" w:sz="4" w:space="0" w:color="auto"/>
              <w:bottom w:val="single" w:sz="4" w:space="0" w:color="auto"/>
              <w:right w:val="single" w:sz="4" w:space="0" w:color="auto"/>
            </w:tcBorders>
            <w:vAlign w:val="center"/>
          </w:tcPr>
          <w:p w:rsidR="00DE74AD"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最高持有限额</w:t>
            </w:r>
            <w:r w:rsidR="006F7AD4">
              <w:rPr>
                <w:rFonts w:ascii="仿宋" w:eastAsia="仿宋" w:hAnsi="仿宋" w:hint="eastAsia"/>
                <w:bCs/>
                <w:szCs w:val="21"/>
              </w:rPr>
              <w:t>要求：单一投资者持有本产品份额数不得超过本产品份额总数的 50%</w:t>
            </w:r>
            <w:r w:rsidR="006F7AD4" w:rsidRPr="00031A25">
              <w:rPr>
                <w:rFonts w:ascii="仿宋" w:eastAsia="仿宋" w:hAnsi="仿宋" w:hint="eastAsia"/>
                <w:bCs/>
                <w:szCs w:val="21"/>
              </w:rPr>
              <w:t>。</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投资者购买理财产品的金额超过理财账户最高持有限额时，超过的部分管理人确认失败。</w:t>
            </w:r>
            <w:r>
              <w:rPr>
                <w:rFonts w:ascii="仿宋" w:eastAsia="仿宋" w:hAnsi="仿宋" w:hint="eastAsia"/>
                <w:b/>
                <w:szCs w:val="21"/>
              </w:rPr>
              <w:t>投资者同一开放日提交申购、赎回交易，管理人先确认申购交易，并根据申购金额判断是否超过理财账户最高持有限额，可能</w:t>
            </w:r>
            <w:proofErr w:type="gramStart"/>
            <w:r>
              <w:rPr>
                <w:rFonts w:ascii="仿宋" w:eastAsia="仿宋" w:hAnsi="仿宋" w:hint="eastAsia"/>
                <w:b/>
                <w:szCs w:val="21"/>
              </w:rPr>
              <w:t>存在日末投资者</w:t>
            </w:r>
            <w:proofErr w:type="gramEnd"/>
            <w:r>
              <w:rPr>
                <w:rFonts w:ascii="仿宋" w:eastAsia="仿宋" w:hAnsi="仿宋" w:hint="eastAsia"/>
                <w:b/>
                <w:szCs w:val="21"/>
              </w:rPr>
              <w:t>的剩余本金小于最高持有限额，但当日申购交易全部或部分失败的情况</w:t>
            </w:r>
            <w:r>
              <w:rPr>
                <w:rFonts w:ascii="仿宋" w:eastAsia="仿宋" w:hAnsi="仿宋" w:hint="eastAsia"/>
                <w:bCs/>
                <w:szCs w:val="21"/>
              </w:rPr>
              <w:t>。</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rPr>
              <w:t>如代销机构规定与本规则不一致的，则以各代销机构规定为准，但不得高于最高持有限额。</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追加</w:t>
            </w:r>
            <w:r>
              <w:rPr>
                <w:rFonts w:ascii="仿宋" w:eastAsia="仿宋" w:hAnsi="仿宋" w:hint="eastAsia"/>
                <w:bCs/>
                <w:szCs w:val="21"/>
              </w:rPr>
              <w:t xml:space="preserve">购买     </w:t>
            </w:r>
            <w:r>
              <w:rPr>
                <w:rFonts w:ascii="仿宋" w:eastAsia="仿宋" w:hAnsi="仿宋"/>
                <w:bCs/>
                <w:szCs w:val="21"/>
              </w:rPr>
              <w:t>最低金额</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1</w:t>
            </w:r>
            <w:r>
              <w:rPr>
                <w:rFonts w:ascii="仿宋" w:eastAsia="仿宋" w:hAnsi="仿宋"/>
                <w:bCs/>
                <w:szCs w:val="21"/>
              </w:rPr>
              <w:t>元，以</w:t>
            </w:r>
            <w:r>
              <w:rPr>
                <w:rFonts w:ascii="仿宋" w:eastAsia="仿宋" w:hAnsi="仿宋" w:hint="eastAsia"/>
                <w:bCs/>
                <w:szCs w:val="21"/>
              </w:rPr>
              <w:t>1</w:t>
            </w:r>
            <w:r>
              <w:rPr>
                <w:rFonts w:ascii="仿宋" w:eastAsia="仿宋" w:hAnsi="仿宋"/>
                <w:bCs/>
                <w:szCs w:val="21"/>
              </w:rPr>
              <w:t>元的整数</w:t>
            </w:r>
            <w:proofErr w:type="gramStart"/>
            <w:r>
              <w:rPr>
                <w:rFonts w:ascii="仿宋" w:eastAsia="仿宋" w:hAnsi="仿宋"/>
                <w:bCs/>
                <w:szCs w:val="21"/>
              </w:rPr>
              <w:t>倍</w:t>
            </w:r>
            <w:proofErr w:type="gramEnd"/>
            <w:r>
              <w:rPr>
                <w:rFonts w:ascii="仿宋" w:eastAsia="仿宋" w:hAnsi="仿宋"/>
                <w:bCs/>
                <w:szCs w:val="21"/>
              </w:rPr>
              <w:t>追加</w:t>
            </w:r>
            <w:r>
              <w:rPr>
                <w:rFonts w:ascii="仿宋" w:eastAsia="仿宋" w:hAnsi="仿宋" w:hint="eastAsia"/>
                <w:bCs/>
                <w:szCs w:val="21"/>
              </w:rPr>
              <w:t>。</w:t>
            </w:r>
          </w:p>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rPr>
              <w:t>如代销机构规定与本规则不一致，则以各代销机构规定为准，但不得低于本追加起点金额。</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单笔赎回</w:t>
            </w:r>
            <w:r>
              <w:rPr>
                <w:rFonts w:ascii="仿宋" w:eastAsia="仿宋" w:hAnsi="仿宋" w:hint="eastAsia"/>
                <w:bCs/>
                <w:szCs w:val="21"/>
              </w:rPr>
              <w:t xml:space="preserve">     </w:t>
            </w:r>
            <w:r>
              <w:rPr>
                <w:rFonts w:ascii="仿宋" w:eastAsia="仿宋" w:hAnsi="仿宋"/>
                <w:bCs/>
                <w:szCs w:val="21"/>
              </w:rPr>
              <w:t>最低</w:t>
            </w:r>
            <w:r>
              <w:rPr>
                <w:rFonts w:ascii="仿宋" w:eastAsia="仿宋" w:hAnsi="仿宋" w:hint="eastAsia"/>
                <w:bCs/>
                <w:szCs w:val="21"/>
              </w:rPr>
              <w:t>限</w:t>
            </w:r>
            <w:r>
              <w:rPr>
                <w:rFonts w:ascii="仿宋" w:eastAsia="仿宋" w:hAnsi="仿宋"/>
                <w:bCs/>
                <w:szCs w:val="21"/>
              </w:rPr>
              <w:t>额</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0.01份</w:t>
            </w:r>
          </w:p>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如代销机构规定与本规则不一致，则以各代销机构规定为准，但不得低于本条款约定限额。</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理财账户</w:t>
            </w:r>
            <w:r>
              <w:rPr>
                <w:rFonts w:ascii="仿宋" w:eastAsia="仿宋" w:hAnsi="仿宋" w:hint="eastAsia"/>
                <w:bCs/>
                <w:szCs w:val="21"/>
              </w:rPr>
              <w:t xml:space="preserve">     </w:t>
            </w:r>
            <w:r>
              <w:rPr>
                <w:rFonts w:ascii="仿宋" w:eastAsia="仿宋" w:hAnsi="仿宋"/>
                <w:bCs/>
                <w:szCs w:val="21"/>
              </w:rPr>
              <w:t>最</w:t>
            </w:r>
            <w:r>
              <w:rPr>
                <w:rFonts w:ascii="仿宋" w:eastAsia="仿宋" w:hAnsi="仿宋" w:hint="eastAsia"/>
                <w:bCs/>
                <w:szCs w:val="21"/>
              </w:rPr>
              <w:t>低保留限</w:t>
            </w:r>
            <w:r>
              <w:rPr>
                <w:rFonts w:ascii="仿宋" w:eastAsia="仿宋" w:hAnsi="仿宋"/>
                <w:bCs/>
                <w:szCs w:val="21"/>
              </w:rPr>
              <w:t>额</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0.01份</w:t>
            </w:r>
          </w:p>
          <w:p w:rsidR="00846FF0" w:rsidRDefault="00846FF0" w:rsidP="00846FF0">
            <w:pPr>
              <w:adjustRightInd w:val="0"/>
              <w:snapToGrid w:val="0"/>
              <w:spacing w:line="240" w:lineRule="atLeast"/>
              <w:ind w:firstLine="420"/>
              <w:rPr>
                <w:rFonts w:ascii="仿宋" w:eastAsia="仿宋" w:hAnsi="仿宋"/>
                <w:b/>
                <w:szCs w:val="21"/>
              </w:rPr>
            </w:pPr>
            <w:r>
              <w:rPr>
                <w:rFonts w:ascii="仿宋" w:eastAsia="仿宋" w:hAnsi="仿宋" w:hint="eastAsia"/>
                <w:b/>
                <w:szCs w:val="21"/>
              </w:rPr>
              <w:t>投资者发起赎回交易时，将触发判断理财账户份额余额是否低于最低保留限额要求，可能引发强制赎回交易，具体约定详见“赎回规定”。</w:t>
            </w:r>
          </w:p>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如代销机构规定与本规则不一致，则以各代销机构规定为准，但不得低于本条款约定限额。</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份额净值</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份额净值为提取管理费、托管费、销售手续费等相关费用后的理财产品份额净值，投资者按该份额净值进行申购、赎回和到期/终止时的分配。</w:t>
            </w:r>
          </w:p>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份额净值的计算保留到小数点后</w:t>
            </w:r>
            <w:r>
              <w:rPr>
                <w:rFonts w:ascii="仿宋" w:eastAsia="仿宋" w:hAnsi="仿宋"/>
                <w:bCs/>
                <w:szCs w:val="21"/>
              </w:rPr>
              <w:t>4</w:t>
            </w:r>
            <w:r>
              <w:rPr>
                <w:rFonts w:ascii="仿宋" w:eastAsia="仿宋" w:hAnsi="仿宋" w:hint="eastAsia"/>
                <w:bCs/>
                <w:szCs w:val="21"/>
              </w:rPr>
              <w:t>位，小数点后第</w:t>
            </w:r>
            <w:r>
              <w:rPr>
                <w:rFonts w:ascii="仿宋" w:eastAsia="仿宋" w:hAnsi="仿宋"/>
                <w:bCs/>
                <w:szCs w:val="21"/>
              </w:rPr>
              <w:t>5</w:t>
            </w:r>
            <w:r>
              <w:rPr>
                <w:rFonts w:ascii="仿宋" w:eastAsia="仿宋" w:hAnsi="仿宋" w:hint="eastAsia"/>
                <w:bCs/>
                <w:szCs w:val="21"/>
              </w:rPr>
              <w:t>位四舍五入</w:t>
            </w:r>
            <w:r>
              <w:rPr>
                <w:rFonts w:ascii="仿宋" w:eastAsia="仿宋" w:hAnsi="仿宋" w:hint="eastAsia"/>
                <w:bCs/>
                <w:szCs w:val="21"/>
                <w:lang w:val="en-GB"/>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认购份额</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jc w:val="left"/>
              <w:rPr>
                <w:rFonts w:ascii="仿宋" w:eastAsia="仿宋" w:hAnsi="仿宋"/>
                <w:bCs/>
                <w:szCs w:val="21"/>
              </w:rPr>
            </w:pPr>
            <w:r>
              <w:rPr>
                <w:rFonts w:ascii="仿宋" w:eastAsia="仿宋" w:hAnsi="仿宋" w:hint="eastAsia"/>
                <w:bCs/>
                <w:szCs w:val="21"/>
              </w:rPr>
              <w:t>认购份额=认购金额/1元。</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申购份额</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jc w:val="left"/>
              <w:rPr>
                <w:rFonts w:ascii="仿宋" w:eastAsia="仿宋" w:hAnsi="仿宋"/>
                <w:bCs/>
                <w:szCs w:val="21"/>
                <w:u w:val="single"/>
              </w:rPr>
            </w:pPr>
            <w:r>
              <w:rPr>
                <w:rFonts w:ascii="仿宋" w:eastAsia="仿宋" w:hAnsi="仿宋"/>
                <w:bCs/>
                <w:szCs w:val="21"/>
              </w:rPr>
              <w:t>申购份额＝申购金额/申购</w:t>
            </w:r>
            <w:r>
              <w:rPr>
                <w:rFonts w:ascii="仿宋" w:eastAsia="仿宋" w:hAnsi="仿宋" w:hint="eastAsia"/>
                <w:bCs/>
                <w:szCs w:val="21"/>
              </w:rPr>
              <w:t>申请日日终的产品份额净值,申购份额保留到小数点后</w:t>
            </w:r>
            <w:r>
              <w:rPr>
                <w:rFonts w:ascii="仿宋" w:eastAsia="仿宋" w:hAnsi="仿宋"/>
                <w:bCs/>
                <w:szCs w:val="21"/>
              </w:rPr>
              <w:t>2</w:t>
            </w:r>
            <w:r>
              <w:rPr>
                <w:rFonts w:ascii="仿宋" w:eastAsia="仿宋" w:hAnsi="仿宋" w:hint="eastAsia"/>
                <w:bCs/>
                <w:szCs w:val="21"/>
              </w:rPr>
              <w:t>位，小数点后第</w:t>
            </w:r>
            <w:r>
              <w:rPr>
                <w:rFonts w:ascii="仿宋" w:eastAsia="仿宋" w:hAnsi="仿宋"/>
                <w:bCs/>
                <w:szCs w:val="21"/>
              </w:rPr>
              <w:t>3</w:t>
            </w:r>
            <w:r>
              <w:rPr>
                <w:rFonts w:ascii="仿宋" w:eastAsia="仿宋" w:hAnsi="仿宋" w:hint="eastAsia"/>
                <w:bCs/>
                <w:szCs w:val="21"/>
              </w:rPr>
              <w:t>位四舍五入。</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工作日</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本说明书中所写的“确认日”、“到账日”，除非特别说明均为工作日，</w:t>
            </w:r>
            <w:proofErr w:type="gramStart"/>
            <w:r>
              <w:rPr>
                <w:rFonts w:ascii="仿宋" w:eastAsia="仿宋" w:hAnsi="仿宋" w:hint="eastAsia"/>
                <w:bCs/>
                <w:szCs w:val="21"/>
              </w:rPr>
              <w:t>若遇非工作日</w:t>
            </w:r>
            <w:proofErr w:type="gramEnd"/>
            <w:r>
              <w:rPr>
                <w:rFonts w:ascii="仿宋" w:eastAsia="仿宋" w:hAnsi="仿宋" w:hint="eastAsia"/>
                <w:bCs/>
                <w:szCs w:val="21"/>
              </w:rPr>
              <w:t>顺延至下一工作日。</w:t>
            </w:r>
          </w:p>
          <w:p w:rsidR="00846FF0" w:rsidRDefault="00846FF0" w:rsidP="00846FF0">
            <w:pPr>
              <w:adjustRightInd w:val="0"/>
              <w:snapToGrid w:val="0"/>
              <w:spacing w:line="240" w:lineRule="atLeast"/>
              <w:ind w:right="-44" w:firstLineChars="200" w:firstLine="420"/>
              <w:jc w:val="left"/>
              <w:rPr>
                <w:rFonts w:ascii="仿宋" w:eastAsia="仿宋" w:hAnsi="仿宋"/>
                <w:bCs/>
                <w:szCs w:val="21"/>
              </w:rPr>
            </w:pPr>
            <w:r>
              <w:rPr>
                <w:rFonts w:ascii="仿宋" w:eastAsia="仿宋" w:hAnsi="仿宋" w:hint="eastAsia"/>
                <w:bCs/>
                <w:szCs w:val="21"/>
              </w:rPr>
              <w:t>指上海证券交易所和深圳证券交易所的交易日，且同时为银行对外办理一般对公业务的工作日。</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5206CF">
            <w:pPr>
              <w:keepNext/>
              <w:adjustRightInd w:val="0"/>
              <w:snapToGrid w:val="0"/>
              <w:spacing w:line="240" w:lineRule="atLeast"/>
              <w:jc w:val="center"/>
              <w:rPr>
                <w:rFonts w:ascii="仿宋" w:eastAsia="仿宋" w:hAnsi="仿宋"/>
                <w:bCs/>
                <w:szCs w:val="21"/>
              </w:rPr>
            </w:pPr>
            <w:r>
              <w:rPr>
                <w:rFonts w:ascii="仿宋" w:eastAsia="仿宋" w:hAnsi="仿宋" w:hint="eastAsia"/>
                <w:bCs/>
                <w:szCs w:val="21"/>
              </w:rPr>
              <w:lastRenderedPageBreak/>
              <w:t>开放期、</w:t>
            </w:r>
          </w:p>
          <w:p w:rsidR="00846FF0" w:rsidRDefault="00846FF0" w:rsidP="005206CF">
            <w:pPr>
              <w:keepNext/>
              <w:adjustRightInd w:val="0"/>
              <w:snapToGrid w:val="0"/>
              <w:spacing w:line="240" w:lineRule="atLeast"/>
              <w:jc w:val="center"/>
              <w:rPr>
                <w:rFonts w:ascii="仿宋" w:eastAsia="仿宋" w:hAnsi="仿宋"/>
                <w:bCs/>
                <w:szCs w:val="21"/>
              </w:rPr>
            </w:pPr>
            <w:r>
              <w:rPr>
                <w:rFonts w:ascii="仿宋" w:eastAsia="仿宋" w:hAnsi="仿宋" w:hint="eastAsia"/>
                <w:bCs/>
                <w:szCs w:val="21"/>
              </w:rPr>
              <w:t>开放日（T日）及开放时间</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5206CF">
            <w:pPr>
              <w:keepNext/>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开放期/开放日为产品成立后每年</w:t>
            </w:r>
            <w:r w:rsidR="003723AE">
              <w:rPr>
                <w:rFonts w:ascii="仿宋" w:eastAsia="仿宋" w:hAnsi="仿宋" w:hint="eastAsia"/>
                <w:bCs/>
                <w:szCs w:val="21"/>
              </w:rPr>
              <w:t>02月、06月、10月的15日（含）起连续</w:t>
            </w:r>
            <w:r w:rsidR="003723AE">
              <w:rPr>
                <w:rFonts w:ascii="仿宋" w:eastAsia="仿宋" w:hAnsi="仿宋"/>
                <w:bCs/>
                <w:szCs w:val="21"/>
              </w:rPr>
              <w:t>5</w:t>
            </w:r>
            <w:r>
              <w:rPr>
                <w:rFonts w:ascii="仿宋" w:eastAsia="仿宋" w:hAnsi="仿宋" w:hint="eastAsia"/>
                <w:bCs/>
                <w:szCs w:val="21"/>
              </w:rPr>
              <w:t>个工作日开放，开放期/开放日</w:t>
            </w:r>
            <w:proofErr w:type="gramStart"/>
            <w:r>
              <w:rPr>
                <w:rFonts w:ascii="仿宋" w:eastAsia="仿宋" w:hAnsi="仿宋" w:hint="eastAsia"/>
                <w:bCs/>
                <w:szCs w:val="21"/>
              </w:rPr>
              <w:t>如遇非工作日</w:t>
            </w:r>
            <w:proofErr w:type="gramEnd"/>
            <w:r>
              <w:rPr>
                <w:rFonts w:ascii="仿宋" w:eastAsia="仿宋" w:hAnsi="仿宋" w:hint="eastAsia"/>
                <w:bCs/>
                <w:szCs w:val="21"/>
              </w:rPr>
              <w:t>则顺延至下一个工作日。</w:t>
            </w:r>
          </w:p>
          <w:tbl>
            <w:tblPr>
              <w:tblW w:w="0" w:type="auto"/>
              <w:tblInd w:w="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5406"/>
            </w:tblGrid>
            <w:tr w:rsidR="00846FF0">
              <w:tc>
                <w:tcPr>
                  <w:tcW w:w="1365" w:type="dxa"/>
                </w:tcPr>
                <w:p w:rsidR="00846FF0" w:rsidRDefault="00846FF0" w:rsidP="005206CF">
                  <w:pPr>
                    <w:keepNext/>
                    <w:adjustRightInd w:val="0"/>
                    <w:snapToGrid w:val="0"/>
                    <w:spacing w:line="240" w:lineRule="atLeast"/>
                    <w:ind w:right="-44"/>
                    <w:jc w:val="center"/>
                    <w:rPr>
                      <w:rFonts w:ascii="仿宋" w:eastAsia="仿宋" w:hAnsi="仿宋"/>
                      <w:b/>
                      <w:bCs/>
                      <w:szCs w:val="21"/>
                    </w:rPr>
                  </w:pPr>
                  <w:r>
                    <w:rPr>
                      <w:rFonts w:ascii="仿宋" w:eastAsia="仿宋" w:hAnsi="仿宋" w:hint="eastAsia"/>
                      <w:b/>
                      <w:bCs/>
                      <w:szCs w:val="21"/>
                    </w:rPr>
                    <w:t>交易类型</w:t>
                  </w:r>
                </w:p>
              </w:tc>
              <w:tc>
                <w:tcPr>
                  <w:tcW w:w="5406" w:type="dxa"/>
                </w:tcPr>
                <w:p w:rsidR="00846FF0" w:rsidRDefault="00846FF0" w:rsidP="005206CF">
                  <w:pPr>
                    <w:keepNext/>
                    <w:adjustRightInd w:val="0"/>
                    <w:snapToGrid w:val="0"/>
                    <w:spacing w:line="240" w:lineRule="atLeast"/>
                    <w:ind w:right="-44"/>
                    <w:jc w:val="center"/>
                    <w:rPr>
                      <w:rFonts w:ascii="仿宋" w:eastAsia="仿宋" w:hAnsi="仿宋"/>
                      <w:b/>
                      <w:bCs/>
                      <w:szCs w:val="21"/>
                    </w:rPr>
                  </w:pPr>
                  <w:r>
                    <w:rPr>
                      <w:rFonts w:ascii="仿宋" w:eastAsia="仿宋" w:hAnsi="仿宋" w:hint="eastAsia"/>
                      <w:b/>
                      <w:bCs/>
                      <w:szCs w:val="21"/>
                    </w:rPr>
                    <w:t>开放日及开放时间</w:t>
                  </w:r>
                </w:p>
              </w:tc>
            </w:tr>
            <w:tr w:rsidR="00846FF0" w:rsidTr="006F7AD4">
              <w:tc>
                <w:tcPr>
                  <w:tcW w:w="1365" w:type="dxa"/>
                  <w:vAlign w:val="center"/>
                </w:tcPr>
                <w:p w:rsidR="00846FF0" w:rsidRDefault="00846FF0" w:rsidP="006F7AD4">
                  <w:pPr>
                    <w:keepNext/>
                    <w:adjustRightInd w:val="0"/>
                    <w:snapToGrid w:val="0"/>
                    <w:spacing w:line="240" w:lineRule="atLeast"/>
                    <w:ind w:right="-44"/>
                    <w:jc w:val="center"/>
                    <w:rPr>
                      <w:rFonts w:ascii="仿宋" w:eastAsia="仿宋" w:hAnsi="仿宋"/>
                      <w:bCs/>
                      <w:szCs w:val="21"/>
                    </w:rPr>
                  </w:pPr>
                  <w:r>
                    <w:rPr>
                      <w:rFonts w:ascii="仿宋" w:eastAsia="仿宋" w:hAnsi="仿宋" w:hint="eastAsia"/>
                      <w:bCs/>
                      <w:szCs w:val="21"/>
                    </w:rPr>
                    <w:t>申购</w:t>
                  </w:r>
                </w:p>
              </w:tc>
              <w:tc>
                <w:tcPr>
                  <w:tcW w:w="5406" w:type="dxa"/>
                </w:tcPr>
                <w:p w:rsidR="00846FF0" w:rsidRDefault="00846FF0" w:rsidP="005206CF">
                  <w:pPr>
                    <w:keepNext/>
                    <w:adjustRightInd w:val="0"/>
                    <w:snapToGrid w:val="0"/>
                    <w:spacing w:line="240" w:lineRule="atLeast"/>
                    <w:ind w:right="-44"/>
                    <w:rPr>
                      <w:rFonts w:ascii="仿宋" w:eastAsia="仿宋" w:hAnsi="仿宋"/>
                      <w:bCs/>
                      <w:szCs w:val="21"/>
                      <w:u w:val="single"/>
                    </w:rPr>
                  </w:pPr>
                  <w:r>
                    <w:rPr>
                      <w:rFonts w:ascii="仿宋" w:eastAsia="仿宋" w:hAnsi="仿宋" w:hint="eastAsia"/>
                      <w:bCs/>
                      <w:szCs w:val="21"/>
                    </w:rPr>
                    <w:t>通过华夏银行/华夏理财购买的，每个开放日的开放时间</w:t>
                  </w:r>
                  <w:r>
                    <w:rPr>
                      <w:rFonts w:ascii="仿宋" w:eastAsia="仿宋" w:hAnsi="仿宋" w:hint="eastAsia"/>
                    </w:rPr>
                    <w:t>9:00-17:00。投资者只能于开放日的开放时间内进行申购。投资者若在T日非开放时间提交申购，等同在下一开放时间内提交的申购申请，T日为开放日。</w:t>
                  </w:r>
                </w:p>
              </w:tc>
            </w:tr>
            <w:tr w:rsidR="00846FF0" w:rsidTr="006F7AD4">
              <w:tc>
                <w:tcPr>
                  <w:tcW w:w="1365" w:type="dxa"/>
                  <w:vAlign w:val="center"/>
                </w:tcPr>
                <w:p w:rsidR="00846FF0" w:rsidRDefault="00846FF0" w:rsidP="006F7AD4">
                  <w:pPr>
                    <w:keepNext/>
                    <w:adjustRightInd w:val="0"/>
                    <w:snapToGrid w:val="0"/>
                    <w:spacing w:line="240" w:lineRule="atLeast"/>
                    <w:ind w:right="-44"/>
                    <w:jc w:val="center"/>
                    <w:rPr>
                      <w:rFonts w:ascii="仿宋" w:eastAsia="仿宋" w:hAnsi="仿宋"/>
                      <w:bCs/>
                      <w:szCs w:val="21"/>
                    </w:rPr>
                  </w:pPr>
                  <w:r>
                    <w:rPr>
                      <w:rFonts w:ascii="仿宋" w:eastAsia="仿宋" w:hAnsi="仿宋" w:hint="eastAsia"/>
                      <w:bCs/>
                      <w:szCs w:val="21"/>
                    </w:rPr>
                    <w:t>赎回</w:t>
                  </w:r>
                </w:p>
              </w:tc>
              <w:tc>
                <w:tcPr>
                  <w:tcW w:w="5406" w:type="dxa"/>
                </w:tcPr>
                <w:p w:rsidR="00846FF0" w:rsidRDefault="00846FF0" w:rsidP="005206CF">
                  <w:pPr>
                    <w:keepNext/>
                    <w:adjustRightInd w:val="0"/>
                    <w:snapToGrid w:val="0"/>
                    <w:spacing w:line="240" w:lineRule="atLeast"/>
                    <w:ind w:right="-44"/>
                    <w:rPr>
                      <w:rFonts w:ascii="仿宋" w:eastAsia="仿宋" w:hAnsi="仿宋"/>
                      <w:bCs/>
                      <w:szCs w:val="21"/>
                    </w:rPr>
                  </w:pPr>
                  <w:r>
                    <w:rPr>
                      <w:rFonts w:ascii="仿宋" w:eastAsia="仿宋" w:hAnsi="仿宋" w:hint="eastAsia"/>
                      <w:bCs/>
                      <w:szCs w:val="21"/>
                    </w:rPr>
                    <w:t>通过华夏银行/华夏理财购买的，每个开放日的开放时间</w:t>
                  </w:r>
                  <w:r>
                    <w:rPr>
                      <w:rFonts w:ascii="仿宋" w:eastAsia="仿宋" w:hAnsi="仿宋" w:hint="eastAsia"/>
                    </w:rPr>
                    <w:t>9:00-17:00。投资者只能于开放日的开放时间内进行赎回。投资者若在T日非开放时间提交赎回，等同在下一开放时间内提交的赎回申请，T日为开放日。</w:t>
                  </w:r>
                </w:p>
              </w:tc>
            </w:tr>
          </w:tbl>
          <w:p w:rsidR="00846FF0" w:rsidRDefault="00846FF0" w:rsidP="005206CF">
            <w:pPr>
              <w:keepNext/>
              <w:adjustRightInd w:val="0"/>
              <w:snapToGrid w:val="0"/>
              <w:spacing w:line="240" w:lineRule="atLeast"/>
              <w:ind w:right="-44" w:firstLineChars="200" w:firstLine="422"/>
              <w:jc w:val="left"/>
              <w:rPr>
                <w:rFonts w:ascii="仿宋" w:eastAsia="仿宋" w:hAnsi="仿宋"/>
                <w:b/>
                <w:bCs/>
                <w:szCs w:val="21"/>
              </w:rPr>
            </w:pPr>
          </w:p>
          <w:p w:rsidR="00846FF0" w:rsidRDefault="00846FF0" w:rsidP="005206CF">
            <w:pPr>
              <w:keepNext/>
              <w:adjustRightInd w:val="0"/>
              <w:snapToGrid w:val="0"/>
              <w:spacing w:line="240" w:lineRule="atLeast"/>
              <w:ind w:right="-44" w:firstLineChars="200" w:firstLine="420"/>
              <w:jc w:val="left"/>
              <w:rPr>
                <w:rFonts w:ascii="仿宋" w:eastAsia="仿宋" w:hAnsi="仿宋"/>
                <w:szCs w:val="21"/>
              </w:rPr>
            </w:pPr>
            <w:r>
              <w:rPr>
                <w:rFonts w:ascii="仿宋" w:eastAsia="仿宋" w:hAnsi="仿宋" w:hint="eastAsia"/>
                <w:szCs w:val="21"/>
              </w:rPr>
              <w:t>代销机构如另有规定，从其规定。</w:t>
            </w:r>
          </w:p>
          <w:p w:rsidR="00846FF0" w:rsidRDefault="00846FF0" w:rsidP="005206CF">
            <w:pPr>
              <w:keepNext/>
              <w:adjustRightInd w:val="0"/>
              <w:snapToGrid w:val="0"/>
              <w:spacing w:line="240" w:lineRule="atLeast"/>
              <w:ind w:right="-44" w:firstLineChars="200" w:firstLine="422"/>
              <w:jc w:val="left"/>
              <w:rPr>
                <w:rFonts w:ascii="仿宋" w:eastAsia="仿宋" w:hAnsi="仿宋"/>
                <w:bCs/>
                <w:szCs w:val="21"/>
              </w:rPr>
            </w:pPr>
            <w:r>
              <w:rPr>
                <w:rFonts w:ascii="仿宋" w:eastAsia="仿宋" w:hAnsi="仿宋" w:hint="eastAsia"/>
                <w:b/>
                <w:bCs/>
                <w:szCs w:val="21"/>
              </w:rPr>
              <w:t>开放期内每个开放日的份额净值</w:t>
            </w:r>
            <w:r>
              <w:rPr>
                <w:rFonts w:ascii="仿宋" w:eastAsia="仿宋" w:hAnsi="仿宋"/>
                <w:b/>
                <w:bCs/>
                <w:color w:val="000000"/>
                <w:szCs w:val="21"/>
              </w:rPr>
              <w:t>将</w:t>
            </w:r>
            <w:r>
              <w:rPr>
                <w:rFonts w:ascii="仿宋" w:eastAsia="仿宋" w:hAnsi="仿宋" w:hint="eastAsia"/>
                <w:b/>
                <w:bCs/>
                <w:color w:val="000000"/>
                <w:szCs w:val="21"/>
              </w:rPr>
              <w:t>随</w:t>
            </w:r>
            <w:r>
              <w:rPr>
                <w:rFonts w:ascii="仿宋" w:eastAsia="仿宋" w:hAnsi="仿宋"/>
                <w:b/>
                <w:bCs/>
                <w:color w:val="000000"/>
                <w:szCs w:val="21"/>
              </w:rPr>
              <w:t>市场波动，具有不</w:t>
            </w:r>
            <w:r>
              <w:rPr>
                <w:rFonts w:ascii="仿宋" w:eastAsia="仿宋" w:hAnsi="仿宋" w:hint="eastAsia"/>
                <w:b/>
                <w:bCs/>
                <w:color w:val="000000"/>
                <w:szCs w:val="21"/>
              </w:rPr>
              <w:t>确定</w:t>
            </w:r>
            <w:r>
              <w:rPr>
                <w:rFonts w:ascii="仿宋" w:eastAsia="仿宋" w:hAnsi="仿宋"/>
                <w:b/>
                <w:bCs/>
                <w:color w:val="000000"/>
                <w:szCs w:val="21"/>
              </w:rPr>
              <w:t>性</w:t>
            </w:r>
            <w:r>
              <w:rPr>
                <w:rFonts w:ascii="仿宋" w:eastAsia="仿宋" w:hAnsi="仿宋" w:hint="eastAsia"/>
                <w:b/>
                <w:bCs/>
                <w:color w:val="000000"/>
                <w:szCs w:val="21"/>
              </w:rPr>
              <w:t>。</w:t>
            </w:r>
          </w:p>
          <w:p w:rsidR="00846FF0" w:rsidRDefault="00846FF0" w:rsidP="005206CF">
            <w:pPr>
              <w:keepNext/>
              <w:adjustRightInd w:val="0"/>
              <w:snapToGrid w:val="0"/>
              <w:spacing w:line="240" w:lineRule="atLeast"/>
              <w:ind w:right="-44" w:firstLineChars="200" w:firstLine="420"/>
              <w:jc w:val="left"/>
              <w:rPr>
                <w:rFonts w:ascii="仿宋" w:eastAsia="仿宋" w:hAnsi="仿宋"/>
                <w:bCs/>
                <w:szCs w:val="21"/>
              </w:rPr>
            </w:pPr>
            <w:r>
              <w:rPr>
                <w:rFonts w:ascii="仿宋" w:eastAsia="仿宋" w:hAnsi="仿宋" w:hint="eastAsia"/>
                <w:bCs/>
                <w:szCs w:val="21"/>
              </w:rPr>
              <w:t>华夏理财有权调整按上述规则确定的开放日，并在调整之前3个工作日公告。</w:t>
            </w:r>
          </w:p>
        </w:tc>
      </w:tr>
      <w:tr w:rsidR="00846FF0" w:rsidTr="00A12304">
        <w:trPr>
          <w:trHeight w:val="50"/>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预约购买及</w:t>
            </w:r>
          </w:p>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预约赎回</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right="-44" w:firstLineChars="200" w:firstLine="420"/>
              <w:rPr>
                <w:rFonts w:ascii="仿宋" w:eastAsia="仿宋" w:hAnsi="仿宋"/>
                <w:bCs/>
                <w:szCs w:val="21"/>
              </w:rPr>
            </w:pPr>
            <w:r>
              <w:rPr>
                <w:rFonts w:ascii="仿宋" w:eastAsia="仿宋" w:hAnsi="仿宋" w:hint="eastAsia"/>
                <w:bCs/>
                <w:szCs w:val="21"/>
              </w:rPr>
              <w:t>封闭期内的最后</w:t>
            </w:r>
            <w:r>
              <w:rPr>
                <w:rFonts w:ascii="仿宋" w:eastAsia="仿宋" w:hAnsi="仿宋"/>
                <w:bCs/>
                <w:szCs w:val="21"/>
              </w:rPr>
              <w:t>一</w:t>
            </w:r>
            <w:r>
              <w:rPr>
                <w:rFonts w:ascii="仿宋" w:eastAsia="仿宋" w:hAnsi="仿宋" w:hint="eastAsia"/>
                <w:bCs/>
                <w:szCs w:val="21"/>
              </w:rPr>
              <w:t>个</w:t>
            </w:r>
            <w:r>
              <w:rPr>
                <w:rFonts w:ascii="仿宋" w:eastAsia="仿宋" w:hAnsi="仿宋"/>
                <w:bCs/>
                <w:szCs w:val="21"/>
              </w:rPr>
              <w:t>工作日</w:t>
            </w:r>
            <w:r>
              <w:rPr>
                <w:rFonts w:ascii="仿宋" w:eastAsia="仿宋" w:hAnsi="仿宋" w:hint="eastAsia"/>
              </w:rPr>
              <w:t>17:30（不含）</w:t>
            </w:r>
            <w:r>
              <w:rPr>
                <w:rFonts w:ascii="仿宋" w:eastAsia="仿宋" w:hAnsi="仿宋" w:hint="eastAsia"/>
                <w:bCs/>
                <w:szCs w:val="21"/>
              </w:rPr>
              <w:t>前</w:t>
            </w:r>
            <w:r>
              <w:rPr>
                <w:rFonts w:ascii="仿宋" w:eastAsia="仿宋" w:hAnsi="仿宋"/>
                <w:bCs/>
                <w:szCs w:val="21"/>
              </w:rPr>
              <w:t>，</w:t>
            </w:r>
            <w:r>
              <w:rPr>
                <w:rFonts w:ascii="仿宋" w:eastAsia="仿宋" w:hAnsi="仿宋" w:hint="eastAsia"/>
                <w:bCs/>
                <w:szCs w:val="21"/>
              </w:rPr>
              <w:t>可接受通过</w:t>
            </w:r>
            <w:r>
              <w:rPr>
                <w:rFonts w:ascii="仿宋" w:eastAsia="仿宋" w:hAnsi="仿宋"/>
                <w:bCs/>
                <w:szCs w:val="21"/>
              </w:rPr>
              <w:t>华夏</w:t>
            </w:r>
            <w:r>
              <w:rPr>
                <w:rFonts w:ascii="仿宋" w:eastAsia="仿宋" w:hAnsi="仿宋" w:hint="eastAsia"/>
                <w:bCs/>
                <w:szCs w:val="21"/>
              </w:rPr>
              <w:t>银行/华夏理财</w:t>
            </w:r>
            <w:r>
              <w:rPr>
                <w:rFonts w:ascii="仿宋" w:eastAsia="仿宋" w:hAnsi="仿宋"/>
                <w:bCs/>
                <w:szCs w:val="21"/>
              </w:rPr>
              <w:t>购买的投资者</w:t>
            </w:r>
            <w:r>
              <w:rPr>
                <w:rFonts w:ascii="仿宋" w:eastAsia="仿宋" w:hAnsi="仿宋" w:hint="eastAsia"/>
                <w:bCs/>
                <w:szCs w:val="21"/>
              </w:rPr>
              <w:t>预约</w:t>
            </w:r>
            <w:r>
              <w:rPr>
                <w:rFonts w:ascii="仿宋" w:eastAsia="仿宋" w:hAnsi="仿宋"/>
                <w:bCs/>
                <w:szCs w:val="21"/>
              </w:rPr>
              <w:t>购买</w:t>
            </w:r>
            <w:r>
              <w:rPr>
                <w:rFonts w:ascii="仿宋" w:eastAsia="仿宋" w:hAnsi="仿宋" w:hint="eastAsia"/>
                <w:bCs/>
                <w:szCs w:val="21"/>
              </w:rPr>
              <w:t>、预约赎回申请</w:t>
            </w:r>
            <w:r>
              <w:rPr>
                <w:rFonts w:ascii="仿宋" w:eastAsia="仿宋" w:hAnsi="仿宋"/>
                <w:bCs/>
                <w:szCs w:val="21"/>
              </w:rPr>
              <w:t>，</w:t>
            </w:r>
            <w:r>
              <w:rPr>
                <w:rFonts w:ascii="仿宋" w:eastAsia="仿宋" w:hAnsi="仿宋" w:hint="eastAsia"/>
                <w:bCs/>
                <w:szCs w:val="21"/>
              </w:rPr>
              <w:t>视</w:t>
            </w:r>
            <w:r>
              <w:rPr>
                <w:rFonts w:ascii="仿宋" w:eastAsia="仿宋" w:hAnsi="仿宋"/>
                <w:bCs/>
                <w:szCs w:val="21"/>
              </w:rPr>
              <w:t>同在</w:t>
            </w:r>
            <w:r>
              <w:rPr>
                <w:rFonts w:ascii="仿宋" w:eastAsia="仿宋" w:hAnsi="仿宋" w:hint="eastAsia"/>
                <w:bCs/>
                <w:szCs w:val="21"/>
              </w:rPr>
              <w:t>下</w:t>
            </w:r>
            <w:r>
              <w:rPr>
                <w:rFonts w:ascii="仿宋" w:eastAsia="仿宋" w:hAnsi="仿宋"/>
                <w:bCs/>
                <w:szCs w:val="21"/>
              </w:rPr>
              <w:t>一</w:t>
            </w:r>
            <w:r>
              <w:rPr>
                <w:rFonts w:ascii="仿宋" w:eastAsia="仿宋" w:hAnsi="仿宋" w:hint="eastAsia"/>
                <w:bCs/>
                <w:szCs w:val="21"/>
              </w:rPr>
              <w:t>个申购/赎回</w:t>
            </w:r>
            <w:r>
              <w:rPr>
                <w:rFonts w:ascii="仿宋" w:eastAsia="仿宋" w:hAnsi="仿宋"/>
                <w:bCs/>
                <w:szCs w:val="21"/>
              </w:rPr>
              <w:t>开放日开放时间内</w:t>
            </w:r>
            <w:r>
              <w:rPr>
                <w:rFonts w:ascii="仿宋" w:eastAsia="仿宋" w:hAnsi="仿宋" w:hint="eastAsia"/>
                <w:bCs/>
                <w:szCs w:val="21"/>
              </w:rPr>
              <w:t>提交</w:t>
            </w:r>
            <w:r>
              <w:rPr>
                <w:rFonts w:ascii="仿宋" w:eastAsia="仿宋" w:hAnsi="仿宋"/>
                <w:bCs/>
                <w:szCs w:val="21"/>
              </w:rPr>
              <w:t>的</w:t>
            </w:r>
            <w:r>
              <w:rPr>
                <w:rFonts w:ascii="仿宋" w:eastAsia="仿宋" w:hAnsi="仿宋" w:hint="eastAsia"/>
                <w:bCs/>
                <w:szCs w:val="21"/>
              </w:rPr>
              <w:t>申购</w:t>
            </w:r>
            <w:r>
              <w:rPr>
                <w:rFonts w:ascii="仿宋" w:eastAsia="仿宋" w:hAnsi="仿宋"/>
                <w:bCs/>
                <w:szCs w:val="21"/>
              </w:rPr>
              <w:t>、赎回申请</w:t>
            </w:r>
            <w:r>
              <w:rPr>
                <w:rFonts w:ascii="仿宋" w:eastAsia="仿宋" w:hAnsi="仿宋" w:hint="eastAsia"/>
                <w:bCs/>
                <w:szCs w:val="21"/>
              </w:rPr>
              <w:t>。</w:t>
            </w:r>
          </w:p>
          <w:p w:rsidR="00846FF0" w:rsidRDefault="00846FF0" w:rsidP="00846FF0">
            <w:pPr>
              <w:adjustRightInd w:val="0"/>
              <w:snapToGrid w:val="0"/>
              <w:spacing w:line="240" w:lineRule="atLeast"/>
              <w:ind w:right="-44" w:firstLineChars="200" w:firstLine="420"/>
              <w:rPr>
                <w:rFonts w:ascii="仿宋" w:eastAsia="仿宋" w:hAnsi="仿宋"/>
                <w:bCs/>
                <w:szCs w:val="21"/>
              </w:rPr>
            </w:pPr>
            <w:r>
              <w:rPr>
                <w:rFonts w:ascii="仿宋" w:eastAsia="仿宋" w:hAnsi="仿宋" w:hint="eastAsia"/>
                <w:bCs/>
                <w:szCs w:val="21"/>
              </w:rPr>
              <w:t>华夏银行/华夏理财将在预约购买申请提出日之后的第一个申购开放</w:t>
            </w:r>
            <w:proofErr w:type="gramStart"/>
            <w:r>
              <w:rPr>
                <w:rFonts w:ascii="仿宋" w:eastAsia="仿宋" w:hAnsi="仿宋" w:hint="eastAsia"/>
                <w:bCs/>
                <w:szCs w:val="21"/>
              </w:rPr>
              <w:t>日根据</w:t>
            </w:r>
            <w:proofErr w:type="gramEnd"/>
            <w:r>
              <w:rPr>
                <w:rFonts w:ascii="仿宋" w:eastAsia="仿宋" w:hAnsi="仿宋" w:hint="eastAsia"/>
                <w:bCs/>
                <w:szCs w:val="21"/>
              </w:rPr>
              <w:t>预约购买申请扣款，如扣款失败,则预约购买申请不成功。</w:t>
            </w:r>
          </w:p>
          <w:p w:rsidR="00846FF0" w:rsidRDefault="00846FF0" w:rsidP="00846FF0">
            <w:pPr>
              <w:adjustRightInd w:val="0"/>
              <w:snapToGrid w:val="0"/>
              <w:spacing w:line="240" w:lineRule="atLeast"/>
              <w:ind w:right="-44" w:firstLineChars="200" w:firstLine="420"/>
              <w:jc w:val="left"/>
              <w:rPr>
                <w:rFonts w:ascii="仿宋" w:eastAsia="仿宋" w:hAnsi="仿宋"/>
                <w:bCs/>
                <w:szCs w:val="21"/>
              </w:rPr>
            </w:pPr>
            <w:r>
              <w:rPr>
                <w:rFonts w:ascii="仿宋" w:eastAsia="仿宋" w:hAnsi="仿宋" w:hint="eastAsia"/>
                <w:szCs w:val="21"/>
              </w:rPr>
              <w:t>代销机构如另有规定，从其规定。</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申购确认</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right="-44" w:firstLineChars="200" w:firstLine="420"/>
              <w:jc w:val="left"/>
              <w:rPr>
                <w:rFonts w:ascii="仿宋" w:eastAsia="仿宋" w:hAnsi="仿宋"/>
                <w:bCs/>
                <w:szCs w:val="21"/>
              </w:rPr>
            </w:pPr>
            <w:r>
              <w:rPr>
                <w:rFonts w:ascii="仿宋" w:eastAsia="仿宋" w:hAnsi="仿宋"/>
                <w:bCs/>
                <w:szCs w:val="21"/>
              </w:rPr>
              <w:t>T日</w:t>
            </w:r>
            <w:r>
              <w:rPr>
                <w:rFonts w:ascii="仿宋" w:eastAsia="仿宋" w:hAnsi="仿宋" w:hint="eastAsia"/>
                <w:bCs/>
                <w:szCs w:val="21"/>
              </w:rPr>
              <w:t>申购</w:t>
            </w:r>
            <w:r>
              <w:rPr>
                <w:rFonts w:ascii="仿宋" w:eastAsia="仿宋" w:hAnsi="仿宋"/>
                <w:bCs/>
                <w:szCs w:val="21"/>
              </w:rPr>
              <w:t>，</w:t>
            </w:r>
            <w:r>
              <w:rPr>
                <w:rFonts w:ascii="仿宋" w:eastAsia="仿宋" w:hAnsi="仿宋" w:hint="eastAsia"/>
                <w:bCs/>
                <w:szCs w:val="21"/>
              </w:rPr>
              <w:t>T+1日</w:t>
            </w:r>
            <w:r>
              <w:rPr>
                <w:rFonts w:ascii="仿宋" w:eastAsia="仿宋" w:hAnsi="仿宋"/>
                <w:bCs/>
                <w:szCs w:val="21"/>
              </w:rPr>
              <w:t>确认。T日为开放日。</w:t>
            </w:r>
            <w:r>
              <w:rPr>
                <w:rFonts w:ascii="仿宋" w:eastAsia="仿宋" w:hAnsi="仿宋" w:hint="eastAsia"/>
                <w:bCs/>
                <w:szCs w:val="21"/>
              </w:rPr>
              <w:t>通过华夏银行/华夏理财购买的，T日扣款；通过其他代销机构购买的，扣款规则以代销机构规定为准。</w:t>
            </w:r>
          </w:p>
          <w:p w:rsidR="00846FF0" w:rsidRDefault="00846FF0" w:rsidP="00846FF0">
            <w:pPr>
              <w:adjustRightInd w:val="0"/>
              <w:snapToGrid w:val="0"/>
              <w:spacing w:line="240" w:lineRule="atLeast"/>
              <w:ind w:right="-44" w:firstLineChars="200" w:firstLine="420"/>
              <w:jc w:val="left"/>
              <w:rPr>
                <w:rFonts w:ascii="仿宋" w:eastAsia="仿宋" w:hAnsi="仿宋"/>
                <w:bCs/>
                <w:szCs w:val="21"/>
              </w:rPr>
            </w:pPr>
            <w:r>
              <w:rPr>
                <w:rFonts w:ascii="仿宋" w:eastAsia="仿宋" w:hAnsi="仿宋" w:hint="eastAsia"/>
                <w:bCs/>
                <w:szCs w:val="21"/>
              </w:rPr>
              <w:t>以申购申请日的日终份额净值确认，按照“金额申购”的原则计算申购份额。</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赎回确认</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right="-44" w:firstLineChars="200" w:firstLine="420"/>
              <w:jc w:val="left"/>
              <w:rPr>
                <w:rFonts w:ascii="仿宋" w:eastAsia="仿宋" w:hAnsi="仿宋"/>
                <w:bCs/>
                <w:szCs w:val="21"/>
              </w:rPr>
            </w:pPr>
            <w:r>
              <w:rPr>
                <w:rFonts w:ascii="仿宋" w:eastAsia="仿宋" w:hAnsi="仿宋"/>
                <w:bCs/>
                <w:szCs w:val="21"/>
              </w:rPr>
              <w:t>T日赎回，</w:t>
            </w:r>
            <w:r>
              <w:rPr>
                <w:rFonts w:ascii="仿宋" w:eastAsia="仿宋" w:hAnsi="仿宋" w:hint="eastAsia"/>
                <w:bCs/>
                <w:szCs w:val="21"/>
              </w:rPr>
              <w:t>T+1日</w:t>
            </w:r>
            <w:r>
              <w:rPr>
                <w:rFonts w:ascii="仿宋" w:eastAsia="仿宋" w:hAnsi="仿宋"/>
                <w:bCs/>
                <w:szCs w:val="21"/>
              </w:rPr>
              <w:t>确认</w:t>
            </w:r>
            <w:r>
              <w:rPr>
                <w:rFonts w:ascii="仿宋" w:eastAsia="仿宋" w:hAnsi="仿宋" w:hint="eastAsia"/>
                <w:bCs/>
                <w:szCs w:val="21"/>
              </w:rPr>
              <w:t>。</w:t>
            </w:r>
          </w:p>
          <w:p w:rsidR="00846FF0" w:rsidRDefault="00846FF0" w:rsidP="00846FF0">
            <w:pPr>
              <w:adjustRightInd w:val="0"/>
              <w:snapToGrid w:val="0"/>
              <w:spacing w:line="240" w:lineRule="atLeast"/>
              <w:ind w:right="-44" w:firstLineChars="200" w:firstLine="420"/>
              <w:jc w:val="left"/>
              <w:rPr>
                <w:rFonts w:ascii="仿宋" w:eastAsia="仿宋" w:hAnsi="仿宋"/>
                <w:bCs/>
                <w:color w:val="FF6600"/>
                <w:szCs w:val="21"/>
              </w:rPr>
            </w:pPr>
            <w:r>
              <w:rPr>
                <w:rFonts w:ascii="仿宋" w:eastAsia="仿宋" w:hAnsi="仿宋" w:hint="eastAsia"/>
                <w:bCs/>
                <w:szCs w:val="21"/>
              </w:rPr>
              <w:t>通过华夏理财赎回的，投资者</w:t>
            </w:r>
            <w:r>
              <w:rPr>
                <w:rFonts w:ascii="仿宋" w:eastAsia="仿宋" w:hAnsi="仿宋"/>
                <w:bCs/>
                <w:szCs w:val="21"/>
              </w:rPr>
              <w:t>赎回资金</w:t>
            </w:r>
            <w:r>
              <w:rPr>
                <w:rFonts w:ascii="仿宋" w:eastAsia="仿宋" w:hAnsi="仿宋" w:hint="eastAsia"/>
                <w:bCs/>
                <w:szCs w:val="21"/>
              </w:rPr>
              <w:t>于T+2日24点前</w:t>
            </w:r>
            <w:r>
              <w:rPr>
                <w:rFonts w:ascii="仿宋" w:eastAsia="仿宋" w:hAnsi="仿宋"/>
                <w:bCs/>
                <w:szCs w:val="21"/>
              </w:rPr>
              <w:t>到账</w:t>
            </w:r>
            <w:r>
              <w:rPr>
                <w:rFonts w:ascii="仿宋" w:eastAsia="仿宋" w:hAnsi="仿宋" w:hint="eastAsia"/>
                <w:bCs/>
                <w:szCs w:val="21"/>
              </w:rPr>
              <w:t>；通过华夏银行赎回的，投资者</w:t>
            </w:r>
            <w:r>
              <w:rPr>
                <w:rFonts w:ascii="仿宋" w:eastAsia="仿宋" w:hAnsi="仿宋"/>
                <w:bCs/>
                <w:szCs w:val="21"/>
              </w:rPr>
              <w:t>赎回资金</w:t>
            </w:r>
            <w:r>
              <w:rPr>
                <w:rFonts w:ascii="仿宋" w:eastAsia="仿宋" w:hAnsi="仿宋" w:hint="eastAsia"/>
                <w:bCs/>
                <w:szCs w:val="21"/>
              </w:rPr>
              <w:t>于T+2日24点前</w:t>
            </w:r>
            <w:r>
              <w:rPr>
                <w:rFonts w:ascii="仿宋" w:eastAsia="仿宋" w:hAnsi="仿宋"/>
                <w:bCs/>
                <w:szCs w:val="21"/>
              </w:rPr>
              <w:t>到账</w:t>
            </w:r>
            <w:r>
              <w:rPr>
                <w:rFonts w:ascii="仿宋" w:eastAsia="仿宋" w:hAnsi="仿宋" w:hint="eastAsia"/>
                <w:bCs/>
                <w:szCs w:val="21"/>
              </w:rPr>
              <w:t>；通过其他代销机构赎回的，投资者赎回资金的具体到账账户、到账日及到账时间以代销机构划付规定为准</w:t>
            </w:r>
            <w:r>
              <w:rPr>
                <w:rFonts w:ascii="仿宋" w:eastAsia="仿宋" w:hAnsi="仿宋"/>
                <w:bCs/>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赎回规定</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right="-44" w:firstLineChars="200" w:firstLine="420"/>
              <w:jc w:val="left"/>
              <w:rPr>
                <w:rFonts w:ascii="仿宋" w:eastAsia="仿宋" w:hAnsi="仿宋"/>
                <w:b/>
                <w:bCs/>
                <w:szCs w:val="21"/>
              </w:rPr>
            </w:pPr>
            <w:r>
              <w:rPr>
                <w:rFonts w:ascii="仿宋" w:eastAsia="仿宋" w:hAnsi="仿宋" w:hint="eastAsia"/>
                <w:bCs/>
                <w:szCs w:val="21"/>
              </w:rPr>
              <w:t>本理财产品采取份额赎回的方式。投资者可选择全额或部分赎回，部分赎回后投资者持有本理财产品</w:t>
            </w:r>
            <w:proofErr w:type="gramStart"/>
            <w:r>
              <w:rPr>
                <w:rFonts w:ascii="仿宋" w:eastAsia="仿宋" w:hAnsi="仿宋" w:hint="eastAsia"/>
                <w:bCs/>
                <w:szCs w:val="21"/>
              </w:rPr>
              <w:t>的日末余额</w:t>
            </w:r>
            <w:proofErr w:type="gramEnd"/>
            <w:r>
              <w:rPr>
                <w:rFonts w:ascii="仿宋" w:eastAsia="仿宋" w:hAnsi="仿宋" w:hint="eastAsia"/>
                <w:bCs/>
                <w:szCs w:val="21"/>
              </w:rPr>
              <w:t>低于理财账户最低保留限额时，</w:t>
            </w:r>
            <w:r>
              <w:rPr>
                <w:rFonts w:ascii="仿宋" w:eastAsia="仿宋" w:hAnsi="仿宋" w:hint="eastAsia"/>
                <w:b/>
                <w:bCs/>
                <w:szCs w:val="21"/>
              </w:rPr>
              <w:t>华夏理财将在赎回</w:t>
            </w:r>
            <w:proofErr w:type="gramStart"/>
            <w:r>
              <w:rPr>
                <w:rFonts w:ascii="仿宋" w:eastAsia="仿宋" w:hAnsi="仿宋" w:hint="eastAsia"/>
                <w:b/>
                <w:bCs/>
                <w:szCs w:val="21"/>
              </w:rPr>
              <w:t>确认日末对</w:t>
            </w:r>
            <w:proofErr w:type="gramEnd"/>
            <w:r>
              <w:rPr>
                <w:rFonts w:ascii="仿宋" w:eastAsia="仿宋" w:hAnsi="仿宋" w:hint="eastAsia"/>
                <w:b/>
                <w:bCs/>
                <w:szCs w:val="21"/>
              </w:rPr>
              <w:t>投资者的剩余份额发起强制赎回。</w:t>
            </w:r>
          </w:p>
          <w:p w:rsidR="00846FF0" w:rsidRDefault="00846FF0" w:rsidP="00846FF0">
            <w:pPr>
              <w:adjustRightInd w:val="0"/>
              <w:snapToGrid w:val="0"/>
              <w:spacing w:line="240" w:lineRule="atLeast"/>
              <w:ind w:right="-44" w:firstLineChars="200" w:firstLine="422"/>
              <w:jc w:val="left"/>
              <w:rPr>
                <w:rFonts w:ascii="仿宋" w:eastAsia="仿宋" w:hAnsi="仿宋"/>
                <w:b/>
                <w:bCs/>
                <w:szCs w:val="21"/>
              </w:rPr>
            </w:pPr>
            <w:r>
              <w:rPr>
                <w:rFonts w:ascii="仿宋" w:eastAsia="仿宋" w:hAnsi="仿宋" w:hint="eastAsia"/>
                <w:b/>
                <w:bCs/>
                <w:szCs w:val="21"/>
              </w:rPr>
              <w:t>若客户在同一开放日提交申购和赎回原持有份额的交易申请，经申购和赎回交易确认后的剩余份额低于理财账户最低保留限额时，华夏理财将在赎回</w:t>
            </w:r>
            <w:proofErr w:type="gramStart"/>
            <w:r>
              <w:rPr>
                <w:rFonts w:ascii="仿宋" w:eastAsia="仿宋" w:hAnsi="仿宋" w:hint="eastAsia"/>
                <w:b/>
                <w:bCs/>
                <w:szCs w:val="21"/>
              </w:rPr>
              <w:t>确认日末对</w:t>
            </w:r>
            <w:proofErr w:type="gramEnd"/>
            <w:r>
              <w:rPr>
                <w:rFonts w:ascii="仿宋" w:eastAsia="仿宋" w:hAnsi="仿宋" w:hint="eastAsia"/>
                <w:b/>
                <w:bCs/>
                <w:szCs w:val="21"/>
              </w:rPr>
              <w:t>投资者的剩余份额发起强制赎回。</w:t>
            </w:r>
          </w:p>
          <w:p w:rsidR="00846FF0" w:rsidRDefault="00846FF0" w:rsidP="00846FF0">
            <w:pPr>
              <w:adjustRightInd w:val="0"/>
              <w:snapToGrid w:val="0"/>
              <w:spacing w:line="240" w:lineRule="atLeast"/>
              <w:ind w:right="-44" w:firstLineChars="200" w:firstLine="420"/>
              <w:jc w:val="left"/>
              <w:rPr>
                <w:rFonts w:ascii="仿宋" w:eastAsia="仿宋" w:hAnsi="仿宋"/>
                <w:bCs/>
                <w:szCs w:val="21"/>
              </w:rPr>
            </w:pPr>
            <w:r>
              <w:rPr>
                <w:rFonts w:ascii="仿宋" w:eastAsia="仿宋" w:hAnsi="仿宋" w:hint="eastAsia"/>
                <w:szCs w:val="21"/>
              </w:rPr>
              <w:t>代销机构如另有规定，从其规定。</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赎回金额的计算</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spacing w:line="240" w:lineRule="atLeast"/>
              <w:ind w:firstLineChars="200" w:firstLine="420"/>
              <w:rPr>
                <w:rFonts w:ascii="仿宋" w:eastAsia="仿宋" w:hAnsi="仿宋"/>
                <w:bCs/>
                <w:szCs w:val="21"/>
                <w:u w:val="single"/>
              </w:rPr>
            </w:pPr>
            <w:r>
              <w:rPr>
                <w:rFonts w:ascii="仿宋" w:eastAsia="仿宋" w:hAnsi="仿宋"/>
                <w:bCs/>
                <w:szCs w:val="21"/>
              </w:rPr>
              <w:t>赎回金额＝赎回份额×赎回</w:t>
            </w:r>
            <w:r>
              <w:rPr>
                <w:rFonts w:ascii="仿宋" w:eastAsia="仿宋" w:hAnsi="仿宋" w:hint="eastAsia"/>
                <w:bCs/>
                <w:szCs w:val="21"/>
              </w:rPr>
              <w:t>申请日日终的产品份额净值，保留到小数点后</w:t>
            </w:r>
            <w:r>
              <w:rPr>
                <w:rFonts w:ascii="仿宋" w:eastAsia="仿宋" w:hAnsi="仿宋"/>
                <w:bCs/>
                <w:szCs w:val="21"/>
                <w:u w:val="single"/>
              </w:rPr>
              <w:t>2</w:t>
            </w:r>
            <w:r>
              <w:rPr>
                <w:rFonts w:ascii="仿宋" w:eastAsia="仿宋" w:hAnsi="仿宋" w:hint="eastAsia"/>
                <w:bCs/>
                <w:szCs w:val="21"/>
              </w:rPr>
              <w:t>位，小数点后第</w:t>
            </w:r>
            <w:r>
              <w:rPr>
                <w:rFonts w:ascii="仿宋" w:eastAsia="仿宋" w:hAnsi="仿宋"/>
                <w:bCs/>
                <w:szCs w:val="21"/>
                <w:u w:val="single"/>
              </w:rPr>
              <w:t>3</w:t>
            </w:r>
            <w:r>
              <w:rPr>
                <w:rFonts w:ascii="仿宋" w:eastAsia="仿宋" w:hAnsi="仿宋" w:hint="eastAsia"/>
                <w:bCs/>
                <w:szCs w:val="21"/>
              </w:rPr>
              <w:t>位四舍五入。</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到期/终止的理财本金</w:t>
            </w:r>
            <w:r>
              <w:rPr>
                <w:rFonts w:ascii="仿宋" w:eastAsia="仿宋" w:hAnsi="仿宋"/>
                <w:bCs/>
                <w:szCs w:val="21"/>
              </w:rPr>
              <w:t>及</w:t>
            </w:r>
            <w:r>
              <w:rPr>
                <w:rFonts w:ascii="仿宋" w:eastAsia="仿宋" w:hAnsi="仿宋" w:hint="eastAsia"/>
                <w:bCs/>
                <w:szCs w:val="21"/>
              </w:rPr>
              <w:t>收益</w:t>
            </w:r>
          </w:p>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兑付</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华夏理财将于理财产品到期/终止</w:t>
            </w:r>
            <w:r>
              <w:rPr>
                <w:rFonts w:ascii="仿宋" w:eastAsia="仿宋" w:hAnsi="仿宋"/>
                <w:bCs/>
                <w:szCs w:val="21"/>
              </w:rPr>
              <w:t>日</w:t>
            </w:r>
            <w:r>
              <w:rPr>
                <w:rFonts w:ascii="仿宋" w:eastAsia="仿宋" w:hAnsi="仿宋" w:hint="eastAsia"/>
                <w:bCs/>
                <w:szCs w:val="21"/>
              </w:rPr>
              <w:t>后2个工作</w:t>
            </w:r>
            <w:r>
              <w:rPr>
                <w:rFonts w:ascii="仿宋" w:eastAsia="仿宋" w:hAnsi="仿宋"/>
                <w:bCs/>
                <w:szCs w:val="21"/>
              </w:rPr>
              <w:t>日</w:t>
            </w:r>
            <w:r>
              <w:rPr>
                <w:rFonts w:ascii="仿宋" w:eastAsia="仿宋" w:hAnsi="仿宋" w:hint="eastAsia"/>
                <w:bCs/>
                <w:szCs w:val="21"/>
              </w:rPr>
              <w:t>（内）</w:t>
            </w:r>
            <w:r>
              <w:rPr>
                <w:rFonts w:ascii="仿宋" w:eastAsia="仿宋" w:hAnsi="仿宋"/>
                <w:bCs/>
                <w:szCs w:val="21"/>
              </w:rPr>
              <w:t>，</w:t>
            </w:r>
            <w:r>
              <w:rPr>
                <w:rFonts w:ascii="仿宋" w:eastAsia="仿宋" w:hAnsi="仿宋" w:hint="eastAsia"/>
                <w:bCs/>
                <w:szCs w:val="21"/>
              </w:rPr>
              <w:t>根据实际投资结果向华夏理财客户及代销机构一次性划付理财本金及收益（如有），代销机构客户的理财本金及收益（如有）的具体到账账户、到账日及到账时间以代销机构划付规定为准。</w:t>
            </w:r>
          </w:p>
          <w:p w:rsidR="00846FF0" w:rsidRDefault="00846FF0" w:rsidP="00846FF0">
            <w:pPr>
              <w:spacing w:line="240" w:lineRule="atLeast"/>
              <w:ind w:firstLineChars="200" w:firstLine="420"/>
              <w:rPr>
                <w:rFonts w:ascii="仿宋" w:eastAsia="仿宋" w:hAnsi="仿宋"/>
                <w:bCs/>
                <w:szCs w:val="21"/>
              </w:rPr>
            </w:pPr>
            <w:r>
              <w:rPr>
                <w:rFonts w:ascii="仿宋" w:eastAsia="仿宋" w:hAnsi="仿宋" w:hint="eastAsia"/>
                <w:bCs/>
                <w:szCs w:val="21"/>
              </w:rPr>
              <w:t>客户到期/终止本金及收益金额=∑（每笔份额*到期/终止日的产品份额净值），每笔金额计算保留到小数点后</w:t>
            </w:r>
            <w:r>
              <w:rPr>
                <w:rFonts w:ascii="仿宋" w:eastAsia="仿宋" w:hAnsi="仿宋"/>
                <w:bCs/>
                <w:szCs w:val="21"/>
              </w:rPr>
              <w:t>2</w:t>
            </w:r>
            <w:r>
              <w:rPr>
                <w:rFonts w:ascii="仿宋" w:eastAsia="仿宋" w:hAnsi="仿宋" w:hint="eastAsia"/>
                <w:bCs/>
                <w:szCs w:val="21"/>
              </w:rPr>
              <w:t>位，小数点后第</w:t>
            </w:r>
            <w:r>
              <w:rPr>
                <w:rFonts w:ascii="仿宋" w:eastAsia="仿宋" w:hAnsi="仿宋"/>
                <w:bCs/>
                <w:szCs w:val="21"/>
              </w:rPr>
              <w:t>3</w:t>
            </w:r>
            <w:r>
              <w:rPr>
                <w:rFonts w:ascii="仿宋" w:eastAsia="仿宋" w:hAnsi="仿宋" w:hint="eastAsia"/>
                <w:bCs/>
                <w:szCs w:val="21"/>
              </w:rPr>
              <w:t>位四舍五入。</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巨额赎回</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tabs>
                <w:tab w:val="left" w:pos="720"/>
              </w:tabs>
              <w:autoSpaceDE w:val="0"/>
              <w:autoSpaceDN w:val="0"/>
              <w:adjustRightInd w:val="0"/>
              <w:snapToGrid w:val="0"/>
              <w:spacing w:line="240" w:lineRule="atLeast"/>
              <w:ind w:right="18" w:firstLineChars="200" w:firstLine="420"/>
              <w:rPr>
                <w:rFonts w:ascii="仿宋" w:eastAsia="仿宋" w:hAnsi="仿宋"/>
                <w:bCs/>
                <w:szCs w:val="21"/>
              </w:rPr>
            </w:pPr>
            <w:r>
              <w:rPr>
                <w:rFonts w:ascii="仿宋" w:eastAsia="仿宋" w:hAnsi="仿宋"/>
                <w:bCs/>
                <w:szCs w:val="21"/>
              </w:rPr>
              <w:t>单个开放日中，本</w:t>
            </w:r>
            <w:r>
              <w:rPr>
                <w:rFonts w:ascii="仿宋" w:eastAsia="仿宋" w:hAnsi="仿宋" w:hint="eastAsia"/>
                <w:bCs/>
                <w:szCs w:val="21"/>
              </w:rPr>
              <w:t>理财</w:t>
            </w:r>
            <w:r>
              <w:rPr>
                <w:rFonts w:ascii="仿宋" w:eastAsia="仿宋" w:hAnsi="仿宋"/>
                <w:bCs/>
                <w:szCs w:val="21"/>
              </w:rPr>
              <w:t>产品的净赎回申请</w:t>
            </w:r>
            <w:r>
              <w:rPr>
                <w:rFonts w:ascii="仿宋" w:eastAsia="仿宋" w:hAnsi="仿宋" w:hint="eastAsia"/>
                <w:bCs/>
                <w:szCs w:val="21"/>
              </w:rPr>
              <w:t>份额</w:t>
            </w:r>
            <w:r>
              <w:rPr>
                <w:rFonts w:ascii="仿宋" w:eastAsia="仿宋" w:hAnsi="仿宋"/>
                <w:bCs/>
                <w:szCs w:val="21"/>
              </w:rPr>
              <w:t>（赎回</w:t>
            </w:r>
            <w:proofErr w:type="gramStart"/>
            <w:r>
              <w:rPr>
                <w:rFonts w:ascii="仿宋" w:eastAsia="仿宋" w:hAnsi="仿宋"/>
                <w:bCs/>
                <w:szCs w:val="21"/>
              </w:rPr>
              <w:t>申请总</w:t>
            </w:r>
            <w:proofErr w:type="gramEnd"/>
            <w:r>
              <w:rPr>
                <w:rFonts w:ascii="仿宋" w:eastAsia="仿宋" w:hAnsi="仿宋"/>
                <w:bCs/>
                <w:szCs w:val="21"/>
              </w:rPr>
              <w:t>份额扣除申购</w:t>
            </w:r>
            <w:proofErr w:type="gramStart"/>
            <w:r>
              <w:rPr>
                <w:rFonts w:ascii="仿宋" w:eastAsia="仿宋" w:hAnsi="仿宋" w:hint="eastAsia"/>
                <w:bCs/>
                <w:szCs w:val="21"/>
              </w:rPr>
              <w:t>申请</w:t>
            </w:r>
            <w:r>
              <w:rPr>
                <w:rFonts w:ascii="仿宋" w:eastAsia="仿宋" w:hAnsi="仿宋"/>
                <w:bCs/>
                <w:szCs w:val="21"/>
              </w:rPr>
              <w:t>总</w:t>
            </w:r>
            <w:proofErr w:type="gramEnd"/>
            <w:r>
              <w:rPr>
                <w:rFonts w:ascii="仿宋" w:eastAsia="仿宋" w:hAnsi="仿宋"/>
                <w:bCs/>
                <w:szCs w:val="21"/>
              </w:rPr>
              <w:t>份额后的余额）超过上一日产品总份额的</w:t>
            </w:r>
            <w:r>
              <w:rPr>
                <w:rFonts w:ascii="仿宋" w:eastAsia="仿宋" w:hAnsi="仿宋"/>
                <w:bCs/>
                <w:szCs w:val="21"/>
                <w:u w:val="single"/>
              </w:rPr>
              <w:t>10</w:t>
            </w:r>
            <w:r>
              <w:rPr>
                <w:rFonts w:ascii="仿宋" w:eastAsia="仿宋" w:hAnsi="仿宋"/>
                <w:bCs/>
                <w:szCs w:val="21"/>
              </w:rPr>
              <w:t>%为巨额赎回</w:t>
            </w:r>
            <w:r>
              <w:rPr>
                <w:rFonts w:ascii="仿宋" w:eastAsia="仿宋" w:hAnsi="仿宋" w:hint="eastAsia"/>
                <w:bCs/>
                <w:szCs w:val="21"/>
              </w:rPr>
              <w:t>。</w:t>
            </w:r>
          </w:p>
          <w:p w:rsidR="00846FF0" w:rsidRDefault="00846FF0" w:rsidP="00846FF0">
            <w:pPr>
              <w:tabs>
                <w:tab w:val="left" w:pos="720"/>
              </w:tabs>
              <w:autoSpaceDE w:val="0"/>
              <w:autoSpaceDN w:val="0"/>
              <w:adjustRightInd w:val="0"/>
              <w:snapToGrid w:val="0"/>
              <w:spacing w:line="240" w:lineRule="atLeast"/>
              <w:ind w:right="18" w:firstLineChars="200" w:firstLine="422"/>
              <w:rPr>
                <w:rFonts w:ascii="仿宋" w:eastAsia="仿宋" w:hAnsi="仿宋"/>
                <w:bCs/>
                <w:szCs w:val="21"/>
              </w:rPr>
            </w:pPr>
            <w:r>
              <w:rPr>
                <w:rFonts w:ascii="仿宋" w:eastAsia="仿宋" w:hAnsi="仿宋" w:hint="eastAsia"/>
                <w:b/>
                <w:szCs w:val="21"/>
              </w:rPr>
              <w:t>如发生巨额赎回，</w:t>
            </w:r>
            <w:r>
              <w:rPr>
                <w:rFonts w:ascii="仿宋" w:eastAsia="仿宋" w:hAnsi="仿宋"/>
                <w:b/>
                <w:szCs w:val="21"/>
              </w:rPr>
              <w:t>管理人</w:t>
            </w:r>
            <w:r>
              <w:rPr>
                <w:rFonts w:ascii="仿宋" w:eastAsia="仿宋" w:hAnsi="仿宋" w:hint="eastAsia"/>
                <w:b/>
                <w:szCs w:val="21"/>
              </w:rPr>
              <w:t>当日办理的赎回份额不低于前一日终理财产品总份额的10%。</w:t>
            </w:r>
          </w:p>
          <w:p w:rsidR="00846FF0" w:rsidRDefault="00846FF0" w:rsidP="00846FF0">
            <w:pPr>
              <w:tabs>
                <w:tab w:val="left" w:pos="720"/>
              </w:tabs>
              <w:autoSpaceDE w:val="0"/>
              <w:autoSpaceDN w:val="0"/>
              <w:adjustRightInd w:val="0"/>
              <w:snapToGrid w:val="0"/>
              <w:spacing w:line="240" w:lineRule="atLeast"/>
              <w:ind w:right="18" w:firstLineChars="200" w:firstLine="422"/>
              <w:rPr>
                <w:rFonts w:ascii="仿宋" w:eastAsia="仿宋" w:hAnsi="仿宋"/>
                <w:bCs/>
                <w:szCs w:val="21"/>
              </w:rPr>
            </w:pPr>
            <w:r>
              <w:rPr>
                <w:rFonts w:ascii="仿宋" w:eastAsia="仿宋" w:hAnsi="仿宋"/>
                <w:b/>
                <w:szCs w:val="21"/>
              </w:rPr>
              <w:t>管理人</w:t>
            </w:r>
            <w:r>
              <w:rPr>
                <w:rFonts w:ascii="仿宋" w:eastAsia="仿宋" w:hAnsi="仿宋" w:hint="eastAsia"/>
                <w:b/>
                <w:bCs/>
                <w:szCs w:val="21"/>
              </w:rPr>
              <w:t>有权</w:t>
            </w:r>
            <w:r>
              <w:rPr>
                <w:rFonts w:ascii="仿宋" w:eastAsia="仿宋" w:hAnsi="仿宋" w:hint="eastAsia"/>
                <w:b/>
                <w:szCs w:val="21"/>
              </w:rPr>
              <w:t>对其余的赎回申请</w:t>
            </w:r>
            <w:r>
              <w:rPr>
                <w:rFonts w:ascii="仿宋" w:eastAsia="仿宋" w:hAnsi="仿宋" w:hint="eastAsia"/>
                <w:b/>
                <w:bCs/>
                <w:szCs w:val="21"/>
              </w:rPr>
              <w:t>采取</w:t>
            </w:r>
            <w:r>
              <w:rPr>
                <w:rFonts w:ascii="仿宋" w:eastAsia="仿宋" w:hAnsi="仿宋" w:hint="eastAsia"/>
                <w:b/>
                <w:szCs w:val="21"/>
              </w:rPr>
              <w:t>暂停接受的</w:t>
            </w:r>
            <w:r>
              <w:rPr>
                <w:rFonts w:ascii="仿宋" w:eastAsia="仿宋" w:hAnsi="仿宋"/>
                <w:b/>
                <w:szCs w:val="21"/>
              </w:rPr>
              <w:t>应对措施。</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lastRenderedPageBreak/>
              <w:t>撤销规定</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1.募集期认购撤销</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投资者可撤销已提交的认购申请（仅可全额撤销），具体规定如下：</w:t>
            </w:r>
          </w:p>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bCs/>
                <w:szCs w:val="21"/>
              </w:rPr>
              <w:t>（1</w:t>
            </w:r>
            <w:r>
              <w:rPr>
                <w:rFonts w:ascii="仿宋" w:eastAsia="仿宋" w:hAnsi="仿宋" w:hint="eastAsia"/>
                <w:bCs/>
                <w:szCs w:val="21"/>
              </w:rPr>
              <w:t>）通过华夏理财自有</w:t>
            </w:r>
            <w:r>
              <w:rPr>
                <w:rFonts w:ascii="仿宋" w:eastAsia="仿宋" w:hAnsi="仿宋"/>
                <w:bCs/>
                <w:szCs w:val="21"/>
              </w:rPr>
              <w:t>销售渠道</w:t>
            </w:r>
            <w:r>
              <w:rPr>
                <w:rFonts w:ascii="仿宋" w:eastAsia="仿宋" w:hAnsi="仿宋" w:hint="eastAsia"/>
                <w:bCs/>
                <w:szCs w:val="21"/>
              </w:rPr>
              <w:t>认购的，投资者撤销的本金在</w:t>
            </w:r>
            <w:r>
              <w:rPr>
                <w:rFonts w:ascii="仿宋" w:eastAsia="仿宋" w:hAnsi="仿宋"/>
                <w:bCs/>
                <w:szCs w:val="21"/>
                <w:u w:val="single"/>
              </w:rPr>
              <w:t>2</w:t>
            </w:r>
            <w:r>
              <w:rPr>
                <w:rFonts w:ascii="仿宋" w:eastAsia="仿宋" w:hAnsi="仿宋"/>
                <w:bCs/>
                <w:szCs w:val="21"/>
              </w:rPr>
              <w:t>个工作日内</w:t>
            </w:r>
            <w:r>
              <w:rPr>
                <w:rFonts w:ascii="仿宋" w:eastAsia="仿宋" w:hAnsi="仿宋" w:hint="eastAsia"/>
                <w:bCs/>
                <w:szCs w:val="21"/>
              </w:rPr>
              <w:t>到账。</w:t>
            </w:r>
          </w:p>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bCs/>
                <w:szCs w:val="21"/>
              </w:rPr>
              <w:t>（2</w:t>
            </w:r>
            <w:r>
              <w:rPr>
                <w:rFonts w:ascii="仿宋" w:eastAsia="仿宋" w:hAnsi="仿宋" w:hint="eastAsia"/>
                <w:bCs/>
                <w:szCs w:val="21"/>
              </w:rPr>
              <w:t>）通过华夏银行认购的，投资者撤销的本金实时到账。</w:t>
            </w:r>
          </w:p>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bCs/>
                <w:szCs w:val="21"/>
              </w:rPr>
              <w:t>（3</w:t>
            </w:r>
            <w:r>
              <w:rPr>
                <w:rFonts w:ascii="仿宋" w:eastAsia="仿宋" w:hAnsi="仿宋" w:hint="eastAsia"/>
                <w:bCs/>
                <w:szCs w:val="21"/>
              </w:rPr>
              <w:t>）通过华夏理财认购的</w:t>
            </w:r>
            <w:r>
              <w:rPr>
                <w:rFonts w:ascii="仿宋" w:eastAsia="仿宋" w:hAnsi="仿宋"/>
                <w:bCs/>
                <w:szCs w:val="21"/>
              </w:rPr>
              <w:t>，</w:t>
            </w:r>
            <w:r>
              <w:rPr>
                <w:rFonts w:ascii="仿宋" w:eastAsia="仿宋" w:hAnsi="仿宋" w:hint="eastAsia"/>
              </w:rPr>
              <w:t>募集期最后一日17:30（含）之后</w:t>
            </w:r>
            <w:r>
              <w:rPr>
                <w:rFonts w:ascii="仿宋" w:eastAsia="仿宋" w:hAnsi="仿宋" w:hint="eastAsia"/>
                <w:bCs/>
                <w:szCs w:val="21"/>
              </w:rPr>
              <w:t>不能进行撤销。</w:t>
            </w:r>
          </w:p>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bCs/>
                <w:szCs w:val="21"/>
              </w:rPr>
              <w:t>（4</w:t>
            </w:r>
            <w:r>
              <w:rPr>
                <w:rFonts w:ascii="仿宋" w:eastAsia="仿宋" w:hAnsi="仿宋" w:hint="eastAsia"/>
                <w:bCs/>
                <w:szCs w:val="21"/>
              </w:rPr>
              <w:t>）通过华夏银行认购的</w:t>
            </w:r>
            <w:r>
              <w:rPr>
                <w:rFonts w:ascii="仿宋" w:eastAsia="仿宋" w:hAnsi="仿宋"/>
                <w:bCs/>
                <w:szCs w:val="21"/>
              </w:rPr>
              <w:t>，</w:t>
            </w:r>
            <w:r>
              <w:rPr>
                <w:rFonts w:ascii="仿宋" w:eastAsia="仿宋" w:hAnsi="仿宋" w:hint="eastAsia"/>
              </w:rPr>
              <w:t>募集期最后一日17:30（含）之后</w:t>
            </w:r>
            <w:r>
              <w:rPr>
                <w:rFonts w:ascii="仿宋" w:eastAsia="仿宋" w:hAnsi="仿宋" w:hint="eastAsia"/>
                <w:bCs/>
                <w:szCs w:val="21"/>
              </w:rPr>
              <w:t>不能进行撤销。</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通过其他代销机构认购的，撤销规定以代销机构规定为准。</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2.开放日申购、赎回撤销</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投资者可于开放日开放时间内撤销当日已提交的申购、赎回申请（仅可全额撤销），</w:t>
            </w:r>
          </w:p>
          <w:p w:rsidR="00846FF0" w:rsidRDefault="00846FF0" w:rsidP="00846FF0">
            <w:pPr>
              <w:adjustRightInd w:val="0"/>
              <w:snapToGrid w:val="0"/>
              <w:spacing w:line="240" w:lineRule="atLeast"/>
              <w:rPr>
                <w:rFonts w:ascii="仿宋" w:eastAsia="仿宋" w:hAnsi="仿宋"/>
                <w:bCs/>
                <w:szCs w:val="21"/>
              </w:rPr>
            </w:pPr>
            <w:r>
              <w:rPr>
                <w:rFonts w:ascii="仿宋" w:eastAsia="仿宋" w:hAnsi="仿宋" w:hint="eastAsia"/>
                <w:bCs/>
                <w:szCs w:val="21"/>
              </w:rPr>
              <w:t>具体规定如下：</w:t>
            </w:r>
          </w:p>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bCs/>
                <w:szCs w:val="21"/>
              </w:rPr>
              <w:t>（1</w:t>
            </w:r>
            <w:r>
              <w:rPr>
                <w:rFonts w:ascii="仿宋" w:eastAsia="仿宋" w:hAnsi="仿宋" w:hint="eastAsia"/>
                <w:bCs/>
                <w:szCs w:val="21"/>
              </w:rPr>
              <w:t>）通过华夏理财自有</w:t>
            </w:r>
            <w:r>
              <w:rPr>
                <w:rFonts w:ascii="仿宋" w:eastAsia="仿宋" w:hAnsi="仿宋"/>
                <w:bCs/>
                <w:szCs w:val="21"/>
              </w:rPr>
              <w:t>销售渠道</w:t>
            </w:r>
            <w:r>
              <w:rPr>
                <w:rFonts w:ascii="仿宋" w:eastAsia="仿宋" w:hAnsi="仿宋" w:hint="eastAsia"/>
                <w:bCs/>
                <w:szCs w:val="21"/>
              </w:rPr>
              <w:t>申购的，投资者撤销的本金在</w:t>
            </w:r>
            <w:r>
              <w:rPr>
                <w:rFonts w:ascii="仿宋" w:eastAsia="仿宋" w:hAnsi="仿宋"/>
                <w:bCs/>
                <w:szCs w:val="21"/>
                <w:u w:val="single"/>
              </w:rPr>
              <w:t>2</w:t>
            </w:r>
            <w:r>
              <w:rPr>
                <w:rFonts w:ascii="仿宋" w:eastAsia="仿宋" w:hAnsi="仿宋"/>
                <w:bCs/>
                <w:szCs w:val="21"/>
              </w:rPr>
              <w:t>个工作日内</w:t>
            </w:r>
            <w:r>
              <w:rPr>
                <w:rFonts w:ascii="仿宋" w:eastAsia="仿宋" w:hAnsi="仿宋" w:hint="eastAsia"/>
                <w:bCs/>
                <w:szCs w:val="21"/>
              </w:rPr>
              <w:t>到账。</w:t>
            </w:r>
          </w:p>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bCs/>
                <w:szCs w:val="21"/>
              </w:rPr>
              <w:t>（2</w:t>
            </w:r>
            <w:r>
              <w:rPr>
                <w:rFonts w:ascii="仿宋" w:eastAsia="仿宋" w:hAnsi="仿宋" w:hint="eastAsia"/>
                <w:bCs/>
                <w:szCs w:val="21"/>
              </w:rPr>
              <w:t>）通过华夏银行申购的，投资者撤销的本金实时到账。</w:t>
            </w:r>
          </w:p>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bCs/>
                <w:szCs w:val="21"/>
              </w:rPr>
              <w:t>（3</w:t>
            </w:r>
            <w:r>
              <w:rPr>
                <w:rFonts w:ascii="仿宋" w:eastAsia="仿宋" w:hAnsi="仿宋" w:hint="eastAsia"/>
                <w:bCs/>
                <w:szCs w:val="21"/>
              </w:rPr>
              <w:t>）通过华夏理财申购的</w:t>
            </w:r>
            <w:r>
              <w:rPr>
                <w:rFonts w:ascii="仿宋" w:eastAsia="仿宋" w:hAnsi="仿宋"/>
                <w:bCs/>
                <w:szCs w:val="21"/>
              </w:rPr>
              <w:t>，</w:t>
            </w:r>
            <w:r>
              <w:rPr>
                <w:rFonts w:ascii="仿宋" w:eastAsia="仿宋" w:hAnsi="仿宋" w:hint="eastAsia"/>
              </w:rPr>
              <w:t>开放日17:00（含）之后</w:t>
            </w:r>
            <w:r>
              <w:rPr>
                <w:rFonts w:ascii="仿宋" w:eastAsia="仿宋" w:hAnsi="仿宋" w:hint="eastAsia"/>
                <w:bCs/>
                <w:szCs w:val="21"/>
              </w:rPr>
              <w:t>不能进行撤销。</w:t>
            </w:r>
          </w:p>
          <w:p w:rsidR="00846FF0" w:rsidRDefault="00846FF0" w:rsidP="00846FF0">
            <w:pPr>
              <w:adjustRightInd w:val="0"/>
              <w:snapToGrid w:val="0"/>
              <w:spacing w:line="300" w:lineRule="exact"/>
              <w:ind w:firstLineChars="200" w:firstLine="420"/>
              <w:rPr>
                <w:rFonts w:ascii="仿宋" w:eastAsia="仿宋" w:hAnsi="仿宋"/>
                <w:bCs/>
                <w:szCs w:val="21"/>
              </w:rPr>
            </w:pPr>
            <w:r>
              <w:rPr>
                <w:rFonts w:ascii="仿宋" w:eastAsia="仿宋" w:hAnsi="仿宋"/>
                <w:bCs/>
                <w:szCs w:val="21"/>
              </w:rPr>
              <w:t>（4</w:t>
            </w:r>
            <w:r>
              <w:rPr>
                <w:rFonts w:ascii="仿宋" w:eastAsia="仿宋" w:hAnsi="仿宋" w:hint="eastAsia"/>
                <w:bCs/>
                <w:szCs w:val="21"/>
              </w:rPr>
              <w:t>）通过华夏银行申购的</w:t>
            </w:r>
            <w:r>
              <w:rPr>
                <w:rFonts w:ascii="仿宋" w:eastAsia="仿宋" w:hAnsi="仿宋"/>
                <w:bCs/>
                <w:szCs w:val="21"/>
              </w:rPr>
              <w:t>，</w:t>
            </w:r>
            <w:r>
              <w:rPr>
                <w:rFonts w:ascii="仿宋" w:eastAsia="仿宋" w:hAnsi="仿宋" w:hint="eastAsia"/>
              </w:rPr>
              <w:t>开放日17:00（含）之后</w:t>
            </w:r>
            <w:r>
              <w:rPr>
                <w:rFonts w:ascii="仿宋" w:eastAsia="仿宋" w:hAnsi="仿宋" w:hint="eastAsia"/>
                <w:bCs/>
                <w:szCs w:val="21"/>
              </w:rPr>
              <w:t>不能进行撤销。</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hint="eastAsia"/>
                <w:bCs/>
                <w:szCs w:val="21"/>
              </w:rPr>
              <w:t>通过其他代销机构申购的，撤销规定以代销机构规定为准。</w:t>
            </w:r>
          </w:p>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3.预约</w:t>
            </w:r>
            <w:r>
              <w:rPr>
                <w:rFonts w:ascii="仿宋" w:eastAsia="仿宋" w:hAnsi="仿宋"/>
                <w:bCs/>
                <w:szCs w:val="21"/>
              </w:rPr>
              <w:t>申购、</w:t>
            </w:r>
            <w:r>
              <w:rPr>
                <w:rFonts w:ascii="仿宋" w:eastAsia="仿宋" w:hAnsi="仿宋" w:hint="eastAsia"/>
                <w:bCs/>
                <w:szCs w:val="21"/>
              </w:rPr>
              <w:t>预约</w:t>
            </w:r>
            <w:r>
              <w:rPr>
                <w:rFonts w:ascii="仿宋" w:eastAsia="仿宋" w:hAnsi="仿宋"/>
                <w:bCs/>
                <w:szCs w:val="21"/>
              </w:rPr>
              <w:t>赎回撤销</w:t>
            </w:r>
          </w:p>
          <w:p w:rsidR="00846FF0" w:rsidRDefault="00846FF0" w:rsidP="00846FF0">
            <w:pPr>
              <w:adjustRightInd w:val="0"/>
              <w:snapToGrid w:val="0"/>
              <w:spacing w:line="240" w:lineRule="atLeast"/>
              <w:ind w:firstLine="420"/>
              <w:rPr>
                <w:rFonts w:ascii="仿宋" w:eastAsia="仿宋" w:hAnsi="仿宋"/>
                <w:bCs/>
                <w:szCs w:val="21"/>
              </w:rPr>
            </w:pPr>
            <w:r>
              <w:rPr>
                <w:rFonts w:ascii="仿宋" w:eastAsia="仿宋" w:hAnsi="仿宋" w:hint="eastAsia"/>
                <w:bCs/>
                <w:szCs w:val="21"/>
              </w:rPr>
              <w:t>通过华夏银行/华夏理财购买的，封闭期内的最后</w:t>
            </w:r>
            <w:r>
              <w:rPr>
                <w:rFonts w:ascii="仿宋" w:eastAsia="仿宋" w:hAnsi="仿宋"/>
                <w:bCs/>
                <w:szCs w:val="21"/>
              </w:rPr>
              <w:t>一</w:t>
            </w:r>
            <w:r>
              <w:rPr>
                <w:rFonts w:ascii="仿宋" w:eastAsia="仿宋" w:hAnsi="仿宋" w:hint="eastAsia"/>
                <w:bCs/>
                <w:szCs w:val="21"/>
              </w:rPr>
              <w:t>个</w:t>
            </w:r>
            <w:r>
              <w:rPr>
                <w:rFonts w:ascii="仿宋" w:eastAsia="仿宋" w:hAnsi="仿宋"/>
                <w:bCs/>
                <w:szCs w:val="21"/>
              </w:rPr>
              <w:t>工作日</w:t>
            </w:r>
            <w:r>
              <w:rPr>
                <w:rFonts w:ascii="仿宋" w:eastAsia="仿宋" w:hAnsi="仿宋" w:hint="eastAsia"/>
              </w:rPr>
              <w:t>17:30（不含）</w:t>
            </w:r>
            <w:r>
              <w:rPr>
                <w:rFonts w:ascii="仿宋" w:eastAsia="仿宋" w:hAnsi="仿宋" w:hint="eastAsia"/>
                <w:bCs/>
                <w:szCs w:val="21"/>
              </w:rPr>
              <w:t>前</w:t>
            </w:r>
            <w:r>
              <w:rPr>
                <w:rFonts w:ascii="仿宋" w:eastAsia="仿宋" w:hAnsi="仿宋"/>
                <w:bCs/>
                <w:szCs w:val="21"/>
              </w:rPr>
              <w:t>，</w:t>
            </w:r>
            <w:r>
              <w:rPr>
                <w:rFonts w:ascii="仿宋" w:eastAsia="仿宋" w:hAnsi="仿宋" w:hint="eastAsia"/>
                <w:bCs/>
                <w:szCs w:val="21"/>
              </w:rPr>
              <w:t>投资</w:t>
            </w:r>
            <w:r>
              <w:rPr>
                <w:rFonts w:ascii="仿宋" w:eastAsia="仿宋" w:hAnsi="仿宋"/>
                <w:bCs/>
                <w:szCs w:val="21"/>
              </w:rPr>
              <w:t>者</w:t>
            </w:r>
            <w:r>
              <w:rPr>
                <w:rFonts w:ascii="仿宋" w:eastAsia="仿宋" w:hAnsi="仿宋" w:hint="eastAsia"/>
                <w:bCs/>
                <w:szCs w:val="21"/>
              </w:rPr>
              <w:t>可</w:t>
            </w:r>
            <w:r>
              <w:rPr>
                <w:rFonts w:ascii="仿宋" w:eastAsia="仿宋" w:hAnsi="仿宋"/>
                <w:bCs/>
                <w:szCs w:val="21"/>
              </w:rPr>
              <w:t>全额撤销已提交的</w:t>
            </w:r>
            <w:r>
              <w:rPr>
                <w:rFonts w:ascii="仿宋" w:eastAsia="仿宋" w:hAnsi="仿宋" w:hint="eastAsia"/>
                <w:bCs/>
                <w:szCs w:val="21"/>
              </w:rPr>
              <w:t>预约</w:t>
            </w:r>
            <w:r>
              <w:rPr>
                <w:rFonts w:ascii="仿宋" w:eastAsia="仿宋" w:hAnsi="仿宋"/>
                <w:bCs/>
                <w:szCs w:val="21"/>
              </w:rPr>
              <w:t>购买</w:t>
            </w:r>
            <w:r>
              <w:rPr>
                <w:rFonts w:ascii="仿宋" w:eastAsia="仿宋" w:hAnsi="仿宋" w:hint="eastAsia"/>
                <w:bCs/>
                <w:szCs w:val="21"/>
              </w:rPr>
              <w:t>、预约赎回申请；通过其他代销机构购买的，预约申购、预约赎回撤销以代销机构的规定为准。</w:t>
            </w:r>
          </w:p>
        </w:tc>
      </w:tr>
      <w:tr w:rsidR="00846FF0" w:rsidTr="00A12304">
        <w:trPr>
          <w:trHeight w:val="20"/>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投资冷静期</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pPr>
            <w:r>
              <w:rPr>
                <w:rFonts w:ascii="仿宋" w:eastAsia="仿宋" w:hAnsi="仿宋" w:hint="eastAsia"/>
                <w:bCs/>
                <w:szCs w:val="21"/>
              </w:rPr>
              <w:t>本理财产品为</w:t>
            </w:r>
            <w:r>
              <w:rPr>
                <w:rFonts w:ascii="仿宋" w:eastAsia="仿宋" w:hAnsi="仿宋"/>
                <w:bCs/>
                <w:szCs w:val="21"/>
              </w:rPr>
              <w:t>公</w:t>
            </w:r>
            <w:proofErr w:type="gramStart"/>
            <w:r>
              <w:rPr>
                <w:rFonts w:ascii="仿宋" w:eastAsia="仿宋" w:hAnsi="仿宋"/>
                <w:bCs/>
                <w:szCs w:val="21"/>
              </w:rPr>
              <w:t>募</w:t>
            </w:r>
            <w:proofErr w:type="gramEnd"/>
            <w:r>
              <w:rPr>
                <w:rFonts w:ascii="仿宋" w:eastAsia="仿宋" w:hAnsi="仿宋" w:hint="eastAsia"/>
                <w:bCs/>
                <w:szCs w:val="21"/>
              </w:rPr>
              <w:t>理财</w:t>
            </w:r>
            <w:r>
              <w:rPr>
                <w:rFonts w:ascii="仿宋" w:eastAsia="仿宋" w:hAnsi="仿宋"/>
                <w:bCs/>
                <w:szCs w:val="21"/>
              </w:rPr>
              <w:t>产品</w:t>
            </w:r>
            <w:r>
              <w:rPr>
                <w:rFonts w:ascii="仿宋" w:eastAsia="仿宋" w:hAnsi="仿宋" w:hint="eastAsia"/>
                <w:bCs/>
                <w:szCs w:val="21"/>
              </w:rPr>
              <w:t>，根据监管</w:t>
            </w:r>
            <w:r>
              <w:rPr>
                <w:rFonts w:ascii="仿宋" w:eastAsia="仿宋" w:hAnsi="仿宋"/>
                <w:bCs/>
                <w:szCs w:val="21"/>
              </w:rPr>
              <w:t>部门规定，</w:t>
            </w:r>
            <w:r>
              <w:rPr>
                <w:rFonts w:ascii="仿宋" w:eastAsia="仿宋" w:hAnsi="仿宋" w:hint="eastAsia"/>
                <w:bCs/>
                <w:szCs w:val="21"/>
              </w:rPr>
              <w:t>无需</w:t>
            </w:r>
            <w:r>
              <w:rPr>
                <w:rFonts w:ascii="仿宋" w:eastAsia="仿宋" w:hAnsi="仿宋"/>
                <w:bCs/>
                <w:szCs w:val="21"/>
              </w:rPr>
              <w:t>设置投资冷静期。</w:t>
            </w:r>
          </w:p>
        </w:tc>
      </w:tr>
      <w:tr w:rsidR="00846FF0" w:rsidTr="00A12304">
        <w:trPr>
          <w:trHeight w:val="233"/>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认购费/申购费</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Pr="0016688D" w:rsidRDefault="00846FF0" w:rsidP="00846FF0">
            <w:pPr>
              <w:adjustRightInd w:val="0"/>
              <w:snapToGrid w:val="0"/>
              <w:spacing w:line="240" w:lineRule="atLeast"/>
              <w:ind w:firstLine="420"/>
              <w:rPr>
                <w:rFonts w:ascii="仿宋" w:eastAsia="仿宋" w:hAnsi="仿宋"/>
                <w:b/>
                <w:bCs/>
                <w:szCs w:val="21"/>
              </w:rPr>
            </w:pPr>
            <w:r w:rsidRPr="0016688D">
              <w:rPr>
                <w:rFonts w:ascii="仿宋" w:eastAsia="仿宋" w:hAnsi="仿宋" w:hint="eastAsia"/>
                <w:b/>
                <w:bCs/>
                <w:szCs w:val="21"/>
              </w:rPr>
              <w:t>本理财产品不收取认购费/申购费。</w:t>
            </w:r>
          </w:p>
        </w:tc>
      </w:tr>
      <w:tr w:rsidR="00846FF0" w:rsidTr="00A12304">
        <w:trPr>
          <w:trHeight w:val="233"/>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赎回费</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Pr="0016688D" w:rsidRDefault="00846FF0" w:rsidP="00846FF0">
            <w:pPr>
              <w:adjustRightInd w:val="0"/>
              <w:snapToGrid w:val="0"/>
              <w:spacing w:line="240" w:lineRule="atLeast"/>
              <w:ind w:firstLine="420"/>
              <w:rPr>
                <w:rFonts w:ascii="仿宋" w:eastAsia="仿宋" w:hAnsi="仿宋"/>
                <w:b/>
                <w:bCs/>
                <w:szCs w:val="21"/>
                <w:u w:val="single"/>
              </w:rPr>
            </w:pPr>
            <w:r w:rsidRPr="0016688D">
              <w:rPr>
                <w:rFonts w:ascii="仿宋" w:eastAsia="仿宋" w:hAnsi="仿宋" w:hint="eastAsia"/>
                <w:b/>
                <w:bCs/>
                <w:szCs w:val="21"/>
              </w:rPr>
              <w:t>本理财产品不收取赎回费。</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托管费</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Pr="0016688D" w:rsidRDefault="00846FF0" w:rsidP="00846FF0">
            <w:pPr>
              <w:adjustRightInd w:val="0"/>
              <w:snapToGrid w:val="0"/>
              <w:spacing w:line="240" w:lineRule="atLeast"/>
              <w:ind w:firstLine="420"/>
              <w:jc w:val="left"/>
              <w:rPr>
                <w:rFonts w:ascii="仿宋" w:eastAsia="仿宋" w:hAnsi="仿宋"/>
                <w:b/>
                <w:bCs/>
                <w:szCs w:val="21"/>
              </w:rPr>
            </w:pPr>
            <w:r w:rsidRPr="0016688D">
              <w:rPr>
                <w:rFonts w:ascii="仿宋" w:eastAsia="仿宋" w:hAnsi="仿宋" w:hint="eastAsia"/>
                <w:b/>
                <w:bCs/>
                <w:szCs w:val="21"/>
              </w:rPr>
              <w:t>0.03%/年，以前一日资产净值为基数，每日计提。公式如下：</w:t>
            </w:r>
          </w:p>
          <w:p w:rsidR="00846FF0" w:rsidRPr="0016688D" w:rsidRDefault="00846FF0" w:rsidP="00846FF0">
            <w:pPr>
              <w:adjustRightInd w:val="0"/>
              <w:snapToGrid w:val="0"/>
              <w:spacing w:line="240" w:lineRule="atLeast"/>
              <w:ind w:firstLine="420"/>
              <w:jc w:val="left"/>
              <w:rPr>
                <w:rFonts w:ascii="仿宋" w:eastAsia="仿宋" w:hAnsi="仿宋"/>
                <w:b/>
                <w:bCs/>
                <w:szCs w:val="21"/>
              </w:rPr>
            </w:pPr>
            <w:r w:rsidRPr="0016688D">
              <w:rPr>
                <w:rFonts w:ascii="仿宋" w:eastAsia="仿宋" w:hAnsi="仿宋" w:hint="eastAsia"/>
                <w:b/>
                <w:bCs/>
                <w:szCs w:val="21"/>
              </w:rPr>
              <w:t>F=E×【0.03%】</w:t>
            </w:r>
            <w:r w:rsidRPr="0016688D">
              <w:rPr>
                <w:rFonts w:ascii="仿宋" w:eastAsia="仿宋" w:hAnsi="仿宋" w:hint="eastAsia"/>
                <w:b/>
                <w:szCs w:val="21"/>
              </w:rPr>
              <w:t>/当年</w:t>
            </w:r>
            <w:r w:rsidRPr="0016688D">
              <w:rPr>
                <w:rFonts w:ascii="仿宋" w:eastAsia="仿宋" w:hAnsi="仿宋"/>
                <w:b/>
                <w:szCs w:val="21"/>
              </w:rPr>
              <w:t>天数</w:t>
            </w:r>
            <w:r w:rsidRPr="0016688D">
              <w:rPr>
                <w:rFonts w:ascii="仿宋" w:eastAsia="仿宋" w:hAnsi="仿宋" w:hint="eastAsia"/>
                <w:b/>
                <w:szCs w:val="21"/>
              </w:rPr>
              <w:t>。</w:t>
            </w:r>
            <w:r w:rsidRPr="0016688D">
              <w:rPr>
                <w:rFonts w:ascii="仿宋" w:eastAsia="仿宋" w:hAnsi="仿宋" w:hint="eastAsia"/>
                <w:b/>
                <w:bCs/>
                <w:szCs w:val="21"/>
              </w:rPr>
              <w:t>F为托管费；E为计算</w:t>
            </w:r>
            <w:r w:rsidRPr="0016688D">
              <w:rPr>
                <w:rFonts w:ascii="仿宋" w:eastAsia="仿宋" w:hAnsi="仿宋"/>
                <w:b/>
                <w:bCs/>
                <w:szCs w:val="21"/>
              </w:rPr>
              <w:t>基数</w:t>
            </w:r>
            <w:r w:rsidRPr="0016688D">
              <w:rPr>
                <w:rFonts w:ascii="仿宋" w:eastAsia="仿宋" w:hAnsi="仿宋" w:hint="eastAsia"/>
                <w:b/>
                <w:bCs/>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销售手续费</w:t>
            </w:r>
          </w:p>
        </w:tc>
        <w:tc>
          <w:tcPr>
            <w:tcW w:w="7404" w:type="dxa"/>
            <w:tcBorders>
              <w:top w:val="single" w:sz="4" w:space="0" w:color="auto"/>
              <w:left w:val="single" w:sz="4" w:space="0" w:color="auto"/>
              <w:bottom w:val="single" w:sz="4" w:space="0" w:color="auto"/>
              <w:right w:val="single" w:sz="4" w:space="0" w:color="auto"/>
            </w:tcBorders>
            <w:vAlign w:val="center"/>
          </w:tcPr>
          <w:p w:rsidR="003723AE" w:rsidRPr="0016688D" w:rsidRDefault="003723AE" w:rsidP="003723AE">
            <w:pPr>
              <w:adjustRightInd w:val="0"/>
              <w:snapToGrid w:val="0"/>
              <w:spacing w:line="240" w:lineRule="atLeast"/>
              <w:ind w:firstLine="420"/>
              <w:jc w:val="left"/>
              <w:rPr>
                <w:rFonts w:ascii="仿宋" w:eastAsia="仿宋" w:hAnsi="仿宋"/>
                <w:b/>
                <w:bCs/>
                <w:szCs w:val="21"/>
              </w:rPr>
            </w:pPr>
            <w:r w:rsidRPr="0016688D">
              <w:rPr>
                <w:rFonts w:ascii="仿宋" w:eastAsia="仿宋" w:hAnsi="仿宋" w:hint="eastAsia"/>
                <w:b/>
                <w:bCs/>
                <w:szCs w:val="21"/>
              </w:rPr>
              <w:t>A份额：</w:t>
            </w:r>
            <w:r w:rsidR="00E0553B" w:rsidRPr="0016688D">
              <w:rPr>
                <w:rFonts w:ascii="仿宋" w:eastAsia="仿宋" w:hAnsi="仿宋" w:hint="eastAsia"/>
                <w:b/>
                <w:bCs/>
                <w:szCs w:val="21"/>
              </w:rPr>
              <w:t>销售</w:t>
            </w:r>
            <w:r w:rsidR="00E0553B" w:rsidRPr="0016688D">
              <w:rPr>
                <w:rFonts w:ascii="仿宋" w:eastAsia="仿宋" w:hAnsi="仿宋"/>
                <w:b/>
                <w:bCs/>
                <w:szCs w:val="21"/>
              </w:rPr>
              <w:t>手续费率</w:t>
            </w:r>
            <w:r w:rsidRPr="0016688D">
              <w:rPr>
                <w:rFonts w:ascii="仿宋" w:eastAsia="仿宋" w:hAnsi="仿宋" w:hint="eastAsia"/>
                <w:b/>
                <w:bCs/>
                <w:szCs w:val="21"/>
              </w:rPr>
              <w:t>0.40%/年，以前一日资产净值为基数，每日计提。</w:t>
            </w:r>
          </w:p>
          <w:p w:rsidR="003723AE" w:rsidRPr="0016688D" w:rsidRDefault="003723AE" w:rsidP="003723AE">
            <w:pPr>
              <w:adjustRightInd w:val="0"/>
              <w:snapToGrid w:val="0"/>
              <w:spacing w:line="240" w:lineRule="atLeast"/>
              <w:ind w:firstLine="420"/>
              <w:jc w:val="left"/>
              <w:rPr>
                <w:rFonts w:ascii="仿宋" w:eastAsia="仿宋" w:hAnsi="仿宋"/>
                <w:b/>
                <w:bCs/>
                <w:szCs w:val="21"/>
              </w:rPr>
            </w:pPr>
            <w:r w:rsidRPr="0016688D">
              <w:rPr>
                <w:rFonts w:ascii="仿宋" w:eastAsia="仿宋" w:hAnsi="仿宋" w:hint="eastAsia"/>
                <w:b/>
                <w:bCs/>
                <w:szCs w:val="21"/>
              </w:rPr>
              <w:t>B份额：</w:t>
            </w:r>
            <w:r w:rsidR="00E0553B" w:rsidRPr="0016688D">
              <w:rPr>
                <w:rFonts w:ascii="仿宋" w:eastAsia="仿宋" w:hAnsi="仿宋" w:hint="eastAsia"/>
                <w:b/>
                <w:bCs/>
                <w:szCs w:val="21"/>
              </w:rPr>
              <w:t>销售</w:t>
            </w:r>
            <w:r w:rsidR="00E0553B" w:rsidRPr="0016688D">
              <w:rPr>
                <w:rFonts w:ascii="仿宋" w:eastAsia="仿宋" w:hAnsi="仿宋"/>
                <w:b/>
                <w:bCs/>
                <w:szCs w:val="21"/>
              </w:rPr>
              <w:t>手续费率</w:t>
            </w:r>
            <w:r w:rsidRPr="0016688D">
              <w:rPr>
                <w:rFonts w:ascii="仿宋" w:eastAsia="仿宋" w:hAnsi="仿宋" w:hint="eastAsia"/>
                <w:b/>
                <w:bCs/>
                <w:szCs w:val="21"/>
              </w:rPr>
              <w:t>0.30%/年，以前一日资产净值为基数，每日计提。</w:t>
            </w:r>
          </w:p>
          <w:p w:rsidR="003723AE" w:rsidRPr="0016688D" w:rsidRDefault="003723AE" w:rsidP="00BE68E0">
            <w:pPr>
              <w:adjustRightInd w:val="0"/>
              <w:snapToGrid w:val="0"/>
              <w:spacing w:line="240" w:lineRule="atLeast"/>
              <w:ind w:firstLine="420"/>
              <w:jc w:val="left"/>
              <w:rPr>
                <w:rFonts w:ascii="仿宋" w:eastAsia="仿宋" w:hAnsi="仿宋"/>
                <w:b/>
                <w:bCs/>
                <w:szCs w:val="21"/>
              </w:rPr>
            </w:pPr>
            <w:r w:rsidRPr="0016688D">
              <w:rPr>
                <w:rFonts w:ascii="仿宋" w:eastAsia="仿宋" w:hAnsi="仿宋"/>
                <w:b/>
                <w:bCs/>
                <w:szCs w:val="21"/>
              </w:rPr>
              <w:t>C</w:t>
            </w:r>
            <w:r w:rsidRPr="0016688D">
              <w:rPr>
                <w:rFonts w:ascii="仿宋" w:eastAsia="仿宋" w:hAnsi="仿宋" w:hint="eastAsia"/>
                <w:b/>
                <w:bCs/>
                <w:szCs w:val="21"/>
              </w:rPr>
              <w:t>份额：</w:t>
            </w:r>
            <w:r w:rsidR="00E0553B" w:rsidRPr="0016688D">
              <w:rPr>
                <w:rFonts w:ascii="仿宋" w:eastAsia="仿宋" w:hAnsi="仿宋" w:hint="eastAsia"/>
                <w:b/>
                <w:bCs/>
                <w:szCs w:val="21"/>
              </w:rPr>
              <w:t>销售</w:t>
            </w:r>
            <w:r w:rsidR="00E0553B" w:rsidRPr="0016688D">
              <w:rPr>
                <w:rFonts w:ascii="仿宋" w:eastAsia="仿宋" w:hAnsi="仿宋"/>
                <w:b/>
                <w:bCs/>
                <w:szCs w:val="21"/>
              </w:rPr>
              <w:t>手续费率</w:t>
            </w:r>
            <w:r w:rsidRPr="0016688D">
              <w:rPr>
                <w:rFonts w:ascii="仿宋" w:eastAsia="仿宋" w:hAnsi="仿宋" w:hint="eastAsia"/>
                <w:b/>
                <w:bCs/>
                <w:szCs w:val="21"/>
              </w:rPr>
              <w:t>0.</w:t>
            </w:r>
            <w:r w:rsidRPr="0016688D">
              <w:rPr>
                <w:rFonts w:ascii="仿宋" w:eastAsia="仿宋" w:hAnsi="仿宋"/>
                <w:b/>
                <w:bCs/>
                <w:szCs w:val="21"/>
              </w:rPr>
              <w:t>25</w:t>
            </w:r>
            <w:r w:rsidRPr="0016688D">
              <w:rPr>
                <w:rFonts w:ascii="仿宋" w:eastAsia="仿宋" w:hAnsi="仿宋" w:hint="eastAsia"/>
                <w:b/>
                <w:bCs/>
                <w:szCs w:val="21"/>
              </w:rPr>
              <w:t>%/年，以前一日资产净值为基数，每日计提。</w:t>
            </w:r>
          </w:p>
          <w:p w:rsidR="00846FF0" w:rsidRPr="0016688D" w:rsidRDefault="00846FF0" w:rsidP="00BE68E0">
            <w:pPr>
              <w:adjustRightInd w:val="0"/>
              <w:snapToGrid w:val="0"/>
              <w:spacing w:line="240" w:lineRule="atLeast"/>
              <w:ind w:firstLine="420"/>
              <w:jc w:val="left"/>
              <w:rPr>
                <w:rFonts w:ascii="仿宋" w:eastAsia="仿宋" w:hAnsi="仿宋"/>
                <w:b/>
                <w:bCs/>
                <w:szCs w:val="21"/>
              </w:rPr>
            </w:pPr>
            <w:r w:rsidRPr="0016688D">
              <w:rPr>
                <w:rFonts w:ascii="仿宋" w:eastAsia="仿宋" w:hAnsi="仿宋" w:hint="eastAsia"/>
                <w:b/>
                <w:bCs/>
                <w:szCs w:val="21"/>
              </w:rPr>
              <w:t>公式如下：</w:t>
            </w:r>
          </w:p>
          <w:p w:rsidR="00846FF0" w:rsidRPr="0016688D" w:rsidRDefault="00846FF0" w:rsidP="00846FF0">
            <w:pPr>
              <w:adjustRightInd w:val="0"/>
              <w:snapToGrid w:val="0"/>
              <w:spacing w:line="240" w:lineRule="atLeast"/>
              <w:ind w:firstLine="420"/>
              <w:jc w:val="left"/>
              <w:rPr>
                <w:rFonts w:ascii="仿宋" w:eastAsia="仿宋" w:hAnsi="仿宋"/>
                <w:b/>
                <w:bCs/>
                <w:szCs w:val="21"/>
              </w:rPr>
            </w:pPr>
            <w:r w:rsidRPr="0016688D">
              <w:rPr>
                <w:rFonts w:ascii="仿宋" w:eastAsia="仿宋" w:hAnsi="仿宋" w:hint="eastAsia"/>
                <w:b/>
                <w:bCs/>
                <w:szCs w:val="21"/>
              </w:rPr>
              <w:t>F=E×【</w:t>
            </w:r>
            <w:r w:rsidR="00BE68E0" w:rsidRPr="0016688D">
              <w:rPr>
                <w:rFonts w:ascii="仿宋" w:eastAsia="仿宋" w:hAnsi="仿宋" w:hint="eastAsia"/>
                <w:b/>
                <w:bCs/>
                <w:szCs w:val="21"/>
              </w:rPr>
              <w:t>各</w:t>
            </w:r>
            <w:r w:rsidR="00BE68E0" w:rsidRPr="0016688D">
              <w:rPr>
                <w:rFonts w:ascii="仿宋" w:eastAsia="仿宋" w:hAnsi="仿宋"/>
                <w:b/>
                <w:bCs/>
                <w:szCs w:val="21"/>
              </w:rPr>
              <w:t>份额</w:t>
            </w:r>
            <w:r w:rsidR="00BE68E0" w:rsidRPr="0016688D">
              <w:rPr>
                <w:rFonts w:ascii="仿宋" w:eastAsia="仿宋" w:hAnsi="仿宋" w:hint="eastAsia"/>
                <w:b/>
                <w:bCs/>
                <w:szCs w:val="21"/>
              </w:rPr>
              <w:t>销售</w:t>
            </w:r>
            <w:r w:rsidR="00BE68E0" w:rsidRPr="0016688D">
              <w:rPr>
                <w:rFonts w:ascii="仿宋" w:eastAsia="仿宋" w:hAnsi="仿宋"/>
                <w:b/>
                <w:bCs/>
                <w:szCs w:val="21"/>
              </w:rPr>
              <w:t>手续费率</w:t>
            </w:r>
            <w:r w:rsidRPr="0016688D">
              <w:rPr>
                <w:rFonts w:ascii="仿宋" w:eastAsia="仿宋" w:hAnsi="仿宋" w:hint="eastAsia"/>
                <w:b/>
                <w:bCs/>
                <w:szCs w:val="21"/>
              </w:rPr>
              <w:t>】</w:t>
            </w:r>
            <w:r w:rsidRPr="0016688D">
              <w:rPr>
                <w:rFonts w:ascii="仿宋" w:eastAsia="仿宋" w:hAnsi="仿宋" w:hint="eastAsia"/>
                <w:b/>
                <w:szCs w:val="21"/>
              </w:rPr>
              <w:t>/当年</w:t>
            </w:r>
            <w:r w:rsidRPr="0016688D">
              <w:rPr>
                <w:rFonts w:ascii="仿宋" w:eastAsia="仿宋" w:hAnsi="仿宋"/>
                <w:b/>
                <w:szCs w:val="21"/>
              </w:rPr>
              <w:t>天数</w:t>
            </w:r>
            <w:r w:rsidRPr="0016688D">
              <w:rPr>
                <w:rFonts w:ascii="仿宋" w:eastAsia="仿宋" w:hAnsi="仿宋" w:hint="eastAsia"/>
                <w:b/>
                <w:szCs w:val="21"/>
              </w:rPr>
              <w:t>。</w:t>
            </w:r>
            <w:r w:rsidRPr="0016688D">
              <w:rPr>
                <w:rFonts w:ascii="仿宋" w:eastAsia="仿宋" w:hAnsi="仿宋" w:hint="eastAsia"/>
                <w:b/>
                <w:bCs/>
                <w:szCs w:val="21"/>
              </w:rPr>
              <w:t>F为</w:t>
            </w:r>
            <w:r w:rsidR="00BE68E0" w:rsidRPr="0016688D">
              <w:rPr>
                <w:rFonts w:ascii="仿宋" w:eastAsia="仿宋" w:hAnsi="仿宋" w:hint="eastAsia"/>
                <w:b/>
                <w:bCs/>
                <w:szCs w:val="21"/>
              </w:rPr>
              <w:t>各</w:t>
            </w:r>
            <w:r w:rsidR="00BE68E0" w:rsidRPr="0016688D">
              <w:rPr>
                <w:rFonts w:ascii="仿宋" w:eastAsia="仿宋" w:hAnsi="仿宋"/>
                <w:b/>
                <w:bCs/>
                <w:szCs w:val="21"/>
              </w:rPr>
              <w:t>份额</w:t>
            </w:r>
            <w:r w:rsidRPr="0016688D">
              <w:rPr>
                <w:rFonts w:ascii="仿宋" w:eastAsia="仿宋" w:hAnsi="仿宋" w:hint="eastAsia"/>
                <w:b/>
                <w:bCs/>
                <w:szCs w:val="21"/>
              </w:rPr>
              <w:t>销售</w:t>
            </w:r>
            <w:r w:rsidRPr="0016688D">
              <w:rPr>
                <w:rFonts w:ascii="仿宋" w:eastAsia="仿宋" w:hAnsi="仿宋"/>
                <w:b/>
                <w:bCs/>
                <w:szCs w:val="21"/>
              </w:rPr>
              <w:t>手续费</w:t>
            </w:r>
            <w:r w:rsidRPr="0016688D">
              <w:rPr>
                <w:rFonts w:ascii="仿宋" w:eastAsia="仿宋" w:hAnsi="仿宋" w:hint="eastAsia"/>
                <w:b/>
                <w:bCs/>
                <w:szCs w:val="21"/>
              </w:rPr>
              <w:t>；E为计算</w:t>
            </w:r>
            <w:r w:rsidRPr="0016688D">
              <w:rPr>
                <w:rFonts w:ascii="仿宋" w:eastAsia="仿宋" w:hAnsi="仿宋"/>
                <w:b/>
                <w:bCs/>
                <w:szCs w:val="21"/>
              </w:rPr>
              <w:t>基数</w:t>
            </w:r>
            <w:r w:rsidRPr="0016688D">
              <w:rPr>
                <w:rFonts w:ascii="仿宋" w:eastAsia="仿宋" w:hAnsi="仿宋" w:hint="eastAsia"/>
                <w:b/>
                <w:bCs/>
                <w:szCs w:val="21"/>
              </w:rPr>
              <w:t>。</w:t>
            </w:r>
            <w:r w:rsidRPr="0016688D">
              <w:rPr>
                <w:rFonts w:ascii="仿宋" w:eastAsia="仿宋" w:hAnsi="仿宋" w:hint="eastAsia"/>
                <w:b/>
                <w:szCs w:val="21"/>
              </w:rPr>
              <w:t>（销售手续费由销售服务机构收取。）</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固定管理费</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Pr="0016688D" w:rsidRDefault="00846FF0" w:rsidP="00846FF0">
            <w:pPr>
              <w:adjustRightInd w:val="0"/>
              <w:snapToGrid w:val="0"/>
              <w:spacing w:line="240" w:lineRule="atLeast"/>
              <w:ind w:firstLine="420"/>
              <w:jc w:val="left"/>
              <w:rPr>
                <w:rFonts w:ascii="仿宋" w:eastAsia="仿宋" w:hAnsi="仿宋"/>
                <w:b/>
                <w:bCs/>
                <w:szCs w:val="21"/>
              </w:rPr>
            </w:pPr>
            <w:r w:rsidRPr="0016688D">
              <w:rPr>
                <w:rFonts w:ascii="仿宋" w:eastAsia="仿宋" w:hAnsi="仿宋" w:hint="eastAsia"/>
                <w:b/>
                <w:bCs/>
                <w:szCs w:val="21"/>
              </w:rPr>
              <w:t>0.20%/年，以前一日资产净值为基数，每日计提。公式如下：</w:t>
            </w:r>
          </w:p>
          <w:p w:rsidR="00846FF0" w:rsidRPr="0016688D" w:rsidRDefault="00846FF0" w:rsidP="00846FF0">
            <w:pPr>
              <w:adjustRightInd w:val="0"/>
              <w:snapToGrid w:val="0"/>
              <w:spacing w:line="240" w:lineRule="atLeast"/>
              <w:ind w:firstLine="420"/>
              <w:jc w:val="left"/>
              <w:rPr>
                <w:rFonts w:ascii="仿宋" w:eastAsia="仿宋" w:hAnsi="仿宋"/>
                <w:b/>
                <w:bCs/>
                <w:szCs w:val="21"/>
              </w:rPr>
            </w:pPr>
            <w:r w:rsidRPr="0016688D">
              <w:rPr>
                <w:rFonts w:ascii="仿宋" w:eastAsia="仿宋" w:hAnsi="仿宋" w:hint="eastAsia"/>
                <w:b/>
                <w:bCs/>
                <w:szCs w:val="21"/>
              </w:rPr>
              <w:t>F=E×【0.20%】</w:t>
            </w:r>
            <w:r w:rsidRPr="0016688D">
              <w:rPr>
                <w:rFonts w:ascii="仿宋" w:eastAsia="仿宋" w:hAnsi="仿宋" w:hint="eastAsia"/>
                <w:b/>
                <w:szCs w:val="21"/>
              </w:rPr>
              <w:t>/当年</w:t>
            </w:r>
            <w:r w:rsidRPr="0016688D">
              <w:rPr>
                <w:rFonts w:ascii="仿宋" w:eastAsia="仿宋" w:hAnsi="仿宋"/>
                <w:b/>
                <w:szCs w:val="21"/>
              </w:rPr>
              <w:t>天数</w:t>
            </w:r>
            <w:r w:rsidRPr="0016688D">
              <w:rPr>
                <w:rFonts w:ascii="仿宋" w:eastAsia="仿宋" w:hAnsi="仿宋" w:hint="eastAsia"/>
                <w:b/>
                <w:szCs w:val="21"/>
              </w:rPr>
              <w:t>。</w:t>
            </w:r>
            <w:r w:rsidRPr="0016688D">
              <w:rPr>
                <w:rFonts w:ascii="仿宋" w:eastAsia="仿宋" w:hAnsi="仿宋" w:hint="eastAsia"/>
                <w:b/>
                <w:bCs/>
                <w:szCs w:val="21"/>
              </w:rPr>
              <w:t>F为固定管理费；E为计算</w:t>
            </w:r>
            <w:r w:rsidRPr="0016688D">
              <w:rPr>
                <w:rFonts w:ascii="仿宋" w:eastAsia="仿宋" w:hAnsi="仿宋"/>
                <w:b/>
                <w:bCs/>
                <w:szCs w:val="21"/>
              </w:rPr>
              <w:t>基数</w:t>
            </w:r>
            <w:r w:rsidRPr="0016688D">
              <w:rPr>
                <w:rFonts w:ascii="仿宋" w:eastAsia="仿宋" w:hAnsi="仿宋" w:hint="eastAsia"/>
                <w:b/>
                <w:bCs/>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其他</w:t>
            </w:r>
            <w:r>
              <w:rPr>
                <w:rFonts w:ascii="仿宋" w:eastAsia="仿宋" w:hAnsi="仿宋"/>
                <w:bCs/>
                <w:szCs w:val="21"/>
              </w:rPr>
              <w:t>费用</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Pr="0016688D" w:rsidRDefault="00846FF0" w:rsidP="00846FF0">
            <w:pPr>
              <w:adjustRightInd w:val="0"/>
              <w:snapToGrid w:val="0"/>
              <w:spacing w:line="240" w:lineRule="atLeast"/>
              <w:ind w:firstLine="420"/>
              <w:rPr>
                <w:rFonts w:ascii="仿宋" w:eastAsia="仿宋" w:hAnsi="仿宋"/>
                <w:b/>
                <w:bCs/>
                <w:szCs w:val="21"/>
              </w:rPr>
            </w:pPr>
            <w:r w:rsidRPr="0016688D">
              <w:rPr>
                <w:rFonts w:ascii="仿宋" w:eastAsia="仿宋" w:hAnsi="仿宋" w:hint="eastAsia"/>
                <w:b/>
                <w:bCs/>
                <w:szCs w:val="21"/>
              </w:rPr>
              <w:t>理财资金运作期间以及追索理财资金可能产生的诉讼费、保全费、信托费、税费、审计费、律师费、公证费、清算费、执行费等，按其实际发生数额从理财资产中支取。</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超额</w:t>
            </w:r>
            <w:r>
              <w:rPr>
                <w:rFonts w:ascii="仿宋" w:eastAsia="仿宋" w:hAnsi="仿宋"/>
                <w:bCs/>
                <w:szCs w:val="21"/>
              </w:rPr>
              <w:t>管理费</w:t>
            </w:r>
          </w:p>
        </w:tc>
        <w:tc>
          <w:tcPr>
            <w:tcW w:w="7404" w:type="dxa"/>
            <w:tcBorders>
              <w:top w:val="single" w:sz="4" w:space="0" w:color="auto"/>
              <w:left w:val="single" w:sz="4" w:space="0" w:color="auto"/>
              <w:bottom w:val="single" w:sz="4" w:space="0" w:color="auto"/>
              <w:right w:val="single" w:sz="4" w:space="0" w:color="auto"/>
            </w:tcBorders>
            <w:vAlign w:val="center"/>
          </w:tcPr>
          <w:p w:rsidR="002A73D0" w:rsidRPr="0016688D" w:rsidRDefault="002A73D0" w:rsidP="002A73D0">
            <w:pPr>
              <w:adjustRightInd w:val="0"/>
              <w:snapToGrid w:val="0"/>
              <w:spacing w:line="240" w:lineRule="atLeast"/>
              <w:ind w:firstLine="420"/>
              <w:rPr>
                <w:rFonts w:ascii="仿宋" w:eastAsia="仿宋" w:hAnsi="仿宋" w:hint="eastAsia"/>
                <w:b/>
                <w:bCs/>
                <w:szCs w:val="21"/>
              </w:rPr>
            </w:pPr>
            <w:r w:rsidRPr="0016688D">
              <w:rPr>
                <w:rFonts w:ascii="仿宋" w:eastAsia="仿宋" w:hAnsi="仿宋" w:hint="eastAsia"/>
                <w:b/>
                <w:bCs/>
                <w:szCs w:val="21"/>
              </w:rPr>
              <w:t>本产品扣除各项费用（包括销售手续费、托管费、固定管理费及其他费用等）后，</w:t>
            </w:r>
            <w:proofErr w:type="gramStart"/>
            <w:r w:rsidRPr="0016688D">
              <w:rPr>
                <w:rFonts w:ascii="仿宋" w:eastAsia="仿宋" w:hAnsi="仿宋" w:hint="eastAsia"/>
                <w:b/>
                <w:bCs/>
                <w:szCs w:val="21"/>
              </w:rPr>
              <w:t>年化收益率</w:t>
            </w:r>
            <w:proofErr w:type="gramEnd"/>
            <w:r w:rsidRPr="0016688D">
              <w:rPr>
                <w:rFonts w:ascii="仿宋" w:eastAsia="仿宋" w:hAnsi="仿宋" w:hint="eastAsia"/>
                <w:b/>
                <w:bCs/>
                <w:szCs w:val="21"/>
              </w:rPr>
              <w:t>低于或等于超额管理费计提基准，则管理人不收取超额管理费；超过超额管理费计提基准的部分，50%归投资人所有，其余作为管理人的超额管理费。</w:t>
            </w:r>
          </w:p>
          <w:p w:rsidR="002A73D0" w:rsidRPr="0016688D" w:rsidRDefault="005608FE" w:rsidP="002A73D0">
            <w:pPr>
              <w:adjustRightInd w:val="0"/>
              <w:snapToGrid w:val="0"/>
              <w:spacing w:line="240" w:lineRule="atLeast"/>
              <w:ind w:firstLine="420"/>
              <w:rPr>
                <w:rFonts w:ascii="仿宋" w:eastAsia="仿宋" w:hAnsi="仿宋" w:hint="eastAsia"/>
                <w:b/>
                <w:bCs/>
                <w:szCs w:val="21"/>
              </w:rPr>
            </w:pPr>
            <w:r w:rsidRPr="0016688D">
              <w:rPr>
                <w:rFonts w:ascii="仿宋" w:eastAsia="仿宋" w:hAnsi="仿宋" w:cs="Cambria"/>
                <w:b/>
                <w:bCs/>
                <w:szCs w:val="21"/>
              </w:rPr>
              <w:t>A</w:t>
            </w:r>
            <w:r w:rsidRPr="0016688D">
              <w:rPr>
                <w:rFonts w:ascii="仿宋" w:eastAsia="仿宋" w:hAnsi="仿宋" w:cs="Cambria" w:hint="eastAsia"/>
                <w:b/>
                <w:bCs/>
                <w:szCs w:val="21"/>
              </w:rPr>
              <w:t>份额</w:t>
            </w:r>
            <w:r w:rsidR="002A73D0" w:rsidRPr="0016688D">
              <w:rPr>
                <w:rFonts w:ascii="仿宋" w:eastAsia="仿宋" w:hAnsi="仿宋" w:hint="eastAsia"/>
                <w:b/>
                <w:bCs/>
                <w:szCs w:val="21"/>
              </w:rPr>
              <w:t>超额管理费计提基准为</w:t>
            </w:r>
            <w:r w:rsidR="006F7AD4" w:rsidRPr="0016688D">
              <w:rPr>
                <w:rFonts w:ascii="仿宋" w:eastAsia="仿宋" w:hAnsi="仿宋"/>
                <w:b/>
                <w:bCs/>
                <w:szCs w:val="21"/>
              </w:rPr>
              <w:t>3.25%</w:t>
            </w:r>
            <w:r w:rsidR="002A73D0" w:rsidRPr="0016688D">
              <w:rPr>
                <w:rFonts w:ascii="仿宋" w:eastAsia="仿宋" w:hAnsi="仿宋" w:hint="eastAsia"/>
                <w:b/>
                <w:bCs/>
                <w:szCs w:val="21"/>
              </w:rPr>
              <w:t>（年化）</w:t>
            </w:r>
            <w:r w:rsidRPr="0016688D">
              <w:rPr>
                <w:rFonts w:ascii="仿宋" w:eastAsia="仿宋" w:hAnsi="仿宋" w:hint="eastAsia"/>
                <w:b/>
                <w:bCs/>
                <w:szCs w:val="21"/>
              </w:rPr>
              <w:t>；</w:t>
            </w:r>
            <w:r w:rsidRPr="0016688D">
              <w:rPr>
                <w:rFonts w:ascii="仿宋" w:eastAsia="仿宋" w:hAnsi="仿宋" w:cs="Cambria"/>
                <w:b/>
                <w:bCs/>
                <w:szCs w:val="21"/>
              </w:rPr>
              <w:t>B</w:t>
            </w:r>
            <w:r w:rsidRPr="0016688D">
              <w:rPr>
                <w:rFonts w:ascii="仿宋" w:eastAsia="仿宋" w:hAnsi="仿宋" w:cs="Cambria" w:hint="eastAsia"/>
                <w:b/>
                <w:bCs/>
                <w:szCs w:val="21"/>
              </w:rPr>
              <w:t>份额</w:t>
            </w:r>
            <w:r w:rsidRPr="0016688D">
              <w:rPr>
                <w:rFonts w:ascii="仿宋" w:eastAsia="仿宋" w:hAnsi="仿宋" w:hint="eastAsia"/>
                <w:b/>
                <w:bCs/>
                <w:szCs w:val="21"/>
              </w:rPr>
              <w:t>超额管理费计提基准为</w:t>
            </w:r>
            <w:r w:rsidR="006F7AD4" w:rsidRPr="0016688D">
              <w:rPr>
                <w:rFonts w:ascii="仿宋" w:eastAsia="仿宋" w:hAnsi="仿宋"/>
                <w:b/>
                <w:bCs/>
                <w:szCs w:val="21"/>
              </w:rPr>
              <w:t>3.35%</w:t>
            </w:r>
            <w:r w:rsidRPr="0016688D">
              <w:rPr>
                <w:rFonts w:ascii="仿宋" w:eastAsia="仿宋" w:hAnsi="仿宋" w:hint="eastAsia"/>
                <w:b/>
                <w:bCs/>
                <w:szCs w:val="21"/>
              </w:rPr>
              <w:t>（年化）；</w:t>
            </w:r>
            <w:r w:rsidRPr="0016688D">
              <w:rPr>
                <w:rFonts w:ascii="仿宋" w:eastAsia="仿宋" w:hAnsi="仿宋" w:cs="Cambria"/>
                <w:b/>
                <w:bCs/>
                <w:szCs w:val="21"/>
              </w:rPr>
              <w:t>C</w:t>
            </w:r>
            <w:r w:rsidRPr="0016688D">
              <w:rPr>
                <w:rFonts w:ascii="仿宋" w:eastAsia="仿宋" w:hAnsi="仿宋" w:cs="Cambria" w:hint="eastAsia"/>
                <w:b/>
                <w:bCs/>
                <w:szCs w:val="21"/>
              </w:rPr>
              <w:t>份额</w:t>
            </w:r>
            <w:r w:rsidRPr="0016688D">
              <w:rPr>
                <w:rFonts w:ascii="仿宋" w:eastAsia="仿宋" w:hAnsi="仿宋" w:hint="eastAsia"/>
                <w:b/>
                <w:bCs/>
                <w:szCs w:val="21"/>
              </w:rPr>
              <w:t>超额管理费计提基准为</w:t>
            </w:r>
            <w:r w:rsidR="006F7AD4" w:rsidRPr="0016688D">
              <w:rPr>
                <w:rFonts w:ascii="仿宋" w:eastAsia="仿宋" w:hAnsi="仿宋"/>
                <w:b/>
                <w:bCs/>
                <w:szCs w:val="21"/>
              </w:rPr>
              <w:t>3.40%</w:t>
            </w:r>
            <w:r w:rsidRPr="0016688D">
              <w:rPr>
                <w:rFonts w:ascii="仿宋" w:eastAsia="仿宋" w:hAnsi="仿宋" w:hint="eastAsia"/>
                <w:b/>
                <w:bCs/>
                <w:szCs w:val="21"/>
              </w:rPr>
              <w:t>（年化）</w:t>
            </w:r>
            <w:r w:rsidR="002A73D0" w:rsidRPr="0016688D">
              <w:rPr>
                <w:rFonts w:ascii="仿宋" w:eastAsia="仿宋" w:hAnsi="仿宋" w:hint="eastAsia"/>
                <w:b/>
                <w:bCs/>
                <w:szCs w:val="21"/>
              </w:rPr>
              <w:t>。</w:t>
            </w:r>
          </w:p>
          <w:p w:rsidR="002A73D0" w:rsidRPr="0016688D" w:rsidRDefault="002A73D0" w:rsidP="002A73D0">
            <w:pPr>
              <w:adjustRightInd w:val="0"/>
              <w:snapToGrid w:val="0"/>
              <w:spacing w:line="240" w:lineRule="atLeast"/>
              <w:ind w:firstLine="420"/>
              <w:rPr>
                <w:rFonts w:ascii="仿宋" w:eastAsia="仿宋" w:hAnsi="仿宋" w:hint="eastAsia"/>
                <w:b/>
                <w:bCs/>
                <w:szCs w:val="21"/>
              </w:rPr>
            </w:pPr>
            <w:r w:rsidRPr="0016688D">
              <w:rPr>
                <w:rFonts w:ascii="仿宋" w:eastAsia="仿宋" w:hAnsi="仿宋" w:hint="eastAsia"/>
                <w:b/>
                <w:bCs/>
                <w:szCs w:val="21"/>
              </w:rPr>
              <w:t>本产品超额管理费的计算公式：</w:t>
            </w:r>
          </w:p>
          <w:p w:rsidR="002A73D0" w:rsidRPr="0016688D" w:rsidRDefault="002A73D0" w:rsidP="002A73D0">
            <w:pPr>
              <w:adjustRightInd w:val="0"/>
              <w:snapToGrid w:val="0"/>
              <w:spacing w:line="240" w:lineRule="atLeast"/>
              <w:ind w:firstLine="420"/>
              <w:rPr>
                <w:rFonts w:ascii="仿宋" w:eastAsia="仿宋" w:hAnsi="仿宋" w:hint="eastAsia"/>
                <w:b/>
                <w:bCs/>
                <w:szCs w:val="21"/>
              </w:rPr>
            </w:pPr>
            <w:r w:rsidRPr="0016688D">
              <w:rPr>
                <w:rFonts w:ascii="仿宋" w:eastAsia="仿宋" w:hAnsi="仿宋" w:hint="eastAsia"/>
                <w:b/>
                <w:bCs/>
                <w:szCs w:val="21"/>
              </w:rPr>
              <w:t>超额管理费=（</w:t>
            </w:r>
            <w:proofErr w:type="gramStart"/>
            <w:r w:rsidRPr="0016688D">
              <w:rPr>
                <w:rFonts w:ascii="仿宋" w:eastAsia="仿宋" w:hAnsi="仿宋" w:hint="eastAsia"/>
                <w:b/>
                <w:bCs/>
                <w:szCs w:val="21"/>
              </w:rPr>
              <w:t>年化收益率</w:t>
            </w:r>
            <w:proofErr w:type="gramEnd"/>
            <w:r w:rsidRPr="0016688D">
              <w:rPr>
                <w:rFonts w:ascii="仿宋" w:eastAsia="仿宋" w:hAnsi="仿宋" w:hint="eastAsia"/>
                <w:b/>
                <w:bCs/>
                <w:szCs w:val="21"/>
              </w:rPr>
              <w:t>-超额管理费计提基准）×当期持有天数÷365×50%×产品份额×上期单位净值</w:t>
            </w:r>
          </w:p>
          <w:p w:rsidR="002A73D0" w:rsidRPr="0016688D" w:rsidRDefault="002A73D0" w:rsidP="002A73D0">
            <w:pPr>
              <w:adjustRightInd w:val="0"/>
              <w:snapToGrid w:val="0"/>
              <w:spacing w:line="240" w:lineRule="atLeast"/>
              <w:ind w:firstLine="420"/>
              <w:rPr>
                <w:rFonts w:ascii="仿宋" w:eastAsia="仿宋" w:hAnsi="仿宋" w:hint="eastAsia"/>
                <w:b/>
                <w:bCs/>
                <w:szCs w:val="21"/>
              </w:rPr>
            </w:pPr>
            <w:r w:rsidRPr="0016688D">
              <w:rPr>
                <w:rFonts w:ascii="仿宋" w:eastAsia="仿宋" w:hAnsi="仿宋" w:hint="eastAsia"/>
                <w:b/>
                <w:bCs/>
                <w:szCs w:val="21"/>
              </w:rPr>
              <w:lastRenderedPageBreak/>
              <w:t>其中：</w:t>
            </w:r>
          </w:p>
          <w:p w:rsidR="002A73D0" w:rsidRPr="0016688D" w:rsidRDefault="002A73D0" w:rsidP="002A73D0">
            <w:pPr>
              <w:adjustRightInd w:val="0"/>
              <w:snapToGrid w:val="0"/>
              <w:spacing w:line="240" w:lineRule="atLeast"/>
              <w:ind w:firstLine="420"/>
              <w:rPr>
                <w:rFonts w:ascii="仿宋" w:eastAsia="仿宋" w:hAnsi="仿宋" w:hint="eastAsia"/>
                <w:b/>
                <w:bCs/>
                <w:szCs w:val="21"/>
              </w:rPr>
            </w:pPr>
            <w:proofErr w:type="gramStart"/>
            <w:r w:rsidRPr="0016688D">
              <w:rPr>
                <w:rFonts w:ascii="仿宋" w:eastAsia="仿宋" w:hAnsi="仿宋" w:hint="eastAsia"/>
                <w:b/>
                <w:bCs/>
                <w:szCs w:val="21"/>
              </w:rPr>
              <w:t>年化收益率</w:t>
            </w:r>
            <w:proofErr w:type="gramEnd"/>
            <w:r w:rsidRPr="0016688D">
              <w:rPr>
                <w:rFonts w:ascii="仿宋" w:eastAsia="仿宋" w:hAnsi="仿宋" w:hint="eastAsia"/>
                <w:b/>
                <w:bCs/>
                <w:szCs w:val="21"/>
              </w:rPr>
              <w:t>=（计提日累计单位净值-上一开放</w:t>
            </w:r>
            <w:proofErr w:type="gramStart"/>
            <w:r w:rsidRPr="0016688D">
              <w:rPr>
                <w:rFonts w:ascii="仿宋" w:eastAsia="仿宋" w:hAnsi="仿宋" w:hint="eastAsia"/>
                <w:b/>
                <w:bCs/>
                <w:szCs w:val="21"/>
              </w:rPr>
              <w:t>期单位</w:t>
            </w:r>
            <w:proofErr w:type="gramEnd"/>
            <w:r w:rsidRPr="0016688D">
              <w:rPr>
                <w:rFonts w:ascii="仿宋" w:eastAsia="仿宋" w:hAnsi="仿宋" w:hint="eastAsia"/>
                <w:b/>
                <w:bCs/>
                <w:szCs w:val="21"/>
              </w:rPr>
              <w:t>净值最高日累计单位净值）÷（上一开放</w:t>
            </w:r>
            <w:proofErr w:type="gramStart"/>
            <w:r w:rsidRPr="0016688D">
              <w:rPr>
                <w:rFonts w:ascii="仿宋" w:eastAsia="仿宋" w:hAnsi="仿宋" w:hint="eastAsia"/>
                <w:b/>
                <w:bCs/>
                <w:szCs w:val="21"/>
              </w:rPr>
              <w:t>期单位</w:t>
            </w:r>
            <w:proofErr w:type="gramEnd"/>
            <w:r w:rsidRPr="0016688D">
              <w:rPr>
                <w:rFonts w:ascii="仿宋" w:eastAsia="仿宋" w:hAnsi="仿宋" w:hint="eastAsia"/>
                <w:b/>
                <w:bCs/>
                <w:szCs w:val="21"/>
              </w:rPr>
              <w:t>净值最高</w:t>
            </w:r>
            <w:proofErr w:type="gramStart"/>
            <w:r w:rsidRPr="0016688D">
              <w:rPr>
                <w:rFonts w:ascii="仿宋" w:eastAsia="仿宋" w:hAnsi="仿宋" w:hint="eastAsia"/>
                <w:b/>
                <w:bCs/>
                <w:szCs w:val="21"/>
              </w:rPr>
              <w:t>日单位</w:t>
            </w:r>
            <w:proofErr w:type="gramEnd"/>
            <w:r w:rsidRPr="0016688D">
              <w:rPr>
                <w:rFonts w:ascii="仿宋" w:eastAsia="仿宋" w:hAnsi="仿宋" w:hint="eastAsia"/>
                <w:b/>
                <w:bCs/>
                <w:szCs w:val="21"/>
              </w:rPr>
              <w:t>净值）×365÷当期持有天数。</w:t>
            </w:r>
          </w:p>
          <w:p w:rsidR="002A73D0" w:rsidRPr="0016688D" w:rsidRDefault="002A73D0" w:rsidP="002A73D0">
            <w:pPr>
              <w:adjustRightInd w:val="0"/>
              <w:snapToGrid w:val="0"/>
              <w:spacing w:line="240" w:lineRule="atLeast"/>
              <w:ind w:firstLine="420"/>
              <w:rPr>
                <w:rFonts w:ascii="仿宋" w:eastAsia="仿宋" w:hAnsi="仿宋" w:hint="eastAsia"/>
                <w:b/>
                <w:bCs/>
                <w:szCs w:val="21"/>
              </w:rPr>
            </w:pPr>
            <w:r w:rsidRPr="0016688D">
              <w:rPr>
                <w:rFonts w:ascii="仿宋" w:eastAsia="仿宋" w:hAnsi="仿宋" w:hint="eastAsia"/>
                <w:b/>
                <w:bCs/>
                <w:szCs w:val="21"/>
              </w:rPr>
              <w:t>“产品份额”为该封闭期内份额，若封闭期内有红利再投时，将剔除红利再投产生份额的影响。</w:t>
            </w:r>
          </w:p>
          <w:p w:rsidR="002A73D0" w:rsidRPr="0016688D" w:rsidRDefault="002A73D0" w:rsidP="002A73D0">
            <w:pPr>
              <w:adjustRightInd w:val="0"/>
              <w:snapToGrid w:val="0"/>
              <w:spacing w:line="240" w:lineRule="atLeast"/>
              <w:ind w:firstLine="420"/>
              <w:rPr>
                <w:rFonts w:ascii="仿宋" w:eastAsia="仿宋" w:hAnsi="仿宋" w:hint="eastAsia"/>
                <w:b/>
                <w:bCs/>
                <w:szCs w:val="21"/>
              </w:rPr>
            </w:pPr>
            <w:r w:rsidRPr="0016688D">
              <w:rPr>
                <w:rFonts w:ascii="仿宋" w:eastAsia="仿宋" w:hAnsi="仿宋" w:hint="eastAsia"/>
                <w:b/>
                <w:bCs/>
                <w:szCs w:val="21"/>
              </w:rPr>
              <w:t>“上期单位净值”为上个开放期最后一个开放日的单位净值。</w:t>
            </w:r>
          </w:p>
          <w:p w:rsidR="002A73D0" w:rsidRPr="0016688D" w:rsidRDefault="002A73D0" w:rsidP="002A73D0">
            <w:pPr>
              <w:adjustRightInd w:val="0"/>
              <w:snapToGrid w:val="0"/>
              <w:spacing w:line="240" w:lineRule="atLeast"/>
              <w:ind w:firstLine="420"/>
              <w:rPr>
                <w:rFonts w:ascii="仿宋" w:eastAsia="仿宋" w:hAnsi="仿宋" w:hint="eastAsia"/>
                <w:b/>
                <w:bCs/>
                <w:szCs w:val="21"/>
              </w:rPr>
            </w:pPr>
            <w:r w:rsidRPr="0016688D">
              <w:rPr>
                <w:rFonts w:ascii="仿宋" w:eastAsia="仿宋" w:hAnsi="仿宋" w:hint="eastAsia"/>
                <w:b/>
                <w:bCs/>
                <w:szCs w:val="21"/>
              </w:rPr>
              <w:t>无上一开放期的首个封闭期时，“上期单位净值”、“上一开放期单位净值最高日累计单位净值”、“上一开放期单位净值最高日单位净值”均为1.0000。</w:t>
            </w:r>
          </w:p>
          <w:p w:rsidR="00662200" w:rsidRPr="0016688D" w:rsidRDefault="002A73D0" w:rsidP="00C97A50">
            <w:pPr>
              <w:adjustRightInd w:val="0"/>
              <w:snapToGrid w:val="0"/>
              <w:spacing w:line="240" w:lineRule="atLeast"/>
              <w:ind w:firstLine="420"/>
              <w:rPr>
                <w:rFonts w:ascii="仿宋" w:eastAsia="仿宋" w:hAnsi="仿宋"/>
                <w:b/>
                <w:bCs/>
                <w:szCs w:val="21"/>
                <w:u w:val="single"/>
              </w:rPr>
            </w:pPr>
            <w:r w:rsidRPr="0016688D">
              <w:rPr>
                <w:rFonts w:ascii="仿宋" w:eastAsia="仿宋" w:hAnsi="仿宋" w:hint="eastAsia"/>
                <w:b/>
                <w:bCs/>
                <w:szCs w:val="21"/>
              </w:rPr>
              <w:t>投资周期内每个估值日计提超额管理费，仅</w:t>
            </w:r>
            <w:proofErr w:type="gramStart"/>
            <w:r w:rsidRPr="0016688D">
              <w:rPr>
                <w:rFonts w:ascii="仿宋" w:eastAsia="仿宋" w:hAnsi="仿宋" w:hint="eastAsia"/>
                <w:b/>
                <w:bCs/>
                <w:szCs w:val="21"/>
              </w:rPr>
              <w:t>作为暂估数据</w:t>
            </w:r>
            <w:proofErr w:type="gramEnd"/>
            <w:r w:rsidRPr="0016688D">
              <w:rPr>
                <w:rFonts w:ascii="仿宋" w:eastAsia="仿宋" w:hAnsi="仿宋" w:hint="eastAsia"/>
                <w:b/>
                <w:bCs/>
                <w:szCs w:val="21"/>
              </w:rPr>
              <w:t>，用于本产品会计核算和估值日估值。仅每一开放期首个开放日、到期/终止日为本产品超额管理费实际计提和收取日。</w:t>
            </w:r>
          </w:p>
          <w:p w:rsidR="00846FF0" w:rsidRPr="0016688D" w:rsidRDefault="00846FF0" w:rsidP="00846FF0">
            <w:pPr>
              <w:adjustRightInd w:val="0"/>
              <w:snapToGrid w:val="0"/>
              <w:spacing w:line="240" w:lineRule="atLeast"/>
              <w:ind w:firstLine="420"/>
              <w:rPr>
                <w:rFonts w:ascii="仿宋" w:eastAsia="仿宋" w:hAnsi="仿宋"/>
                <w:b/>
                <w:bCs/>
                <w:szCs w:val="21"/>
                <w:u w:val="single"/>
              </w:rPr>
            </w:pPr>
            <w:r w:rsidRPr="00C97A50">
              <w:rPr>
                <w:rFonts w:ascii="仿宋" w:eastAsia="仿宋" w:hAnsi="仿宋" w:hint="eastAsia"/>
                <w:b/>
                <w:color w:val="000000"/>
                <w:szCs w:val="21"/>
              </w:rPr>
              <w:t>华夏理财有权根据市场</w:t>
            </w:r>
            <w:r w:rsidRPr="00C97A50">
              <w:rPr>
                <w:rFonts w:ascii="仿宋" w:eastAsia="仿宋" w:hAnsi="仿宋" w:hint="eastAsia"/>
                <w:b/>
                <w:szCs w:val="21"/>
              </w:rPr>
              <w:t>及产品运作情况调整上述规则，并至少于生效前3</w:t>
            </w:r>
            <w:r w:rsidRPr="002814B0">
              <w:rPr>
                <w:rFonts w:ascii="仿宋" w:eastAsia="仿宋" w:hAnsi="仿宋" w:hint="eastAsia"/>
                <w:b/>
                <w:szCs w:val="21"/>
              </w:rPr>
              <w:t>个工作日</w:t>
            </w:r>
            <w:r w:rsidRPr="002814B0">
              <w:rPr>
                <w:rFonts w:ascii="仿宋" w:eastAsia="仿宋" w:hAnsi="仿宋"/>
                <w:b/>
                <w:bCs/>
                <w:szCs w:val="21"/>
              </w:rPr>
              <w:t>通过</w:t>
            </w:r>
            <w:r w:rsidRPr="002814B0">
              <w:rPr>
                <w:rFonts w:ascii="仿宋" w:eastAsia="仿宋" w:hAnsi="仿宋" w:hint="eastAsia"/>
                <w:b/>
                <w:bCs/>
                <w:szCs w:val="21"/>
              </w:rPr>
              <w:t>本产品说明书约定的信息披露渠道</w:t>
            </w:r>
            <w:r w:rsidRPr="002814B0">
              <w:rPr>
                <w:rFonts w:ascii="仿宋" w:eastAsia="仿宋" w:hAnsi="仿宋" w:hint="eastAsia"/>
                <w:b/>
                <w:szCs w:val="21"/>
              </w:rPr>
              <w:t>进行公告</w:t>
            </w:r>
            <w:r w:rsidRPr="002814B0">
              <w:rPr>
                <w:rFonts w:ascii="仿宋" w:eastAsia="仿宋" w:hAnsi="仿宋" w:hint="eastAsia"/>
                <w:b/>
                <w:color w:val="000000"/>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lastRenderedPageBreak/>
              <w:t>份额净值公告日</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jc w:val="left"/>
              <w:rPr>
                <w:rFonts w:ascii="仿宋" w:eastAsia="仿宋" w:hAnsi="仿宋"/>
                <w:bCs/>
                <w:szCs w:val="21"/>
              </w:rPr>
            </w:pPr>
            <w:r>
              <w:rPr>
                <w:rFonts w:ascii="仿宋" w:eastAsia="仿宋" w:hAnsi="仿宋" w:hint="eastAsia"/>
              </w:rPr>
              <w:t>每周五后的</w:t>
            </w:r>
            <w:r>
              <w:rPr>
                <w:rFonts w:ascii="仿宋" w:eastAsia="仿宋" w:hAnsi="仿宋" w:hint="eastAsia"/>
                <w:bCs/>
                <w:szCs w:val="21"/>
              </w:rPr>
              <w:t>第3个工作日为份额净值公告日，公告</w:t>
            </w:r>
            <w:r>
              <w:rPr>
                <w:rFonts w:ascii="仿宋" w:eastAsia="仿宋" w:hAnsi="仿宋" w:hint="eastAsia"/>
              </w:rPr>
              <w:t>每周五</w:t>
            </w:r>
            <w:r>
              <w:rPr>
                <w:rFonts w:ascii="仿宋" w:eastAsia="仿宋" w:hAnsi="仿宋" w:hint="eastAsia"/>
                <w:bCs/>
                <w:szCs w:val="21"/>
              </w:rPr>
              <w:t>份额净值，如周五为非工作日，则公告周五上1个工作日的份额净值。如当</w:t>
            </w:r>
            <w:proofErr w:type="gramStart"/>
            <w:r>
              <w:rPr>
                <w:rFonts w:ascii="仿宋" w:eastAsia="仿宋" w:hAnsi="仿宋" w:hint="eastAsia"/>
                <w:bCs/>
                <w:szCs w:val="21"/>
              </w:rPr>
              <w:t>周没有</w:t>
            </w:r>
            <w:proofErr w:type="gramEnd"/>
            <w:r>
              <w:rPr>
                <w:rFonts w:ascii="仿宋" w:eastAsia="仿宋" w:hAnsi="仿宋" w:hint="eastAsia"/>
                <w:bCs/>
                <w:szCs w:val="21"/>
              </w:rPr>
              <w:t>第3个工作日，</w:t>
            </w:r>
            <w:r>
              <w:rPr>
                <w:rFonts w:ascii="仿宋" w:eastAsia="仿宋" w:hAnsi="仿宋"/>
                <w:bCs/>
                <w:szCs w:val="21"/>
              </w:rPr>
              <w:t>则顺延至下</w:t>
            </w:r>
            <w:r>
              <w:rPr>
                <w:rFonts w:ascii="仿宋" w:eastAsia="仿宋" w:hAnsi="仿宋" w:hint="eastAsia"/>
                <w:bCs/>
                <w:szCs w:val="21"/>
              </w:rPr>
              <w:t>1</w:t>
            </w:r>
            <w:r>
              <w:rPr>
                <w:rFonts w:ascii="仿宋" w:eastAsia="仿宋" w:hAnsi="仿宋"/>
                <w:bCs/>
                <w:szCs w:val="21"/>
              </w:rPr>
              <w:t>个工作日</w:t>
            </w:r>
            <w:r>
              <w:rPr>
                <w:rFonts w:ascii="仿宋" w:eastAsia="仿宋" w:hAnsi="仿宋" w:hint="eastAsia"/>
                <w:bCs/>
                <w:szCs w:val="21"/>
              </w:rPr>
              <w:t>。</w:t>
            </w:r>
          </w:p>
          <w:p w:rsidR="00846FF0" w:rsidRDefault="00846FF0" w:rsidP="00846FF0">
            <w:pPr>
              <w:adjustRightInd w:val="0"/>
              <w:snapToGrid w:val="0"/>
              <w:spacing w:line="240" w:lineRule="atLeast"/>
              <w:ind w:firstLineChars="200" w:firstLine="420"/>
              <w:jc w:val="left"/>
              <w:rPr>
                <w:rFonts w:ascii="仿宋" w:eastAsia="仿宋" w:hAnsi="仿宋"/>
                <w:bCs/>
                <w:szCs w:val="21"/>
              </w:rPr>
            </w:pPr>
            <w:r>
              <w:rPr>
                <w:rFonts w:ascii="仿宋" w:eastAsia="仿宋" w:hAnsi="仿宋" w:hint="eastAsia"/>
                <w:bCs/>
                <w:szCs w:val="21"/>
              </w:rPr>
              <w:t>产品开放日后第2个</w:t>
            </w:r>
            <w:r>
              <w:rPr>
                <w:rFonts w:ascii="仿宋" w:eastAsia="仿宋" w:hAnsi="仿宋"/>
                <w:bCs/>
                <w:szCs w:val="21"/>
              </w:rPr>
              <w:t>工作日为</w:t>
            </w:r>
            <w:r>
              <w:rPr>
                <w:rFonts w:ascii="仿宋" w:eastAsia="仿宋" w:hAnsi="仿宋" w:hint="eastAsia"/>
                <w:bCs/>
                <w:szCs w:val="21"/>
              </w:rPr>
              <w:t>份额净值</w:t>
            </w:r>
            <w:r>
              <w:rPr>
                <w:rFonts w:ascii="仿宋" w:eastAsia="仿宋" w:hAnsi="仿宋"/>
                <w:bCs/>
                <w:szCs w:val="21"/>
              </w:rPr>
              <w:t>公告日，</w:t>
            </w:r>
            <w:r>
              <w:rPr>
                <w:rFonts w:ascii="仿宋" w:eastAsia="仿宋" w:hAnsi="仿宋" w:hint="eastAsia"/>
                <w:bCs/>
                <w:szCs w:val="21"/>
              </w:rPr>
              <w:t>公告产品开放日</w:t>
            </w:r>
            <w:r>
              <w:rPr>
                <w:rFonts w:ascii="仿宋" w:eastAsia="仿宋" w:hAnsi="仿宋"/>
                <w:bCs/>
                <w:szCs w:val="21"/>
              </w:rPr>
              <w:t>的</w:t>
            </w:r>
            <w:r>
              <w:rPr>
                <w:rFonts w:ascii="仿宋" w:eastAsia="仿宋" w:hAnsi="仿宋" w:hint="eastAsia"/>
                <w:bCs/>
                <w:szCs w:val="21"/>
              </w:rPr>
              <w:t>份额净值</w:t>
            </w:r>
            <w:r>
              <w:rPr>
                <w:rFonts w:ascii="仿宋" w:eastAsia="仿宋" w:hAnsi="仿宋"/>
                <w:bCs/>
                <w:szCs w:val="21"/>
              </w:rPr>
              <w:t>。</w:t>
            </w:r>
          </w:p>
          <w:p w:rsidR="00846FF0" w:rsidRDefault="00846FF0" w:rsidP="00846FF0">
            <w:pPr>
              <w:adjustRightInd w:val="0"/>
              <w:snapToGrid w:val="0"/>
              <w:spacing w:line="240" w:lineRule="atLeast"/>
              <w:ind w:firstLineChars="200" w:firstLine="420"/>
              <w:jc w:val="left"/>
              <w:rPr>
                <w:rFonts w:ascii="仿宋" w:eastAsia="仿宋" w:hAnsi="仿宋"/>
                <w:bCs/>
                <w:szCs w:val="21"/>
              </w:rPr>
            </w:pPr>
            <w:r>
              <w:rPr>
                <w:rFonts w:ascii="仿宋" w:eastAsia="仿宋" w:hAnsi="仿宋" w:hint="eastAsia"/>
                <w:bCs/>
                <w:szCs w:val="21"/>
              </w:rPr>
              <w:t>产品到期/终止</w:t>
            </w:r>
            <w:r>
              <w:rPr>
                <w:rFonts w:ascii="仿宋" w:eastAsia="仿宋" w:hAnsi="仿宋"/>
                <w:bCs/>
                <w:szCs w:val="21"/>
              </w:rPr>
              <w:t>后的</w:t>
            </w:r>
            <w:r>
              <w:rPr>
                <w:rFonts w:ascii="仿宋" w:eastAsia="仿宋" w:hAnsi="仿宋" w:hint="eastAsia"/>
                <w:bCs/>
                <w:szCs w:val="21"/>
              </w:rPr>
              <w:t>第</w:t>
            </w:r>
            <w:r>
              <w:rPr>
                <w:rFonts w:ascii="仿宋" w:eastAsia="仿宋" w:hAnsi="仿宋"/>
                <w:bCs/>
                <w:szCs w:val="21"/>
              </w:rPr>
              <w:t>2</w:t>
            </w:r>
            <w:r>
              <w:rPr>
                <w:rFonts w:ascii="仿宋" w:eastAsia="仿宋" w:hAnsi="仿宋" w:hint="eastAsia"/>
                <w:bCs/>
                <w:szCs w:val="21"/>
              </w:rPr>
              <w:t>个</w:t>
            </w:r>
            <w:r>
              <w:rPr>
                <w:rFonts w:ascii="仿宋" w:eastAsia="仿宋" w:hAnsi="仿宋"/>
                <w:bCs/>
                <w:szCs w:val="21"/>
              </w:rPr>
              <w:t>工作日为</w:t>
            </w:r>
            <w:r>
              <w:rPr>
                <w:rFonts w:ascii="仿宋" w:eastAsia="仿宋" w:hAnsi="仿宋" w:hint="eastAsia"/>
                <w:bCs/>
                <w:szCs w:val="21"/>
              </w:rPr>
              <w:t>份额净值</w:t>
            </w:r>
            <w:r>
              <w:rPr>
                <w:rFonts w:ascii="仿宋" w:eastAsia="仿宋" w:hAnsi="仿宋"/>
                <w:bCs/>
                <w:szCs w:val="21"/>
              </w:rPr>
              <w:t>公告日，</w:t>
            </w:r>
            <w:r>
              <w:rPr>
                <w:rFonts w:ascii="仿宋" w:eastAsia="仿宋" w:hAnsi="仿宋" w:hint="eastAsia"/>
                <w:bCs/>
                <w:szCs w:val="21"/>
              </w:rPr>
              <w:t>公告产品到期/终止</w:t>
            </w:r>
            <w:r>
              <w:rPr>
                <w:rFonts w:ascii="仿宋" w:eastAsia="仿宋" w:hAnsi="仿宋"/>
                <w:bCs/>
                <w:szCs w:val="21"/>
              </w:rPr>
              <w:t>日的</w:t>
            </w:r>
            <w:r>
              <w:rPr>
                <w:rFonts w:ascii="仿宋" w:eastAsia="仿宋" w:hAnsi="仿宋" w:hint="eastAsia"/>
                <w:bCs/>
                <w:szCs w:val="21"/>
              </w:rPr>
              <w:t>份额净值</w:t>
            </w:r>
            <w:r>
              <w:rPr>
                <w:rFonts w:ascii="仿宋" w:eastAsia="仿宋" w:hAnsi="仿宋"/>
                <w:bCs/>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摆动定价</w:t>
            </w:r>
          </w:p>
        </w:tc>
        <w:tc>
          <w:tcPr>
            <w:tcW w:w="7404" w:type="dxa"/>
            <w:tcBorders>
              <w:top w:val="single" w:sz="4" w:space="0" w:color="auto"/>
              <w:left w:val="single" w:sz="4" w:space="0" w:color="auto"/>
              <w:bottom w:val="single" w:sz="4" w:space="0" w:color="auto"/>
              <w:right w:val="single" w:sz="4" w:space="0" w:color="auto"/>
            </w:tcBorders>
          </w:tcPr>
          <w:p w:rsidR="00846FF0" w:rsidRDefault="00846FF0" w:rsidP="00846FF0">
            <w:pPr>
              <w:adjustRightInd w:val="0"/>
              <w:snapToGrid w:val="0"/>
              <w:spacing w:line="276" w:lineRule="auto"/>
              <w:ind w:firstLineChars="200" w:firstLine="420"/>
              <w:jc w:val="left"/>
            </w:pPr>
            <w:r>
              <w:rPr>
                <w:rFonts w:ascii="仿宋" w:eastAsia="仿宋" w:hAnsi="仿宋" w:hint="eastAsia"/>
                <w:bCs/>
                <w:szCs w:val="21"/>
              </w:rPr>
              <w:t>当理财产品遭遇大额申购或赎回时，管理人可根据理财产品投资组合的市场冲击成本调整投资者申购或赎回时的产品份额净值，将调整投资组合的市场冲击成本分配给实际申购或赎回的投资者，从而减少对存量产品投资者利益的不利影响，确保投资者的合法权益不受损害并得到公平对待。</w:t>
            </w:r>
          </w:p>
          <w:p w:rsidR="00846FF0" w:rsidRDefault="00846FF0" w:rsidP="00846FF0">
            <w:pPr>
              <w:adjustRightInd w:val="0"/>
              <w:snapToGrid w:val="0"/>
              <w:spacing w:line="276" w:lineRule="auto"/>
              <w:ind w:firstLineChars="200" w:firstLine="420"/>
              <w:jc w:val="left"/>
            </w:pPr>
            <w:r>
              <w:rPr>
                <w:rFonts w:ascii="仿宋" w:eastAsia="仿宋" w:hAnsi="仿宋" w:hint="eastAsia"/>
                <w:bCs/>
                <w:szCs w:val="21"/>
              </w:rPr>
              <w:t>具体操作规范遵循相关法律法规以及监管部门、自律规则的规定，并以届时管理人信息披露为准。</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hint="eastAsia"/>
                <w:bCs/>
                <w:szCs w:val="21"/>
              </w:rPr>
              <w:t>分红方式</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4A7A7E" w:rsidP="00846FF0">
            <w:pPr>
              <w:adjustRightInd w:val="0"/>
              <w:snapToGrid w:val="0"/>
              <w:spacing w:line="240" w:lineRule="atLeast"/>
              <w:ind w:firstLineChars="200" w:firstLine="420"/>
              <w:jc w:val="left"/>
              <w:rPr>
                <w:rFonts w:ascii="仿宋" w:eastAsia="仿宋" w:hAnsi="仿宋" w:cs="宋体"/>
                <w:kern w:val="0"/>
                <w:szCs w:val="21"/>
              </w:rPr>
            </w:pPr>
            <w:r>
              <w:rPr>
                <w:rFonts w:ascii="仿宋" w:eastAsia="仿宋" w:hAnsi="仿宋" w:hint="eastAsia"/>
                <w:bCs/>
                <w:szCs w:val="21"/>
              </w:rPr>
              <w:t>本理财产品</w:t>
            </w:r>
            <w:r>
              <w:rPr>
                <w:rFonts w:ascii="仿宋" w:eastAsia="仿宋" w:hAnsi="仿宋"/>
                <w:bCs/>
                <w:szCs w:val="21"/>
              </w:rPr>
              <w:t>不分红</w:t>
            </w:r>
            <w:r>
              <w:rPr>
                <w:rFonts w:ascii="仿宋" w:eastAsia="仿宋" w:hAnsi="仿宋" w:hint="eastAsia"/>
                <w:bCs/>
                <w:szCs w:val="21"/>
              </w:rPr>
              <w:t>。</w:t>
            </w:r>
          </w:p>
        </w:tc>
      </w:tr>
      <w:tr w:rsidR="00846FF0" w:rsidTr="00A12304">
        <w:trPr>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提前终止权</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utoSpaceDE w:val="0"/>
              <w:autoSpaceDN w:val="0"/>
              <w:adjustRightInd w:val="0"/>
              <w:snapToGrid w:val="0"/>
              <w:spacing w:line="240" w:lineRule="atLeast"/>
              <w:ind w:firstLineChars="200" w:firstLine="422"/>
              <w:jc w:val="left"/>
              <w:rPr>
                <w:rFonts w:ascii="仿宋" w:eastAsia="仿宋" w:hAnsi="仿宋"/>
                <w:b/>
                <w:szCs w:val="21"/>
              </w:rPr>
            </w:pPr>
            <w:r>
              <w:rPr>
                <w:rFonts w:ascii="仿宋" w:eastAsia="仿宋" w:hAnsi="仿宋"/>
                <w:b/>
                <w:szCs w:val="21"/>
              </w:rPr>
              <w:t>一、投资者提前终止权</w:t>
            </w:r>
          </w:p>
          <w:p w:rsidR="00846FF0" w:rsidRDefault="00846FF0" w:rsidP="00846FF0">
            <w:pPr>
              <w:autoSpaceDE w:val="0"/>
              <w:autoSpaceDN w:val="0"/>
              <w:adjustRightInd w:val="0"/>
              <w:snapToGrid w:val="0"/>
              <w:spacing w:line="240" w:lineRule="atLeast"/>
              <w:ind w:firstLineChars="200" w:firstLine="422"/>
              <w:jc w:val="left"/>
              <w:rPr>
                <w:rFonts w:ascii="仿宋" w:eastAsia="仿宋" w:hAnsi="仿宋"/>
                <w:bCs/>
                <w:szCs w:val="21"/>
              </w:rPr>
            </w:pPr>
            <w:r>
              <w:rPr>
                <w:rFonts w:ascii="仿宋" w:eastAsia="仿宋" w:hAnsi="仿宋" w:hint="eastAsia"/>
                <w:b/>
                <w:szCs w:val="21"/>
              </w:rPr>
              <w:t>华夏理财</w:t>
            </w:r>
            <w:r>
              <w:rPr>
                <w:rFonts w:ascii="仿宋" w:eastAsia="仿宋" w:hAnsi="仿宋"/>
                <w:b/>
                <w:szCs w:val="21"/>
              </w:rPr>
              <w:t>调整本理财产品的</w:t>
            </w:r>
            <w:r>
              <w:rPr>
                <w:rFonts w:ascii="仿宋" w:eastAsia="仿宋" w:hAnsi="仿宋" w:hint="eastAsia"/>
                <w:b/>
                <w:szCs w:val="21"/>
              </w:rPr>
              <w:t>投资范围、投资品种、投资比例、</w:t>
            </w:r>
            <w:r>
              <w:rPr>
                <w:rFonts w:ascii="仿宋" w:eastAsia="仿宋" w:hAnsi="仿宋"/>
                <w:b/>
                <w:szCs w:val="21"/>
              </w:rPr>
              <w:t>收费项目、收费条件、收费标准和收费方式</w:t>
            </w:r>
            <w:r>
              <w:rPr>
                <w:rFonts w:ascii="仿宋" w:eastAsia="仿宋" w:hAnsi="仿宋" w:hint="eastAsia"/>
                <w:b/>
                <w:szCs w:val="21"/>
              </w:rPr>
              <w:t>等，或补充和修订本产品说明书相关条款，将提前3个工作日</w:t>
            </w:r>
            <w:r>
              <w:rPr>
                <w:rFonts w:ascii="仿宋" w:eastAsia="仿宋" w:hAnsi="仿宋"/>
                <w:b/>
                <w:szCs w:val="21"/>
              </w:rPr>
              <w:t>通过</w:t>
            </w:r>
            <w:r>
              <w:rPr>
                <w:rFonts w:ascii="仿宋" w:eastAsia="仿宋" w:hAnsi="仿宋" w:hint="eastAsia"/>
                <w:b/>
                <w:szCs w:val="21"/>
              </w:rPr>
              <w:t>本产品说明书约定的信息披露渠道</w:t>
            </w:r>
            <w:r>
              <w:rPr>
                <w:rFonts w:ascii="仿宋" w:eastAsia="仿宋" w:hAnsi="仿宋"/>
                <w:b/>
                <w:szCs w:val="21"/>
              </w:rPr>
              <w:t>公告</w:t>
            </w:r>
            <w:r>
              <w:rPr>
                <w:rFonts w:ascii="仿宋" w:eastAsia="仿宋" w:hAnsi="仿宋" w:hint="eastAsia"/>
                <w:bCs/>
                <w:szCs w:val="21"/>
              </w:rPr>
              <w:t>。除本产品说明书第十部分“特别提示”所列情形外，</w:t>
            </w:r>
            <w:r>
              <w:rPr>
                <w:rFonts w:ascii="仿宋" w:eastAsia="仿宋" w:hAnsi="仿宋"/>
                <w:bCs/>
                <w:szCs w:val="21"/>
              </w:rPr>
              <w:t>投资者不接受调整的，应在公告确定的期限内向</w:t>
            </w:r>
            <w:r>
              <w:rPr>
                <w:rFonts w:ascii="仿宋" w:eastAsia="仿宋" w:hAnsi="仿宋" w:hint="eastAsia"/>
                <w:bCs/>
                <w:szCs w:val="21"/>
              </w:rPr>
              <w:t>对应销售机构</w:t>
            </w:r>
            <w:r>
              <w:rPr>
                <w:rFonts w:ascii="仿宋" w:eastAsia="仿宋" w:hAnsi="仿宋"/>
                <w:bCs/>
                <w:szCs w:val="21"/>
              </w:rPr>
              <w:t>申请提前赎回并办理相关手续。</w:t>
            </w:r>
          </w:p>
          <w:p w:rsidR="00846FF0" w:rsidRDefault="00846FF0" w:rsidP="00846FF0">
            <w:pPr>
              <w:autoSpaceDE w:val="0"/>
              <w:autoSpaceDN w:val="0"/>
              <w:adjustRightInd w:val="0"/>
              <w:snapToGrid w:val="0"/>
              <w:spacing w:line="240" w:lineRule="atLeast"/>
              <w:ind w:firstLineChars="200" w:firstLine="420"/>
              <w:jc w:val="left"/>
              <w:rPr>
                <w:rFonts w:ascii="仿宋" w:eastAsia="仿宋" w:hAnsi="仿宋"/>
                <w:bCs/>
                <w:szCs w:val="21"/>
              </w:rPr>
            </w:pPr>
            <w:r>
              <w:rPr>
                <w:rFonts w:ascii="仿宋" w:eastAsia="仿宋" w:hAnsi="仿宋"/>
                <w:bCs/>
                <w:szCs w:val="21"/>
              </w:rPr>
              <w:t>二、华夏</w:t>
            </w:r>
            <w:r>
              <w:rPr>
                <w:rFonts w:ascii="仿宋" w:eastAsia="仿宋" w:hAnsi="仿宋" w:hint="eastAsia"/>
                <w:bCs/>
                <w:szCs w:val="21"/>
              </w:rPr>
              <w:t>理财</w:t>
            </w:r>
            <w:r>
              <w:rPr>
                <w:rFonts w:ascii="仿宋" w:eastAsia="仿宋" w:hAnsi="仿宋"/>
                <w:bCs/>
                <w:szCs w:val="21"/>
              </w:rPr>
              <w:t>提前终止权</w:t>
            </w:r>
          </w:p>
          <w:p w:rsidR="00846FF0" w:rsidRDefault="00846FF0" w:rsidP="00846FF0">
            <w:pPr>
              <w:autoSpaceDE w:val="0"/>
              <w:autoSpaceDN w:val="0"/>
              <w:adjustRightInd w:val="0"/>
              <w:snapToGrid w:val="0"/>
              <w:spacing w:line="240" w:lineRule="atLeast"/>
              <w:jc w:val="left"/>
              <w:rPr>
                <w:rFonts w:ascii="仿宋" w:eastAsia="仿宋" w:hAnsi="仿宋"/>
                <w:b/>
                <w:bCs/>
                <w:szCs w:val="21"/>
              </w:rPr>
            </w:pPr>
            <w:r>
              <w:rPr>
                <w:rFonts w:ascii="仿宋" w:eastAsia="仿宋" w:hAnsi="仿宋"/>
                <w:bCs/>
                <w:szCs w:val="21"/>
              </w:rPr>
              <w:t xml:space="preserve">    </w:t>
            </w:r>
            <w:r>
              <w:rPr>
                <w:rFonts w:ascii="仿宋" w:eastAsia="仿宋" w:hAnsi="仿宋"/>
                <w:b/>
                <w:bCs/>
                <w:szCs w:val="21"/>
              </w:rPr>
              <w:t>1．出现下列情形，华夏</w:t>
            </w:r>
            <w:r>
              <w:rPr>
                <w:rFonts w:ascii="仿宋" w:eastAsia="仿宋" w:hAnsi="仿宋" w:hint="eastAsia"/>
                <w:b/>
                <w:bCs/>
                <w:szCs w:val="21"/>
              </w:rPr>
              <w:t>理财</w:t>
            </w:r>
            <w:r>
              <w:rPr>
                <w:rFonts w:ascii="仿宋" w:eastAsia="仿宋" w:hAnsi="仿宋"/>
                <w:b/>
                <w:bCs/>
                <w:szCs w:val="21"/>
              </w:rPr>
              <w:t>有权提前终止本理财产品：</w:t>
            </w:r>
          </w:p>
          <w:p w:rsidR="00846FF0" w:rsidRDefault="00846FF0" w:rsidP="00846FF0">
            <w:pPr>
              <w:autoSpaceDE w:val="0"/>
              <w:autoSpaceDN w:val="0"/>
              <w:adjustRightInd w:val="0"/>
              <w:snapToGrid w:val="0"/>
              <w:spacing w:line="240" w:lineRule="atLeast"/>
              <w:ind w:firstLineChars="200" w:firstLine="420"/>
              <w:jc w:val="left"/>
              <w:rPr>
                <w:rFonts w:ascii="仿宋" w:eastAsia="仿宋" w:hAnsi="仿宋" w:cs="宋体"/>
                <w:bCs/>
                <w:szCs w:val="21"/>
              </w:rPr>
            </w:pPr>
            <w:r>
              <w:rPr>
                <w:rFonts w:ascii="仿宋" w:eastAsia="仿宋" w:hAnsi="仿宋" w:cs="宋体" w:hint="eastAsia"/>
                <w:bCs/>
                <w:szCs w:val="21"/>
              </w:rPr>
              <w:t>①</w:t>
            </w:r>
            <w:r>
              <w:rPr>
                <w:rFonts w:ascii="仿宋" w:eastAsia="仿宋" w:hAnsi="仿宋" w:hint="eastAsia"/>
                <w:bCs/>
                <w:szCs w:val="21"/>
              </w:rPr>
              <w:t>当本理财产品份额低于</w:t>
            </w:r>
            <w:r w:rsidR="000950EC">
              <w:rPr>
                <w:rFonts w:ascii="仿宋" w:eastAsia="仿宋" w:hAnsi="仿宋"/>
                <w:bCs/>
                <w:szCs w:val="21"/>
              </w:rPr>
              <w:t>1</w:t>
            </w:r>
            <w:r w:rsidR="000950EC">
              <w:rPr>
                <w:rFonts w:ascii="仿宋" w:eastAsia="仿宋" w:hAnsi="仿宋" w:hint="eastAsia"/>
                <w:bCs/>
                <w:szCs w:val="21"/>
              </w:rPr>
              <w:t>000</w:t>
            </w:r>
            <w:r>
              <w:rPr>
                <w:rFonts w:ascii="仿宋" w:eastAsia="仿宋" w:hAnsi="仿宋" w:hint="eastAsia"/>
                <w:bCs/>
                <w:szCs w:val="21"/>
              </w:rPr>
              <w:t>万份时；</w:t>
            </w:r>
          </w:p>
          <w:p w:rsidR="00846FF0" w:rsidRDefault="00846FF0" w:rsidP="00846FF0">
            <w:pPr>
              <w:autoSpaceDE w:val="0"/>
              <w:autoSpaceDN w:val="0"/>
              <w:adjustRightInd w:val="0"/>
              <w:snapToGrid w:val="0"/>
              <w:spacing w:line="240" w:lineRule="atLeast"/>
              <w:ind w:firstLineChars="200" w:firstLine="420"/>
              <w:jc w:val="left"/>
              <w:rPr>
                <w:rFonts w:ascii="仿宋" w:eastAsia="仿宋" w:hAnsi="仿宋"/>
                <w:bCs/>
                <w:szCs w:val="21"/>
              </w:rPr>
            </w:pPr>
            <w:r>
              <w:rPr>
                <w:rFonts w:ascii="仿宋" w:eastAsia="仿宋" w:hAnsi="仿宋" w:cs="宋体" w:hint="eastAsia"/>
                <w:bCs/>
                <w:szCs w:val="21"/>
              </w:rPr>
              <w:t>②</w:t>
            </w:r>
            <w:r>
              <w:rPr>
                <w:rFonts w:ascii="仿宋" w:eastAsia="仿宋" w:hAnsi="仿宋" w:hint="eastAsia"/>
                <w:bCs/>
                <w:szCs w:val="21"/>
              </w:rPr>
              <w:t>法律法规、监管规定、国家政策</w:t>
            </w:r>
            <w:r>
              <w:rPr>
                <w:rFonts w:ascii="仿宋" w:eastAsia="仿宋" w:hAnsi="仿宋"/>
                <w:bCs/>
                <w:szCs w:val="21"/>
              </w:rPr>
              <w:t>出现重大调整影响本理财产品正常运作；</w:t>
            </w:r>
          </w:p>
          <w:p w:rsidR="00846FF0" w:rsidRDefault="00846FF0" w:rsidP="00846FF0">
            <w:pPr>
              <w:autoSpaceDE w:val="0"/>
              <w:autoSpaceDN w:val="0"/>
              <w:adjustRightInd w:val="0"/>
              <w:snapToGrid w:val="0"/>
              <w:spacing w:line="240" w:lineRule="atLeast"/>
              <w:ind w:firstLineChars="200" w:firstLine="420"/>
              <w:jc w:val="left"/>
              <w:rPr>
                <w:rFonts w:ascii="仿宋" w:eastAsia="仿宋" w:hAnsi="仿宋"/>
                <w:bCs/>
                <w:szCs w:val="21"/>
              </w:rPr>
            </w:pPr>
            <w:r>
              <w:rPr>
                <w:rFonts w:ascii="仿宋" w:eastAsia="仿宋" w:hAnsi="仿宋" w:cs="宋体" w:hint="eastAsia"/>
                <w:bCs/>
                <w:szCs w:val="21"/>
              </w:rPr>
              <w:t>③</w:t>
            </w:r>
            <w:r>
              <w:rPr>
                <w:rFonts w:ascii="仿宋" w:eastAsia="仿宋" w:hAnsi="仿宋" w:hint="eastAsia"/>
                <w:bCs/>
                <w:szCs w:val="21"/>
              </w:rPr>
              <w:t>市场收益率大幅波动，可能或实质影响到产品所能实现的投资收益；</w:t>
            </w:r>
          </w:p>
          <w:p w:rsidR="00846FF0" w:rsidRDefault="00846FF0" w:rsidP="00846FF0">
            <w:pPr>
              <w:autoSpaceDE w:val="0"/>
              <w:autoSpaceDN w:val="0"/>
              <w:adjustRightInd w:val="0"/>
              <w:snapToGrid w:val="0"/>
              <w:spacing w:line="240" w:lineRule="atLeast"/>
              <w:ind w:firstLineChars="200" w:firstLine="420"/>
              <w:jc w:val="left"/>
              <w:rPr>
                <w:rFonts w:ascii="仿宋" w:eastAsia="仿宋" w:hAnsi="仿宋"/>
                <w:bCs/>
                <w:szCs w:val="21"/>
              </w:rPr>
            </w:pPr>
            <w:r>
              <w:rPr>
                <w:rFonts w:ascii="仿宋" w:eastAsia="仿宋" w:hAnsi="仿宋" w:cs="宋体" w:hint="eastAsia"/>
                <w:bCs/>
                <w:szCs w:val="21"/>
              </w:rPr>
              <w:t>④</w:t>
            </w:r>
            <w:r>
              <w:rPr>
                <w:rFonts w:ascii="仿宋" w:eastAsia="仿宋" w:hAnsi="仿宋"/>
                <w:bCs/>
                <w:szCs w:val="21"/>
              </w:rPr>
              <w:t>理财资金所投资的</w:t>
            </w:r>
            <w:r>
              <w:rPr>
                <w:rFonts w:ascii="仿宋" w:eastAsia="仿宋" w:hAnsi="仿宋" w:hint="eastAsia"/>
                <w:bCs/>
                <w:szCs w:val="21"/>
              </w:rPr>
              <w:t>相关资产</w:t>
            </w:r>
            <w:r>
              <w:rPr>
                <w:rFonts w:ascii="仿宋" w:eastAsia="仿宋" w:hAnsi="仿宋"/>
                <w:bCs/>
                <w:szCs w:val="21"/>
              </w:rPr>
              <w:t>提前终止</w:t>
            </w:r>
            <w:r>
              <w:rPr>
                <w:rFonts w:ascii="仿宋" w:eastAsia="仿宋" w:hAnsi="仿宋" w:hint="eastAsia"/>
                <w:bCs/>
                <w:szCs w:val="21"/>
              </w:rPr>
              <w:t>，或本理财产品根据投资策略、交易结构触碰提前终止条件；</w:t>
            </w:r>
          </w:p>
          <w:p w:rsidR="00846FF0" w:rsidRDefault="00846FF0" w:rsidP="00846FF0">
            <w:pPr>
              <w:autoSpaceDE w:val="0"/>
              <w:autoSpaceDN w:val="0"/>
              <w:adjustRightInd w:val="0"/>
              <w:snapToGrid w:val="0"/>
              <w:spacing w:line="240" w:lineRule="atLeast"/>
              <w:ind w:firstLineChars="200" w:firstLine="420"/>
              <w:jc w:val="left"/>
              <w:rPr>
                <w:rFonts w:ascii="仿宋" w:eastAsia="仿宋" w:hAnsi="仿宋"/>
                <w:bCs/>
                <w:szCs w:val="21"/>
              </w:rPr>
            </w:pPr>
            <w:r>
              <w:rPr>
                <w:rFonts w:ascii="仿宋" w:eastAsia="仿宋" w:hAnsi="仿宋" w:hint="eastAsia"/>
                <w:bCs/>
                <w:szCs w:val="21"/>
              </w:rPr>
              <w:t>⑤</w:t>
            </w:r>
            <w:r>
              <w:rPr>
                <w:rFonts w:ascii="仿宋" w:eastAsia="仿宋" w:hAnsi="仿宋"/>
                <w:bCs/>
                <w:szCs w:val="21"/>
              </w:rPr>
              <w:t>法律法规、监管规定及国家政策规定的其他情形</w:t>
            </w:r>
            <w:r>
              <w:rPr>
                <w:rFonts w:ascii="仿宋" w:eastAsia="仿宋" w:hAnsi="仿宋" w:hint="eastAsia"/>
                <w:bCs/>
                <w:szCs w:val="21"/>
              </w:rPr>
              <w:t>或华夏理财认为需要提前终止的其他情形</w:t>
            </w:r>
            <w:r>
              <w:rPr>
                <w:rFonts w:ascii="仿宋" w:eastAsia="仿宋" w:hAnsi="仿宋"/>
                <w:bCs/>
                <w:szCs w:val="21"/>
              </w:rPr>
              <w:t>。</w:t>
            </w:r>
          </w:p>
          <w:p w:rsidR="00846FF0" w:rsidRDefault="00846FF0" w:rsidP="00846FF0">
            <w:pPr>
              <w:autoSpaceDE w:val="0"/>
              <w:autoSpaceDN w:val="0"/>
              <w:adjustRightInd w:val="0"/>
              <w:snapToGrid w:val="0"/>
              <w:spacing w:line="240" w:lineRule="atLeast"/>
              <w:ind w:firstLineChars="200" w:firstLine="420"/>
              <w:jc w:val="left"/>
              <w:rPr>
                <w:rFonts w:ascii="仿宋" w:eastAsia="仿宋" w:hAnsi="仿宋"/>
                <w:bCs/>
                <w:szCs w:val="21"/>
              </w:rPr>
            </w:pPr>
            <w:r>
              <w:rPr>
                <w:rFonts w:ascii="仿宋" w:eastAsia="仿宋" w:hAnsi="仿宋"/>
                <w:bCs/>
                <w:szCs w:val="21"/>
              </w:rPr>
              <w:t>2．华夏</w:t>
            </w:r>
            <w:r>
              <w:rPr>
                <w:rFonts w:ascii="仿宋" w:eastAsia="仿宋" w:hAnsi="仿宋" w:hint="eastAsia"/>
                <w:bCs/>
                <w:szCs w:val="21"/>
              </w:rPr>
              <w:t>理财</w:t>
            </w:r>
            <w:r>
              <w:rPr>
                <w:rFonts w:ascii="仿宋" w:eastAsia="仿宋" w:hAnsi="仿宋"/>
                <w:bCs/>
                <w:szCs w:val="21"/>
              </w:rPr>
              <w:t>提前终止本理财产品的，在提前终止日前3个工作日通过</w:t>
            </w:r>
            <w:r>
              <w:rPr>
                <w:rFonts w:ascii="仿宋" w:eastAsia="仿宋" w:hAnsi="仿宋" w:hint="eastAsia"/>
                <w:bCs/>
                <w:szCs w:val="21"/>
              </w:rPr>
              <w:t>本产品说明书约定的信息披露渠道</w:t>
            </w:r>
            <w:r>
              <w:rPr>
                <w:rFonts w:ascii="仿宋" w:eastAsia="仿宋" w:hAnsi="仿宋"/>
                <w:bCs/>
                <w:szCs w:val="21"/>
              </w:rPr>
              <w:t>公告</w:t>
            </w:r>
            <w:r>
              <w:rPr>
                <w:rFonts w:ascii="仿宋" w:eastAsia="仿宋" w:hAnsi="仿宋" w:hint="eastAsia"/>
                <w:bCs/>
                <w:szCs w:val="21"/>
              </w:rPr>
              <w:t>相关信息。</w:t>
            </w:r>
          </w:p>
        </w:tc>
      </w:tr>
      <w:tr w:rsidR="00846FF0" w:rsidTr="00A12304">
        <w:trPr>
          <w:trHeight w:val="285"/>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bCs/>
                <w:szCs w:val="21"/>
              </w:rPr>
            </w:pPr>
            <w:r>
              <w:rPr>
                <w:rFonts w:ascii="仿宋" w:eastAsia="仿宋" w:hAnsi="仿宋"/>
                <w:bCs/>
                <w:szCs w:val="21"/>
              </w:rPr>
              <w:t>税款</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utoSpaceDE w:val="0"/>
              <w:autoSpaceDN w:val="0"/>
              <w:adjustRightInd w:val="0"/>
              <w:snapToGrid w:val="0"/>
              <w:spacing w:line="240" w:lineRule="atLeast"/>
              <w:ind w:firstLineChars="200" w:firstLine="420"/>
              <w:jc w:val="left"/>
              <w:rPr>
                <w:rFonts w:ascii="仿宋" w:eastAsia="仿宋" w:hAnsi="仿宋"/>
                <w:bCs/>
                <w:szCs w:val="21"/>
              </w:rPr>
            </w:pPr>
            <w:r>
              <w:rPr>
                <w:rFonts w:ascii="仿宋" w:eastAsia="仿宋" w:hAnsi="仿宋" w:hint="eastAsia"/>
                <w:bCs/>
                <w:szCs w:val="21"/>
              </w:rPr>
              <w:t>根据法律法规规定，本理财产品在资产管理、运营、处置过程中产生收入应缴纳和承担税收和</w:t>
            </w:r>
            <w:proofErr w:type="gramStart"/>
            <w:r>
              <w:rPr>
                <w:rFonts w:ascii="仿宋" w:eastAsia="仿宋" w:hAnsi="仿宋" w:hint="eastAsia"/>
                <w:bCs/>
                <w:szCs w:val="21"/>
              </w:rPr>
              <w:t>规费</w:t>
            </w:r>
            <w:proofErr w:type="gramEnd"/>
            <w:r>
              <w:rPr>
                <w:rFonts w:ascii="仿宋" w:eastAsia="仿宋" w:hAnsi="仿宋" w:hint="eastAsia"/>
                <w:bCs/>
                <w:szCs w:val="21"/>
              </w:rPr>
              <w:t>的，由管理人直接从理财资产中扣付缴纳。</w:t>
            </w:r>
          </w:p>
          <w:p w:rsidR="00846FF0" w:rsidRDefault="00846FF0" w:rsidP="00846FF0">
            <w:pPr>
              <w:adjustRightInd w:val="0"/>
              <w:snapToGrid w:val="0"/>
              <w:spacing w:line="240" w:lineRule="atLeast"/>
              <w:ind w:firstLineChars="200" w:firstLine="420"/>
              <w:rPr>
                <w:rFonts w:ascii="仿宋" w:eastAsia="仿宋" w:hAnsi="仿宋"/>
                <w:bCs/>
                <w:szCs w:val="21"/>
              </w:rPr>
            </w:pPr>
            <w:r>
              <w:rPr>
                <w:rFonts w:ascii="仿宋" w:eastAsia="仿宋" w:hAnsi="仿宋"/>
                <w:bCs/>
                <w:szCs w:val="21"/>
              </w:rPr>
              <w:t>理财收益的应纳税款由投资者自行申报及缴纳，但若根据法律法规等规定或税务等国家机关的命令或要求，华夏</w:t>
            </w:r>
            <w:r>
              <w:rPr>
                <w:rFonts w:ascii="仿宋" w:eastAsia="仿宋" w:hAnsi="仿宋" w:hint="eastAsia"/>
                <w:bCs/>
                <w:szCs w:val="21"/>
              </w:rPr>
              <w:t>理财</w:t>
            </w:r>
            <w:r>
              <w:rPr>
                <w:rFonts w:ascii="仿宋" w:eastAsia="仿宋" w:hAnsi="仿宋"/>
                <w:bCs/>
                <w:szCs w:val="21"/>
              </w:rPr>
              <w:t>有义务代扣代缴投资者承担的税费时，华夏</w:t>
            </w:r>
            <w:r>
              <w:rPr>
                <w:rFonts w:ascii="仿宋" w:eastAsia="仿宋" w:hAnsi="仿宋" w:hint="eastAsia"/>
                <w:bCs/>
                <w:szCs w:val="21"/>
              </w:rPr>
              <w:t>理财</w:t>
            </w:r>
            <w:r>
              <w:rPr>
                <w:rFonts w:ascii="仿宋" w:eastAsia="仿宋" w:hAnsi="仿宋"/>
                <w:bCs/>
                <w:szCs w:val="21"/>
              </w:rPr>
              <w:t>将</w:t>
            </w:r>
            <w:r>
              <w:rPr>
                <w:rFonts w:ascii="仿宋" w:eastAsia="仿宋" w:hAnsi="仿宋" w:hint="eastAsia"/>
                <w:bCs/>
                <w:szCs w:val="21"/>
              </w:rPr>
              <w:t>予以</w:t>
            </w:r>
            <w:r>
              <w:rPr>
                <w:rFonts w:ascii="仿宋" w:eastAsia="仿宋" w:hAnsi="仿宋"/>
                <w:bCs/>
                <w:szCs w:val="21"/>
              </w:rPr>
              <w:t>代扣代缴。</w:t>
            </w:r>
          </w:p>
        </w:tc>
      </w:tr>
      <w:tr w:rsidR="00846FF0" w:rsidTr="00A12304">
        <w:trPr>
          <w:trHeight w:val="285"/>
          <w:jc w:val="center"/>
        </w:trPr>
        <w:tc>
          <w:tcPr>
            <w:tcW w:w="1730"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jc w:val="center"/>
              <w:rPr>
                <w:rFonts w:ascii="仿宋" w:eastAsia="仿宋" w:hAnsi="仿宋" w:cs="宋体"/>
                <w:color w:val="000000"/>
                <w:kern w:val="0"/>
                <w:szCs w:val="21"/>
              </w:rPr>
            </w:pPr>
            <w:r>
              <w:rPr>
                <w:rFonts w:ascii="仿宋" w:eastAsia="仿宋" w:hAnsi="仿宋" w:cs="宋体"/>
                <w:color w:val="000000"/>
                <w:kern w:val="0"/>
                <w:szCs w:val="21"/>
              </w:rPr>
              <w:t>其他规定</w:t>
            </w:r>
          </w:p>
        </w:tc>
        <w:tc>
          <w:tcPr>
            <w:tcW w:w="7404" w:type="dxa"/>
            <w:tcBorders>
              <w:top w:val="single" w:sz="4" w:space="0" w:color="auto"/>
              <w:left w:val="single" w:sz="4" w:space="0" w:color="auto"/>
              <w:bottom w:val="single" w:sz="4" w:space="0" w:color="auto"/>
              <w:right w:val="single" w:sz="4" w:space="0" w:color="auto"/>
            </w:tcBorders>
            <w:vAlign w:val="center"/>
          </w:tcPr>
          <w:p w:rsidR="00846FF0" w:rsidRDefault="00846FF0" w:rsidP="00846FF0">
            <w:pPr>
              <w:adjustRightInd w:val="0"/>
              <w:snapToGrid w:val="0"/>
              <w:spacing w:line="240" w:lineRule="atLeast"/>
              <w:ind w:firstLineChars="200" w:firstLine="420"/>
              <w:rPr>
                <w:rFonts w:ascii="仿宋" w:eastAsia="仿宋" w:hAnsi="仿宋" w:cs="宋体"/>
                <w:kern w:val="0"/>
                <w:szCs w:val="21"/>
              </w:rPr>
            </w:pPr>
            <w:r>
              <w:rPr>
                <w:rFonts w:ascii="仿宋" w:eastAsia="仿宋" w:hAnsi="仿宋"/>
                <w:bCs/>
                <w:szCs w:val="21"/>
              </w:rPr>
              <w:t>（1</w:t>
            </w:r>
            <w:r>
              <w:rPr>
                <w:rFonts w:ascii="仿宋" w:eastAsia="仿宋" w:hAnsi="仿宋" w:hint="eastAsia"/>
                <w:bCs/>
                <w:szCs w:val="21"/>
              </w:rPr>
              <w:t>）</w:t>
            </w:r>
            <w:r>
              <w:rPr>
                <w:rFonts w:ascii="仿宋" w:eastAsia="仿宋" w:hAnsi="仿宋" w:cs="宋体" w:hint="eastAsia"/>
                <w:kern w:val="0"/>
                <w:szCs w:val="21"/>
              </w:rPr>
              <w:t>由华夏理财销售的，募集期认购资金</w:t>
            </w:r>
            <w:r>
              <w:rPr>
                <w:rFonts w:ascii="仿宋" w:eastAsia="仿宋" w:hAnsi="仿宋" w:cs="宋体"/>
                <w:kern w:val="0"/>
                <w:szCs w:val="21"/>
              </w:rPr>
              <w:t>计息规则</w:t>
            </w:r>
            <w:r>
              <w:rPr>
                <w:rFonts w:ascii="仿宋" w:eastAsia="仿宋" w:hAnsi="仿宋" w:cs="宋体" w:hint="eastAsia"/>
                <w:kern w:val="0"/>
                <w:szCs w:val="21"/>
              </w:rPr>
              <w:t>以华夏理财渠道披露的</w:t>
            </w:r>
            <w:r>
              <w:rPr>
                <w:rFonts w:ascii="仿宋" w:eastAsia="仿宋" w:hAnsi="仿宋" w:cs="宋体" w:hint="eastAsia"/>
                <w:kern w:val="0"/>
                <w:szCs w:val="21"/>
              </w:rPr>
              <w:lastRenderedPageBreak/>
              <w:t>理财</w:t>
            </w:r>
            <w:r>
              <w:rPr>
                <w:rFonts w:ascii="仿宋" w:eastAsia="仿宋" w:hAnsi="仿宋" w:cs="宋体"/>
                <w:kern w:val="0"/>
                <w:szCs w:val="21"/>
              </w:rPr>
              <w:t>产品销售协议书</w:t>
            </w:r>
            <w:r>
              <w:rPr>
                <w:rFonts w:ascii="仿宋" w:eastAsia="仿宋" w:hAnsi="仿宋" w:cs="宋体" w:hint="eastAsia"/>
                <w:kern w:val="0"/>
                <w:szCs w:val="21"/>
              </w:rPr>
              <w:t>约定为准。</w:t>
            </w:r>
          </w:p>
          <w:p w:rsidR="00846FF0" w:rsidRDefault="00846FF0" w:rsidP="00846FF0">
            <w:pPr>
              <w:adjustRightInd w:val="0"/>
              <w:snapToGrid w:val="0"/>
              <w:spacing w:line="240" w:lineRule="atLeast"/>
              <w:ind w:firstLineChars="200" w:firstLine="420"/>
              <w:rPr>
                <w:rFonts w:ascii="仿宋" w:eastAsia="仿宋" w:hAnsi="仿宋" w:cs="宋体"/>
                <w:kern w:val="0"/>
                <w:szCs w:val="21"/>
              </w:rPr>
            </w:pPr>
            <w:r>
              <w:rPr>
                <w:rFonts w:ascii="仿宋" w:eastAsia="仿宋" w:hAnsi="仿宋"/>
                <w:bCs/>
                <w:szCs w:val="21"/>
              </w:rPr>
              <w:t>（2</w:t>
            </w:r>
            <w:r>
              <w:rPr>
                <w:rFonts w:ascii="仿宋" w:eastAsia="仿宋" w:hAnsi="仿宋" w:hint="eastAsia"/>
                <w:bCs/>
                <w:szCs w:val="21"/>
              </w:rPr>
              <w:t>）</w:t>
            </w:r>
            <w:r>
              <w:rPr>
                <w:rFonts w:ascii="仿宋" w:eastAsia="仿宋" w:hAnsi="仿宋" w:cs="宋体" w:hint="eastAsia"/>
                <w:kern w:val="0"/>
                <w:szCs w:val="21"/>
              </w:rPr>
              <w:t>由华夏银行销售的，募集期</w:t>
            </w:r>
            <w:r>
              <w:rPr>
                <w:rFonts w:ascii="仿宋" w:eastAsia="仿宋" w:hAnsi="仿宋" w:cs="宋体"/>
                <w:kern w:val="0"/>
                <w:szCs w:val="21"/>
              </w:rPr>
              <w:t>认购申请日（含）至</w:t>
            </w:r>
            <w:r>
              <w:rPr>
                <w:rFonts w:ascii="仿宋" w:eastAsia="仿宋" w:hAnsi="仿宋" w:cs="宋体" w:hint="eastAsia"/>
                <w:kern w:val="0"/>
                <w:szCs w:val="21"/>
              </w:rPr>
              <w:t>成立</w:t>
            </w:r>
            <w:r>
              <w:rPr>
                <w:rFonts w:ascii="仿宋" w:eastAsia="仿宋" w:hAnsi="仿宋" w:cs="宋体"/>
                <w:kern w:val="0"/>
                <w:szCs w:val="21"/>
              </w:rPr>
              <w:t>日（</w:t>
            </w:r>
            <w:r>
              <w:rPr>
                <w:rFonts w:ascii="仿宋" w:eastAsia="仿宋" w:hAnsi="仿宋" w:cs="宋体" w:hint="eastAsia"/>
                <w:kern w:val="0"/>
                <w:szCs w:val="21"/>
              </w:rPr>
              <w:t>不含</w:t>
            </w:r>
            <w:r>
              <w:rPr>
                <w:rFonts w:ascii="仿宋" w:eastAsia="仿宋" w:hAnsi="仿宋" w:cs="宋体"/>
                <w:kern w:val="0"/>
                <w:szCs w:val="21"/>
              </w:rPr>
              <w:t>）</w:t>
            </w:r>
            <w:r>
              <w:rPr>
                <w:rFonts w:ascii="仿宋" w:eastAsia="仿宋" w:hAnsi="仿宋" w:cs="宋体" w:hint="eastAsia"/>
                <w:kern w:val="0"/>
                <w:szCs w:val="21"/>
              </w:rPr>
              <w:t>或认购</w:t>
            </w:r>
            <w:r>
              <w:rPr>
                <w:rFonts w:ascii="仿宋" w:eastAsia="仿宋" w:hAnsi="仿宋" w:cs="宋体"/>
                <w:kern w:val="0"/>
                <w:szCs w:val="21"/>
              </w:rPr>
              <w:t>撤销日（</w:t>
            </w:r>
            <w:r>
              <w:rPr>
                <w:rFonts w:ascii="仿宋" w:eastAsia="仿宋" w:hAnsi="仿宋" w:cs="宋体" w:hint="eastAsia"/>
                <w:kern w:val="0"/>
                <w:szCs w:val="21"/>
              </w:rPr>
              <w:t>不含</w:t>
            </w:r>
            <w:r>
              <w:rPr>
                <w:rFonts w:ascii="仿宋" w:eastAsia="仿宋" w:hAnsi="仿宋" w:cs="宋体"/>
                <w:kern w:val="0"/>
                <w:szCs w:val="21"/>
              </w:rPr>
              <w:t>）</w:t>
            </w:r>
            <w:r>
              <w:rPr>
                <w:rFonts w:ascii="仿宋" w:eastAsia="仿宋" w:hAnsi="仿宋" w:cs="宋体" w:hint="eastAsia"/>
                <w:kern w:val="0"/>
                <w:szCs w:val="21"/>
              </w:rPr>
              <w:t>之间，</w:t>
            </w:r>
            <w:r>
              <w:rPr>
                <w:rFonts w:ascii="仿宋" w:eastAsia="仿宋" w:hAnsi="仿宋" w:cs="宋体"/>
                <w:kern w:val="0"/>
                <w:szCs w:val="21"/>
              </w:rPr>
              <w:t>投资者</w:t>
            </w:r>
            <w:r>
              <w:rPr>
                <w:rFonts w:ascii="仿宋" w:eastAsia="仿宋" w:hAnsi="仿宋" w:cs="宋体" w:hint="eastAsia"/>
                <w:kern w:val="0"/>
                <w:szCs w:val="21"/>
              </w:rPr>
              <w:t>认购</w:t>
            </w:r>
            <w:r>
              <w:rPr>
                <w:rFonts w:ascii="仿宋" w:eastAsia="仿宋" w:hAnsi="仿宋" w:cs="宋体"/>
                <w:kern w:val="0"/>
                <w:szCs w:val="21"/>
              </w:rPr>
              <w:t>资金</w:t>
            </w:r>
            <w:proofErr w:type="gramStart"/>
            <w:r>
              <w:rPr>
                <w:rFonts w:ascii="仿宋" w:eastAsia="仿宋" w:hAnsi="仿宋" w:cs="宋体" w:hint="eastAsia"/>
                <w:kern w:val="0"/>
                <w:szCs w:val="21"/>
              </w:rPr>
              <w:t>按期间</w:t>
            </w:r>
            <w:proofErr w:type="gramEnd"/>
            <w:r>
              <w:rPr>
                <w:rFonts w:ascii="仿宋" w:eastAsia="仿宋" w:hAnsi="仿宋" w:cs="宋体" w:hint="eastAsia"/>
                <w:kern w:val="0"/>
                <w:szCs w:val="21"/>
              </w:rPr>
              <w:t>每日挂牌</w:t>
            </w:r>
            <w:r>
              <w:rPr>
                <w:rFonts w:ascii="仿宋" w:eastAsia="仿宋" w:hAnsi="仿宋" w:cs="宋体"/>
                <w:kern w:val="0"/>
                <w:szCs w:val="21"/>
              </w:rPr>
              <w:t>活期存款利率计</w:t>
            </w:r>
            <w:r>
              <w:rPr>
                <w:rFonts w:ascii="仿宋" w:eastAsia="仿宋" w:hAnsi="仿宋" w:cs="宋体" w:hint="eastAsia"/>
                <w:kern w:val="0"/>
                <w:szCs w:val="21"/>
              </w:rPr>
              <w:t>算利</w:t>
            </w:r>
            <w:r>
              <w:rPr>
                <w:rFonts w:ascii="仿宋" w:eastAsia="仿宋" w:hAnsi="仿宋" w:cs="宋体"/>
                <w:kern w:val="0"/>
                <w:szCs w:val="21"/>
              </w:rPr>
              <w:t>息，且该利息不计入认购本金</w:t>
            </w:r>
            <w:r>
              <w:rPr>
                <w:rFonts w:ascii="仿宋" w:eastAsia="仿宋" w:hAnsi="仿宋" w:cs="宋体" w:hint="eastAsia"/>
                <w:kern w:val="0"/>
                <w:szCs w:val="21"/>
              </w:rPr>
              <w:t>。</w:t>
            </w:r>
          </w:p>
          <w:p w:rsidR="00846FF0" w:rsidRDefault="00846FF0" w:rsidP="00846FF0">
            <w:pPr>
              <w:adjustRightInd w:val="0"/>
              <w:snapToGrid w:val="0"/>
              <w:spacing w:line="240" w:lineRule="atLeast"/>
              <w:ind w:firstLineChars="200" w:firstLine="420"/>
              <w:rPr>
                <w:rFonts w:ascii="仿宋" w:eastAsia="仿宋" w:hAnsi="仿宋" w:cs="宋体"/>
                <w:kern w:val="0"/>
                <w:szCs w:val="21"/>
              </w:rPr>
            </w:pPr>
            <w:r>
              <w:rPr>
                <w:rFonts w:ascii="仿宋" w:eastAsia="仿宋" w:hAnsi="仿宋"/>
                <w:bCs/>
                <w:szCs w:val="21"/>
              </w:rPr>
              <w:t>（3</w:t>
            </w:r>
            <w:r>
              <w:rPr>
                <w:rFonts w:ascii="仿宋" w:eastAsia="仿宋" w:hAnsi="仿宋" w:hint="eastAsia"/>
                <w:bCs/>
                <w:szCs w:val="21"/>
              </w:rPr>
              <w:t>）</w:t>
            </w:r>
            <w:r>
              <w:rPr>
                <w:rFonts w:ascii="仿宋" w:eastAsia="仿宋" w:hAnsi="仿宋" w:cs="宋体" w:hint="eastAsia"/>
                <w:kern w:val="0"/>
                <w:szCs w:val="21"/>
              </w:rPr>
              <w:t>由</w:t>
            </w:r>
            <w:r>
              <w:rPr>
                <w:rFonts w:ascii="仿宋" w:eastAsia="仿宋" w:hAnsi="仿宋" w:cs="宋体"/>
                <w:kern w:val="0"/>
                <w:szCs w:val="21"/>
              </w:rPr>
              <w:t>代销机构</w:t>
            </w:r>
            <w:r>
              <w:rPr>
                <w:rFonts w:ascii="仿宋" w:eastAsia="仿宋" w:hAnsi="仿宋" w:cs="宋体" w:hint="eastAsia"/>
                <w:kern w:val="0"/>
                <w:szCs w:val="21"/>
              </w:rPr>
              <w:t>销售</w:t>
            </w:r>
            <w:r>
              <w:rPr>
                <w:rFonts w:ascii="仿宋" w:eastAsia="仿宋" w:hAnsi="仿宋" w:cs="宋体"/>
                <w:kern w:val="0"/>
                <w:szCs w:val="21"/>
              </w:rPr>
              <w:t>的，</w:t>
            </w:r>
            <w:r>
              <w:rPr>
                <w:rFonts w:ascii="仿宋" w:eastAsia="仿宋" w:hAnsi="仿宋" w:cs="宋体" w:hint="eastAsia"/>
                <w:kern w:val="0"/>
                <w:szCs w:val="21"/>
              </w:rPr>
              <w:t>募集期</w:t>
            </w:r>
            <w:r>
              <w:rPr>
                <w:rFonts w:ascii="仿宋" w:eastAsia="仿宋" w:hAnsi="仿宋" w:cs="宋体"/>
                <w:kern w:val="0"/>
                <w:szCs w:val="21"/>
              </w:rPr>
              <w:t>认购申请日（含）至</w:t>
            </w:r>
            <w:r>
              <w:rPr>
                <w:rFonts w:ascii="仿宋" w:eastAsia="仿宋" w:hAnsi="仿宋" w:cs="宋体" w:hint="eastAsia"/>
                <w:kern w:val="0"/>
                <w:szCs w:val="21"/>
              </w:rPr>
              <w:t>成立</w:t>
            </w:r>
            <w:r>
              <w:rPr>
                <w:rFonts w:ascii="仿宋" w:eastAsia="仿宋" w:hAnsi="仿宋" w:cs="宋体"/>
                <w:kern w:val="0"/>
                <w:szCs w:val="21"/>
              </w:rPr>
              <w:t>日（</w:t>
            </w:r>
            <w:r>
              <w:rPr>
                <w:rFonts w:ascii="仿宋" w:eastAsia="仿宋" w:hAnsi="仿宋" w:cs="宋体" w:hint="eastAsia"/>
                <w:kern w:val="0"/>
                <w:szCs w:val="21"/>
              </w:rPr>
              <w:t>不含</w:t>
            </w:r>
            <w:r>
              <w:rPr>
                <w:rFonts w:ascii="仿宋" w:eastAsia="仿宋" w:hAnsi="仿宋" w:cs="宋体"/>
                <w:kern w:val="0"/>
                <w:szCs w:val="21"/>
              </w:rPr>
              <w:t>）</w:t>
            </w:r>
            <w:r>
              <w:rPr>
                <w:rFonts w:ascii="仿宋" w:eastAsia="仿宋" w:hAnsi="仿宋" w:cs="宋体" w:hint="eastAsia"/>
                <w:kern w:val="0"/>
                <w:szCs w:val="21"/>
              </w:rPr>
              <w:t>或认购</w:t>
            </w:r>
            <w:r>
              <w:rPr>
                <w:rFonts w:ascii="仿宋" w:eastAsia="仿宋" w:hAnsi="仿宋" w:cs="宋体"/>
                <w:kern w:val="0"/>
                <w:szCs w:val="21"/>
              </w:rPr>
              <w:t>撤销日（</w:t>
            </w:r>
            <w:r>
              <w:rPr>
                <w:rFonts w:ascii="仿宋" w:eastAsia="仿宋" w:hAnsi="仿宋" w:cs="宋体" w:hint="eastAsia"/>
                <w:kern w:val="0"/>
                <w:szCs w:val="21"/>
              </w:rPr>
              <w:t>不含</w:t>
            </w:r>
            <w:r>
              <w:rPr>
                <w:rFonts w:ascii="仿宋" w:eastAsia="仿宋" w:hAnsi="仿宋" w:cs="宋体"/>
                <w:kern w:val="0"/>
                <w:szCs w:val="21"/>
              </w:rPr>
              <w:t>）</w:t>
            </w:r>
            <w:r>
              <w:rPr>
                <w:rFonts w:ascii="仿宋" w:eastAsia="仿宋" w:hAnsi="仿宋" w:cs="宋体" w:hint="eastAsia"/>
                <w:kern w:val="0"/>
                <w:szCs w:val="21"/>
              </w:rPr>
              <w:t>之间，</w:t>
            </w:r>
            <w:r>
              <w:rPr>
                <w:rFonts w:ascii="仿宋" w:eastAsia="仿宋" w:hAnsi="仿宋" w:cs="宋体"/>
                <w:kern w:val="0"/>
                <w:szCs w:val="21"/>
              </w:rPr>
              <w:t>投资者</w:t>
            </w:r>
            <w:r>
              <w:rPr>
                <w:rFonts w:ascii="仿宋" w:eastAsia="仿宋" w:hAnsi="仿宋" w:cs="宋体" w:hint="eastAsia"/>
                <w:kern w:val="0"/>
                <w:szCs w:val="21"/>
              </w:rPr>
              <w:t>认购</w:t>
            </w:r>
            <w:r>
              <w:rPr>
                <w:rFonts w:ascii="仿宋" w:eastAsia="仿宋" w:hAnsi="仿宋" w:cs="宋体"/>
                <w:kern w:val="0"/>
                <w:szCs w:val="21"/>
              </w:rPr>
              <w:t>资金按照代销机构</w:t>
            </w:r>
            <w:r>
              <w:rPr>
                <w:rFonts w:ascii="仿宋" w:eastAsia="仿宋" w:hAnsi="仿宋" w:cs="宋体" w:hint="eastAsia"/>
                <w:kern w:val="0"/>
                <w:szCs w:val="21"/>
              </w:rPr>
              <w:t>与</w:t>
            </w:r>
            <w:r>
              <w:rPr>
                <w:rFonts w:ascii="仿宋" w:eastAsia="仿宋" w:hAnsi="仿宋" w:cs="宋体"/>
                <w:kern w:val="0"/>
                <w:szCs w:val="21"/>
              </w:rPr>
              <w:t>投资人约定的</w:t>
            </w:r>
            <w:r>
              <w:rPr>
                <w:rFonts w:ascii="仿宋" w:eastAsia="仿宋" w:hAnsi="仿宋" w:cs="宋体" w:hint="eastAsia"/>
                <w:kern w:val="0"/>
                <w:szCs w:val="21"/>
              </w:rPr>
              <w:t>计息方式执行</w:t>
            </w:r>
            <w:r>
              <w:rPr>
                <w:rFonts w:ascii="仿宋" w:eastAsia="仿宋" w:hAnsi="仿宋" w:cs="宋体"/>
                <w:kern w:val="0"/>
                <w:szCs w:val="21"/>
              </w:rPr>
              <w:t>。</w:t>
            </w:r>
          </w:p>
          <w:p w:rsidR="00846FF0" w:rsidRDefault="00846FF0" w:rsidP="00846FF0">
            <w:pPr>
              <w:adjustRightInd w:val="0"/>
              <w:snapToGrid w:val="0"/>
              <w:spacing w:line="240" w:lineRule="atLeast"/>
              <w:ind w:firstLineChars="200" w:firstLine="420"/>
              <w:rPr>
                <w:rFonts w:ascii="仿宋" w:eastAsia="仿宋" w:hAnsi="仿宋" w:cs="宋体"/>
                <w:kern w:val="0"/>
                <w:szCs w:val="21"/>
              </w:rPr>
            </w:pPr>
            <w:r>
              <w:rPr>
                <w:rFonts w:ascii="仿宋" w:eastAsia="仿宋" w:hAnsi="仿宋"/>
                <w:bCs/>
                <w:szCs w:val="21"/>
              </w:rPr>
              <w:t>（4</w:t>
            </w:r>
            <w:r>
              <w:rPr>
                <w:rFonts w:ascii="仿宋" w:eastAsia="仿宋" w:hAnsi="仿宋" w:hint="eastAsia"/>
                <w:bCs/>
                <w:szCs w:val="21"/>
              </w:rPr>
              <w:t>）</w:t>
            </w:r>
            <w:r>
              <w:rPr>
                <w:rFonts w:ascii="仿宋" w:eastAsia="仿宋" w:hAnsi="仿宋" w:cs="宋体" w:hint="eastAsia"/>
                <w:kern w:val="0"/>
                <w:szCs w:val="21"/>
              </w:rPr>
              <w:t>理财产品赎回申请/到期/终止日（不含）至资金到账日（不含）之间，投资者资金不计存款利息及理财收益。</w:t>
            </w:r>
          </w:p>
        </w:tc>
      </w:tr>
    </w:tbl>
    <w:p w:rsidR="0092528D" w:rsidRDefault="0092528D">
      <w:pPr>
        <w:pStyle w:val="Default"/>
        <w:snapToGrid w:val="0"/>
        <w:spacing w:afterLines="50" w:after="156" w:line="400" w:lineRule="exact"/>
        <w:ind w:firstLineChars="200" w:firstLine="482"/>
        <w:jc w:val="both"/>
        <w:rPr>
          <w:rFonts w:ascii="Times New Roman" w:eastAsia="黑体" w:cs="Times New Roman"/>
          <w:b/>
          <w:color w:val="auto"/>
        </w:rPr>
      </w:pP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二、</w:t>
      </w:r>
      <w:r>
        <w:rPr>
          <w:rFonts w:ascii="Times New Roman" w:eastAsia="黑体" w:cs="Times New Roman"/>
          <w:b/>
          <w:color w:val="auto"/>
        </w:rPr>
        <w:t>投资对象</w:t>
      </w:r>
    </w:p>
    <w:p w:rsidR="00866B5F" w:rsidRDefault="00866B5F" w:rsidP="00866B5F">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本产品100%投资于固定收益类金融工具，包括货币市场工具、债券、债券型公</w:t>
      </w:r>
      <w:proofErr w:type="gramStart"/>
      <w:r>
        <w:rPr>
          <w:rFonts w:ascii="仿宋" w:eastAsia="仿宋" w:hAnsi="仿宋" w:cs="宋体" w:hint="eastAsia"/>
          <w:color w:val="000000"/>
          <w:kern w:val="0"/>
          <w:sz w:val="24"/>
        </w:rPr>
        <w:t>募基金</w:t>
      </w:r>
      <w:proofErr w:type="gramEnd"/>
      <w:r>
        <w:rPr>
          <w:rFonts w:ascii="仿宋" w:eastAsia="仿宋" w:hAnsi="仿宋" w:cs="宋体" w:hint="eastAsia"/>
          <w:color w:val="000000"/>
          <w:kern w:val="0"/>
          <w:sz w:val="24"/>
        </w:rPr>
        <w:t>等，符合上述投资范围的资产管理产品，及其他符合监管要求的固定收益类金融工具。</w:t>
      </w:r>
    </w:p>
    <w:p w:rsidR="00866B5F" w:rsidRDefault="00866B5F" w:rsidP="00866B5F">
      <w:pPr>
        <w:widowControl/>
        <w:adjustRightInd w:val="0"/>
        <w:snapToGrid w:val="0"/>
        <w:spacing w:line="276" w:lineRule="auto"/>
        <w:ind w:firstLineChars="200" w:firstLine="480"/>
        <w:contextualSpacing/>
        <w:rPr>
          <w:rFonts w:ascii="仿宋" w:eastAsia="仿宋" w:hAnsi="仿宋" w:cs="宋体"/>
          <w:color w:val="000000"/>
          <w:kern w:val="0"/>
          <w:sz w:val="24"/>
        </w:rPr>
      </w:pPr>
      <w:r w:rsidRPr="00A44AF8">
        <w:rPr>
          <w:rFonts w:ascii="仿宋" w:eastAsia="仿宋" w:hAnsi="仿宋" w:cs="宋体" w:hint="eastAsia"/>
          <w:color w:val="000000"/>
          <w:kern w:val="0"/>
          <w:sz w:val="24"/>
        </w:rPr>
        <w:t>本理财产品可以按照国务院金融管理部门相关规定开展回购业务，回购业务中可接受押品的资质要求与本说明书约定的投资范围保持一致。</w:t>
      </w:r>
    </w:p>
    <w:p w:rsidR="00866B5F" w:rsidRDefault="00866B5F" w:rsidP="00866B5F">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其中货币市场工具包括但不限于银行存款、大额存单、同业存单（CD）、短期融资</w:t>
      </w:r>
      <w:proofErr w:type="gramStart"/>
      <w:r>
        <w:rPr>
          <w:rFonts w:ascii="仿宋" w:eastAsia="仿宋" w:hAnsi="仿宋" w:cs="宋体" w:hint="eastAsia"/>
          <w:color w:val="000000"/>
          <w:kern w:val="0"/>
          <w:sz w:val="24"/>
        </w:rPr>
        <w:t>券</w:t>
      </w:r>
      <w:proofErr w:type="gramEnd"/>
      <w:r>
        <w:rPr>
          <w:rFonts w:ascii="仿宋" w:eastAsia="仿宋" w:hAnsi="仿宋" w:cs="宋体" w:hint="eastAsia"/>
          <w:color w:val="000000"/>
          <w:kern w:val="0"/>
          <w:sz w:val="24"/>
        </w:rPr>
        <w:t>、超短期融资</w:t>
      </w:r>
      <w:proofErr w:type="gramStart"/>
      <w:r>
        <w:rPr>
          <w:rFonts w:ascii="仿宋" w:eastAsia="仿宋" w:hAnsi="仿宋" w:cs="宋体" w:hint="eastAsia"/>
          <w:color w:val="000000"/>
          <w:kern w:val="0"/>
          <w:sz w:val="24"/>
        </w:rPr>
        <w:t>券</w:t>
      </w:r>
      <w:proofErr w:type="gramEnd"/>
      <w:r>
        <w:rPr>
          <w:rFonts w:ascii="仿宋" w:eastAsia="仿宋" w:hAnsi="仿宋" w:cs="宋体" w:hint="eastAsia"/>
          <w:color w:val="000000"/>
          <w:kern w:val="0"/>
          <w:sz w:val="24"/>
        </w:rPr>
        <w:t>、剩余期限在397天以内（含397天）的债券、期限在一年以内（含一年）的债券回购、期限在一年以内（含一年）的中央银行票据、货币市场基金以及中国人民银行、中国银保监会认可的其他具有良好流动性的金融工具；</w:t>
      </w:r>
    </w:p>
    <w:p w:rsidR="00866B5F" w:rsidRDefault="00866B5F" w:rsidP="00866B5F">
      <w:pPr>
        <w:widowControl/>
        <w:adjustRightInd w:val="0"/>
        <w:snapToGrid w:val="0"/>
        <w:spacing w:line="276" w:lineRule="auto"/>
        <w:ind w:firstLineChars="200" w:firstLine="480"/>
        <w:contextualSpacing/>
        <w:jc w:val="left"/>
        <w:rPr>
          <w:rFonts w:ascii="仿宋" w:eastAsia="仿宋" w:hAnsi="仿宋" w:cs="宋体"/>
          <w:color w:val="000000"/>
          <w:kern w:val="0"/>
          <w:sz w:val="24"/>
        </w:rPr>
      </w:pPr>
      <w:r>
        <w:rPr>
          <w:rFonts w:ascii="仿宋" w:eastAsia="仿宋" w:hAnsi="仿宋" w:cs="宋体" w:hint="eastAsia"/>
          <w:color w:val="000000"/>
          <w:kern w:val="0"/>
          <w:sz w:val="24"/>
        </w:rPr>
        <w:t>标准化债权类资产包括但不限于国债、中央银行票据、地方政府债券、政府支持机构债券、金融债券、非金融企业债务融资工具、公司债券、企业债券、国际机构债券、同业存单、信贷资产支持证券、资产支持票据、证券交易所挂牌交易的资产支持证券、债券型公募证券投资基金，以及《标准化债权类资产认定规则》认定的标准化债权类资产等。</w:t>
      </w:r>
    </w:p>
    <w:p w:rsidR="0092528D" w:rsidRDefault="000950EC" w:rsidP="00866B5F">
      <w:pPr>
        <w:widowControl/>
        <w:adjustRightInd w:val="0"/>
        <w:snapToGrid w:val="0"/>
        <w:spacing w:line="276" w:lineRule="auto"/>
        <w:ind w:firstLineChars="200" w:firstLine="480"/>
        <w:contextualSpacing/>
        <w:jc w:val="left"/>
        <w:rPr>
          <w:rFonts w:ascii="仿宋" w:eastAsia="仿宋" w:hAnsi="仿宋" w:cs="宋体"/>
          <w:color w:val="000000"/>
          <w:kern w:val="0"/>
          <w:sz w:val="24"/>
        </w:rPr>
      </w:pPr>
      <w:r>
        <w:rPr>
          <w:rFonts w:ascii="仿宋" w:eastAsia="仿宋" w:hAnsi="仿宋" w:cs="宋体" w:hint="eastAsia"/>
          <w:color w:val="000000"/>
          <w:kern w:val="0"/>
          <w:sz w:val="24"/>
        </w:rPr>
        <w:t>产品的投资范围可能随国家法律法规及监管政策的变化而调整，如法律法规或监管机构以后允许银行理财产品投资其他品种，可在公告后，将其纳入投资范围，投资比例将遵循法律法规或相关规定。</w:t>
      </w:r>
    </w:p>
    <w:p w:rsidR="0092528D" w:rsidRDefault="0092528D">
      <w:pPr>
        <w:widowControl/>
        <w:adjustRightInd w:val="0"/>
        <w:snapToGrid w:val="0"/>
        <w:spacing w:line="276" w:lineRule="auto"/>
        <w:ind w:firstLineChars="200" w:firstLine="480"/>
        <w:contextualSpacing/>
        <w:jc w:val="left"/>
        <w:rPr>
          <w:rFonts w:ascii="仿宋" w:eastAsia="仿宋" w:hAnsi="仿宋" w:cs="宋体"/>
          <w:color w:val="000000"/>
          <w:kern w:val="0"/>
          <w:sz w:val="24"/>
        </w:rPr>
      </w:pPr>
      <w:r>
        <w:rPr>
          <w:rFonts w:ascii="仿宋" w:eastAsia="仿宋" w:hAnsi="仿宋" w:cs="宋体" w:hint="eastAsia"/>
          <w:color w:val="000000"/>
          <w:kern w:val="0"/>
          <w:sz w:val="24"/>
        </w:rPr>
        <w:t>各类资产投资比例如下：</w:t>
      </w:r>
    </w:p>
    <w:tbl>
      <w:tblPr>
        <w:tblW w:w="0" w:type="auto"/>
        <w:tblCellSpacing w:w="0" w:type="dxa"/>
        <w:tblBorders>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5544"/>
        <w:gridCol w:w="2519"/>
      </w:tblGrid>
      <w:tr w:rsidR="0092528D" w:rsidTr="00A12304">
        <w:trPr>
          <w:trHeight w:val="447"/>
          <w:tblCellSpacing w:w="0" w:type="dxa"/>
        </w:trPr>
        <w:tc>
          <w:tcPr>
            <w:tcW w:w="5544" w:type="dxa"/>
            <w:tcBorders>
              <w:top w:val="outset" w:sz="6" w:space="0" w:color="auto"/>
              <w:left w:val="outset" w:sz="6" w:space="0" w:color="auto"/>
              <w:bottom w:val="outset" w:sz="6" w:space="0" w:color="auto"/>
              <w:right w:val="outset" w:sz="6" w:space="0" w:color="auto"/>
            </w:tcBorders>
            <w:vAlign w:val="center"/>
          </w:tcPr>
          <w:p w:rsidR="0092528D" w:rsidRDefault="0092528D">
            <w:pPr>
              <w:adjustRightInd w:val="0"/>
              <w:snapToGrid w:val="0"/>
              <w:jc w:val="center"/>
              <w:rPr>
                <w:rFonts w:eastAsia="仿宋"/>
                <w:color w:val="000000"/>
                <w:kern w:val="0"/>
                <w:sz w:val="24"/>
              </w:rPr>
            </w:pPr>
            <w:r>
              <w:rPr>
                <w:rFonts w:eastAsia="仿宋" w:hint="eastAsia"/>
                <w:color w:val="000000"/>
                <w:kern w:val="0"/>
                <w:sz w:val="24"/>
              </w:rPr>
              <w:t>资产</w:t>
            </w:r>
            <w:r>
              <w:rPr>
                <w:rFonts w:eastAsia="仿宋"/>
                <w:color w:val="000000"/>
                <w:kern w:val="0"/>
                <w:sz w:val="24"/>
              </w:rPr>
              <w:t>类别</w:t>
            </w:r>
          </w:p>
        </w:tc>
        <w:tc>
          <w:tcPr>
            <w:tcW w:w="2519" w:type="dxa"/>
            <w:tcBorders>
              <w:top w:val="outset" w:sz="6" w:space="0" w:color="auto"/>
              <w:left w:val="outset" w:sz="6" w:space="0" w:color="auto"/>
              <w:bottom w:val="outset" w:sz="6" w:space="0" w:color="auto"/>
              <w:right w:val="outset" w:sz="6" w:space="0" w:color="auto"/>
            </w:tcBorders>
            <w:vAlign w:val="center"/>
          </w:tcPr>
          <w:p w:rsidR="0092528D" w:rsidRDefault="0092528D">
            <w:pPr>
              <w:adjustRightInd w:val="0"/>
              <w:snapToGrid w:val="0"/>
              <w:jc w:val="center"/>
              <w:rPr>
                <w:rFonts w:eastAsia="仿宋"/>
                <w:color w:val="000000"/>
                <w:kern w:val="0"/>
                <w:sz w:val="24"/>
              </w:rPr>
            </w:pPr>
            <w:r>
              <w:rPr>
                <w:rFonts w:eastAsia="仿宋"/>
                <w:color w:val="000000"/>
                <w:kern w:val="0"/>
                <w:sz w:val="24"/>
              </w:rPr>
              <w:t>投资比例</w:t>
            </w:r>
          </w:p>
        </w:tc>
      </w:tr>
      <w:tr w:rsidR="004A7A7E" w:rsidTr="00A12304">
        <w:trPr>
          <w:trHeight w:val="447"/>
          <w:tblCellSpacing w:w="0" w:type="dxa"/>
        </w:trPr>
        <w:tc>
          <w:tcPr>
            <w:tcW w:w="5544" w:type="dxa"/>
            <w:tcBorders>
              <w:top w:val="outset" w:sz="6" w:space="0" w:color="auto"/>
              <w:left w:val="outset" w:sz="6" w:space="0" w:color="auto"/>
              <w:bottom w:val="outset" w:sz="6" w:space="0" w:color="auto"/>
              <w:right w:val="outset" w:sz="6" w:space="0" w:color="auto"/>
            </w:tcBorders>
            <w:vAlign w:val="center"/>
          </w:tcPr>
          <w:p w:rsidR="004A7A7E" w:rsidRDefault="004A7A7E" w:rsidP="004A7A7E">
            <w:pPr>
              <w:adjustRightInd w:val="0"/>
              <w:snapToGrid w:val="0"/>
              <w:spacing w:line="240" w:lineRule="auto"/>
              <w:jc w:val="center"/>
              <w:rPr>
                <w:rFonts w:eastAsia="仿宋"/>
                <w:color w:val="000000"/>
                <w:kern w:val="0"/>
                <w:sz w:val="24"/>
              </w:rPr>
            </w:pPr>
            <w:r>
              <w:rPr>
                <w:rFonts w:ascii="仿宋" w:eastAsia="仿宋" w:hAnsi="仿宋" w:cs="宋体" w:hint="eastAsia"/>
                <w:color w:val="000000"/>
                <w:kern w:val="0"/>
                <w:sz w:val="24"/>
              </w:rPr>
              <w:t>货币市场类</w:t>
            </w:r>
          </w:p>
        </w:tc>
        <w:tc>
          <w:tcPr>
            <w:tcW w:w="2519" w:type="dxa"/>
            <w:tcBorders>
              <w:top w:val="outset" w:sz="6" w:space="0" w:color="auto"/>
              <w:left w:val="outset" w:sz="6" w:space="0" w:color="auto"/>
              <w:bottom w:val="outset" w:sz="6" w:space="0" w:color="auto"/>
              <w:right w:val="outset" w:sz="6" w:space="0" w:color="auto"/>
            </w:tcBorders>
            <w:vAlign w:val="center"/>
          </w:tcPr>
          <w:p w:rsidR="004A7A7E" w:rsidRDefault="004A7A7E" w:rsidP="004A7A7E">
            <w:pPr>
              <w:adjustRightInd w:val="0"/>
              <w:snapToGrid w:val="0"/>
              <w:spacing w:line="240" w:lineRule="auto"/>
              <w:jc w:val="center"/>
              <w:rPr>
                <w:rFonts w:eastAsia="仿宋"/>
                <w:color w:val="000000"/>
                <w:kern w:val="0"/>
                <w:sz w:val="24"/>
              </w:rPr>
            </w:pPr>
            <w:r>
              <w:rPr>
                <w:rFonts w:ascii="仿宋" w:eastAsia="仿宋" w:hAnsi="仿宋" w:cs="宋体" w:hint="eastAsia"/>
                <w:color w:val="000000"/>
                <w:kern w:val="0"/>
                <w:sz w:val="24"/>
              </w:rPr>
              <w:t>0%-100%</w:t>
            </w:r>
          </w:p>
        </w:tc>
      </w:tr>
      <w:tr w:rsidR="004A7A7E" w:rsidTr="00A12304">
        <w:trPr>
          <w:trHeight w:val="411"/>
          <w:tblCellSpacing w:w="0" w:type="dxa"/>
        </w:trPr>
        <w:tc>
          <w:tcPr>
            <w:tcW w:w="5544" w:type="dxa"/>
            <w:tcBorders>
              <w:top w:val="outset" w:sz="6" w:space="0" w:color="auto"/>
              <w:left w:val="outset" w:sz="6" w:space="0" w:color="auto"/>
              <w:bottom w:val="outset" w:sz="6" w:space="0" w:color="auto"/>
              <w:right w:val="outset" w:sz="6" w:space="0" w:color="auto"/>
            </w:tcBorders>
            <w:vAlign w:val="center"/>
          </w:tcPr>
          <w:p w:rsidR="004A7A7E" w:rsidRDefault="004A7A7E" w:rsidP="004A7A7E">
            <w:pPr>
              <w:adjustRightInd w:val="0"/>
              <w:snapToGrid w:val="0"/>
              <w:spacing w:line="240" w:lineRule="auto"/>
              <w:jc w:val="center"/>
              <w:rPr>
                <w:rFonts w:eastAsia="仿宋"/>
                <w:color w:val="000000"/>
                <w:kern w:val="0"/>
                <w:sz w:val="24"/>
              </w:rPr>
            </w:pPr>
            <w:r>
              <w:rPr>
                <w:rFonts w:ascii="仿宋" w:eastAsia="仿宋" w:hAnsi="仿宋" w:cs="宋体" w:hint="eastAsia"/>
                <w:color w:val="000000"/>
                <w:kern w:val="0"/>
                <w:sz w:val="24"/>
              </w:rPr>
              <w:t>债券市场类</w:t>
            </w:r>
          </w:p>
        </w:tc>
        <w:tc>
          <w:tcPr>
            <w:tcW w:w="2519" w:type="dxa"/>
            <w:tcBorders>
              <w:top w:val="outset" w:sz="6" w:space="0" w:color="auto"/>
              <w:left w:val="outset" w:sz="6" w:space="0" w:color="auto"/>
              <w:bottom w:val="outset" w:sz="6" w:space="0" w:color="auto"/>
              <w:right w:val="outset" w:sz="6" w:space="0" w:color="auto"/>
            </w:tcBorders>
            <w:vAlign w:val="center"/>
          </w:tcPr>
          <w:p w:rsidR="004A7A7E" w:rsidRDefault="004A7A7E" w:rsidP="004A7A7E">
            <w:pPr>
              <w:adjustRightInd w:val="0"/>
              <w:snapToGrid w:val="0"/>
              <w:spacing w:line="240" w:lineRule="auto"/>
              <w:jc w:val="center"/>
              <w:rPr>
                <w:rFonts w:eastAsia="仿宋"/>
                <w:color w:val="000000"/>
                <w:kern w:val="0"/>
                <w:sz w:val="24"/>
              </w:rPr>
            </w:pPr>
            <w:r>
              <w:rPr>
                <w:rFonts w:ascii="仿宋" w:eastAsia="仿宋" w:hAnsi="仿宋" w:cs="宋体" w:hint="eastAsia"/>
                <w:color w:val="000000"/>
                <w:kern w:val="0"/>
                <w:sz w:val="24"/>
              </w:rPr>
              <w:t>0%-100%</w:t>
            </w:r>
          </w:p>
        </w:tc>
      </w:tr>
    </w:tbl>
    <w:p w:rsidR="0092528D" w:rsidRDefault="0092528D">
      <w:pPr>
        <w:widowControl/>
        <w:adjustRightInd w:val="0"/>
        <w:snapToGrid w:val="0"/>
        <w:spacing w:line="276" w:lineRule="auto"/>
        <w:ind w:firstLineChars="200" w:firstLine="480"/>
        <w:contextualSpacing/>
        <w:jc w:val="left"/>
        <w:rPr>
          <w:rFonts w:ascii="仿宋" w:eastAsia="仿宋" w:hAnsi="仿宋" w:cs="宋体"/>
          <w:color w:val="000000"/>
          <w:kern w:val="0"/>
          <w:sz w:val="24"/>
        </w:rPr>
      </w:pPr>
      <w:r>
        <w:rPr>
          <w:rFonts w:ascii="仿宋" w:eastAsia="仿宋" w:hAnsi="仿宋" w:cs="宋体" w:hint="eastAsia"/>
          <w:color w:val="000000"/>
          <w:kern w:val="0"/>
          <w:sz w:val="24"/>
        </w:rPr>
        <w:t>本理财产品可以按照监管部门相关规定开展回购业务。</w:t>
      </w:r>
    </w:p>
    <w:p w:rsidR="0092528D" w:rsidRDefault="0092528D">
      <w:pPr>
        <w:widowControl/>
        <w:adjustRightInd w:val="0"/>
        <w:snapToGrid w:val="0"/>
        <w:spacing w:line="276" w:lineRule="auto"/>
        <w:ind w:firstLineChars="200" w:firstLine="480"/>
        <w:contextualSpacing/>
        <w:rPr>
          <w:rFonts w:ascii="仿宋" w:eastAsia="仿宋" w:hAnsi="仿宋" w:cs="宋体"/>
          <w:kern w:val="0"/>
          <w:sz w:val="24"/>
        </w:rPr>
      </w:pPr>
    </w:p>
    <w:p w:rsidR="0092528D" w:rsidRDefault="0092528D">
      <w:pPr>
        <w:widowControl/>
        <w:adjustRightInd w:val="0"/>
        <w:snapToGrid w:val="0"/>
        <w:spacing w:line="276" w:lineRule="auto"/>
        <w:ind w:firstLineChars="200" w:firstLine="482"/>
        <w:contextualSpacing/>
        <w:rPr>
          <w:rFonts w:ascii="仿宋" w:eastAsia="仿宋" w:hAnsi="仿宋" w:cs="宋体"/>
          <w:b/>
          <w:bCs/>
          <w:color w:val="000000"/>
          <w:kern w:val="0"/>
          <w:sz w:val="24"/>
        </w:rPr>
      </w:pPr>
      <w:r>
        <w:rPr>
          <w:rFonts w:ascii="仿宋" w:eastAsia="仿宋" w:hAnsi="仿宋" w:cs="宋体" w:hint="eastAsia"/>
          <w:b/>
          <w:bCs/>
          <w:color w:val="000000"/>
          <w:kern w:val="0"/>
          <w:sz w:val="24"/>
        </w:rPr>
        <w:t>合作机构</w:t>
      </w:r>
      <w:r w:rsidR="00807C05">
        <w:rPr>
          <w:rFonts w:ascii="仿宋" w:eastAsia="仿宋" w:hAnsi="仿宋" w:cs="宋体" w:hint="eastAsia"/>
          <w:b/>
          <w:bCs/>
          <w:color w:val="000000"/>
          <w:kern w:val="0"/>
          <w:sz w:val="24"/>
        </w:rPr>
        <w:t>：</w:t>
      </w:r>
      <w:r w:rsidR="00807C05">
        <w:rPr>
          <w:rFonts w:ascii="仿宋" w:eastAsia="仿宋" w:hAnsi="仿宋" w:cs="宋体" w:hint="eastAsia"/>
          <w:kern w:val="0"/>
          <w:sz w:val="24"/>
        </w:rPr>
        <w:t>本</w:t>
      </w:r>
      <w:r w:rsidR="000950EC">
        <w:rPr>
          <w:rFonts w:ascii="仿宋" w:eastAsia="仿宋" w:hAnsi="仿宋" w:cs="宋体" w:hint="eastAsia"/>
          <w:kern w:val="0"/>
          <w:sz w:val="24"/>
        </w:rPr>
        <w:t>理财</w:t>
      </w:r>
      <w:r w:rsidR="00807C05">
        <w:rPr>
          <w:rFonts w:ascii="仿宋" w:eastAsia="仿宋" w:hAnsi="仿宋" w:cs="宋体" w:hint="eastAsia"/>
          <w:kern w:val="0"/>
          <w:sz w:val="24"/>
        </w:rPr>
        <w:t>产品在运作过程中可根据需要选择投资合作机构，投资合作机构指理财产品所投资资产管理产品的发行机构、根据合同约定从事理财产品受托投资的机构以及与理财产品投资管理相关的投资顾问等机构。投资合作机构</w:t>
      </w:r>
      <w:r w:rsidR="00807C05">
        <w:rPr>
          <w:rFonts w:ascii="仿宋" w:eastAsia="仿宋" w:hAnsi="仿宋" w:cs="宋体" w:hint="eastAsia"/>
          <w:kern w:val="0"/>
          <w:sz w:val="24"/>
        </w:rPr>
        <w:lastRenderedPageBreak/>
        <w:t>的主要职责为进行受托资金的投资管理，根据合同约定从事受托投资或提供投资顾问等服务，具体职责以管理人与投资合作机构签署的合同为准。</w:t>
      </w:r>
    </w:p>
    <w:p w:rsidR="0092528D" w:rsidRDefault="0092528D">
      <w:pPr>
        <w:widowControl/>
        <w:adjustRightInd w:val="0"/>
        <w:snapToGrid w:val="0"/>
        <w:spacing w:line="276" w:lineRule="auto"/>
        <w:ind w:firstLineChars="200" w:firstLine="482"/>
        <w:contextualSpacing/>
        <w:rPr>
          <w:rFonts w:ascii="仿宋" w:eastAsia="仿宋" w:hAnsi="仿宋" w:cs="宋体"/>
          <w:b/>
          <w:bCs/>
          <w:color w:val="000000"/>
          <w:kern w:val="0"/>
          <w:sz w:val="24"/>
        </w:rPr>
      </w:pPr>
    </w:p>
    <w:p w:rsidR="00807C05" w:rsidRDefault="0092528D">
      <w:pPr>
        <w:widowControl/>
        <w:adjustRightInd w:val="0"/>
        <w:snapToGrid w:val="0"/>
        <w:spacing w:line="276" w:lineRule="auto"/>
        <w:ind w:firstLineChars="200" w:firstLine="482"/>
        <w:contextualSpacing/>
        <w:rPr>
          <w:rFonts w:ascii="仿宋" w:eastAsia="仿宋" w:hAnsi="仿宋" w:cs="宋体"/>
          <w:b/>
          <w:color w:val="000000"/>
          <w:kern w:val="0"/>
          <w:sz w:val="24"/>
        </w:rPr>
      </w:pPr>
      <w:r>
        <w:rPr>
          <w:rFonts w:ascii="仿宋" w:eastAsia="仿宋" w:hAnsi="仿宋" w:cs="宋体" w:hint="eastAsia"/>
          <w:b/>
          <w:bCs/>
          <w:color w:val="000000"/>
          <w:kern w:val="0"/>
          <w:sz w:val="24"/>
        </w:rPr>
        <w:t>如资产类别及投资比例发生调整，管理人将于调整事项生效前</w:t>
      </w:r>
      <w:r>
        <w:rPr>
          <w:rFonts w:ascii="仿宋" w:eastAsia="仿宋" w:hAnsi="仿宋" w:cs="宋体"/>
          <w:b/>
          <w:bCs/>
          <w:color w:val="000000"/>
          <w:kern w:val="0"/>
          <w:sz w:val="24"/>
        </w:rPr>
        <w:t>3</w:t>
      </w:r>
      <w:r>
        <w:rPr>
          <w:rFonts w:ascii="仿宋" w:eastAsia="仿宋" w:hAnsi="仿宋" w:cs="宋体" w:hint="eastAsia"/>
          <w:b/>
          <w:bCs/>
          <w:color w:val="000000"/>
          <w:kern w:val="0"/>
          <w:sz w:val="24"/>
        </w:rPr>
        <w:t>个工作日通过本产品说明书约定的信息披露渠道予以公告</w:t>
      </w:r>
      <w:r>
        <w:rPr>
          <w:rFonts w:ascii="仿宋" w:eastAsia="仿宋" w:hAnsi="仿宋" w:cs="宋体" w:hint="eastAsia"/>
          <w:color w:val="000000"/>
          <w:kern w:val="0"/>
          <w:sz w:val="24"/>
        </w:rPr>
        <w:t>。若本理财产品的投资人不接受上述调整，则应在公告规定时间内提前赎回本理财产品；</w:t>
      </w:r>
      <w:r>
        <w:rPr>
          <w:rFonts w:ascii="仿宋" w:eastAsia="仿宋" w:hAnsi="仿宋" w:cs="宋体" w:hint="eastAsia"/>
          <w:b/>
          <w:color w:val="000000"/>
          <w:kern w:val="0"/>
          <w:sz w:val="24"/>
        </w:rPr>
        <w:t>若本理财产品投资人未在公告规定时间内提前赎回本理财产品，则视为其对相关调整无异议且同意在调整后继续持有本理财产品。</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非因管理人主观因素导致本理财产品突破上述投资比例限制的，管理人应当在所投资的</w:t>
      </w:r>
      <w:r>
        <w:rPr>
          <w:rFonts w:ascii="仿宋" w:eastAsia="仿宋" w:hAnsi="仿宋" w:hint="eastAsia"/>
          <w:sz w:val="24"/>
        </w:rPr>
        <w:t>流动性受限资产可出售、可转让或者恢复交易的15</w:t>
      </w:r>
      <w:r>
        <w:rPr>
          <w:rFonts w:ascii="仿宋" w:eastAsia="仿宋" w:hAnsi="仿宋" w:cs="宋体" w:hint="eastAsia"/>
          <w:color w:val="000000"/>
          <w:kern w:val="0"/>
          <w:sz w:val="24"/>
        </w:rPr>
        <w:t>个工作日内将本理财产品所投资资产调整至上述投资比例范围内，监管规定的特殊情形除外。所称流动性受限资产，是指由于法律法规、监管、合同或操作障碍等原因无法以合理价格予以变现的资产，包括到期日在10个工作日以上的逆回购与银行定期存款（</w:t>
      </w:r>
      <w:proofErr w:type="gramStart"/>
      <w:r>
        <w:rPr>
          <w:rFonts w:ascii="仿宋" w:eastAsia="仿宋" w:hAnsi="仿宋" w:cs="宋体" w:hint="eastAsia"/>
          <w:color w:val="000000"/>
          <w:kern w:val="0"/>
          <w:sz w:val="24"/>
        </w:rPr>
        <w:t>含协议</w:t>
      </w:r>
      <w:proofErr w:type="gramEnd"/>
      <w:r>
        <w:rPr>
          <w:rFonts w:ascii="仿宋" w:eastAsia="仿宋" w:hAnsi="仿宋" w:cs="宋体" w:hint="eastAsia"/>
          <w:color w:val="000000"/>
          <w:kern w:val="0"/>
          <w:sz w:val="24"/>
        </w:rPr>
        <w:t>约定有条件提前支取的银行存款）、距赎回日在10个工作日以上的资产管理产品、停牌股票、流通受限的新股及非公开发行股票、资产支持证券（票据），因发行人债务违约无法进行转让或交易的债券和非金融企业债务融资工具，以及其他流动性受限资产。</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三、理财产品管理人和托管</w:t>
      </w:r>
      <w:r>
        <w:rPr>
          <w:rFonts w:ascii="Times New Roman" w:eastAsia="黑体" w:cs="Times New Roman"/>
          <w:b/>
          <w:color w:val="auto"/>
        </w:rPr>
        <w:t>人</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（一）本理财产品管理人为华夏理财有限责任公司。</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（二）</w:t>
      </w:r>
      <w:r>
        <w:rPr>
          <w:rFonts w:ascii="仿宋" w:eastAsia="仿宋" w:hAnsi="仿宋" w:cs="宋体"/>
          <w:color w:val="000000"/>
          <w:kern w:val="0"/>
          <w:sz w:val="24"/>
        </w:rPr>
        <w:t>本理财</w:t>
      </w:r>
      <w:r>
        <w:rPr>
          <w:rFonts w:ascii="仿宋" w:eastAsia="仿宋" w:hAnsi="仿宋" w:cs="宋体" w:hint="eastAsia"/>
          <w:color w:val="000000"/>
          <w:kern w:val="0"/>
          <w:sz w:val="24"/>
        </w:rPr>
        <w:t>产品托管人为</w:t>
      </w:r>
      <w:r w:rsidR="00B169E1">
        <w:rPr>
          <w:rFonts w:ascii="仿宋" w:eastAsia="仿宋" w:hAnsi="仿宋" w:cs="宋体" w:hint="eastAsia"/>
          <w:color w:val="000000"/>
          <w:kern w:val="0"/>
          <w:sz w:val="24"/>
        </w:rPr>
        <w:t>华夏银行股份有限公司</w:t>
      </w:r>
      <w:r>
        <w:rPr>
          <w:rFonts w:ascii="仿宋" w:eastAsia="仿宋" w:hAnsi="仿宋" w:cs="宋体" w:hint="eastAsia"/>
          <w:color w:val="000000"/>
          <w:kern w:val="0"/>
          <w:sz w:val="24"/>
        </w:rPr>
        <w:t>。</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1.基本信息</w:t>
      </w:r>
    </w:p>
    <w:p w:rsidR="00B169E1" w:rsidRDefault="00B169E1" w:rsidP="00B169E1">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法定代表人：李民吉</w:t>
      </w:r>
    </w:p>
    <w:p w:rsidR="0092528D" w:rsidRDefault="00B169E1" w:rsidP="00B169E1">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注册地址：北京市东城区建国门内大街22号</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2.主要职责</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(1)安全保管理财产品财产；</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(2)为每只理财产品开设独立的托管账户，不同托管账户中的资产应当相互独立；</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(3)按照托管协议约定和</w:t>
      </w:r>
      <w:bookmarkStart w:id="0" w:name="_Hlk76384476"/>
      <w:r>
        <w:rPr>
          <w:rFonts w:ascii="仿宋" w:eastAsia="仿宋" w:hAnsi="仿宋" w:cs="宋体" w:hint="eastAsia"/>
          <w:color w:val="000000"/>
          <w:kern w:val="0"/>
          <w:sz w:val="24"/>
        </w:rPr>
        <w:t>管理人</w:t>
      </w:r>
      <w:bookmarkEnd w:id="0"/>
      <w:r>
        <w:rPr>
          <w:rFonts w:ascii="仿宋" w:eastAsia="仿宋" w:hAnsi="仿宋" w:cs="宋体" w:hint="eastAsia"/>
          <w:color w:val="000000"/>
          <w:kern w:val="0"/>
          <w:sz w:val="24"/>
        </w:rPr>
        <w:t>的投资指令，及时办理清算、交割事宜；</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(4)建立与管理人的对账机制，复核、审查理财产品资金头寸、资产账目、资产净值、认购和赎回价格等数据，及时核查认购、赎回以及投资资金的支付和到账情况；</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(5)监督理财产品投资运作，发现理财产品违反法律、行政法规、规章规定或合同约定投资的，应当拒绝执行，及时通知管理人并报告银行业监督管理机构；</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(6)办理与理财产品托管业务活动相关的信息披露事项，包括披露理财产品托管协议、对理财产品信息披露文件中的理财产品财务会计报告等出具意见，以及在公募理财产品半年度和年度报告中出具理财托管机构报告等；</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(7)理财托管业务活动的记录、账册、报表和其他相关资料保存期限15年以上；</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lastRenderedPageBreak/>
        <w:t>(8)对理财产品投资信息和相关资料承担保密责任，除法律、行政法规、规章规定、审计要求或者合同约定外，不得向任何机构或者个人提供相关信息和资料；</w:t>
      </w:r>
    </w:p>
    <w:p w:rsidR="0092528D" w:rsidRDefault="0092528D" w:rsidP="00BE7E09">
      <w:pPr>
        <w:widowControl/>
        <w:adjustRightInd w:val="0"/>
        <w:snapToGrid w:val="0"/>
        <w:spacing w:line="276" w:lineRule="auto"/>
        <w:ind w:firstLineChars="200" w:firstLine="480"/>
        <w:contextualSpacing/>
        <w:rPr>
          <w:rFonts w:eastAsia="黑体"/>
          <w:b/>
        </w:rPr>
      </w:pPr>
      <w:r>
        <w:rPr>
          <w:rFonts w:ascii="仿宋" w:eastAsia="仿宋" w:hAnsi="仿宋" w:cs="宋体" w:hint="eastAsia"/>
          <w:color w:val="000000"/>
          <w:kern w:val="0"/>
          <w:sz w:val="24"/>
        </w:rPr>
        <w:t>(9)银行业监督管理机构规定的其他职责。</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四</w:t>
      </w:r>
      <w:r>
        <w:rPr>
          <w:rFonts w:ascii="Times New Roman" w:eastAsia="黑体" w:cs="Times New Roman"/>
          <w:b/>
          <w:color w:val="auto"/>
        </w:rPr>
        <w:t>、理财产品</w:t>
      </w:r>
      <w:r>
        <w:rPr>
          <w:rFonts w:ascii="Times New Roman" w:eastAsia="黑体" w:cs="Times New Roman" w:hint="eastAsia"/>
          <w:b/>
          <w:color w:val="auto"/>
        </w:rPr>
        <w:t>份额净值</w:t>
      </w:r>
      <w:r>
        <w:rPr>
          <w:rFonts w:ascii="Times New Roman" w:eastAsia="黑体" w:cs="Times New Roman"/>
          <w:b/>
          <w:color w:val="auto"/>
        </w:rPr>
        <w:t>的计算</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理财产品</w:t>
      </w:r>
      <w:r>
        <w:rPr>
          <w:rFonts w:ascii="仿宋" w:eastAsia="仿宋" w:hAnsi="仿宋" w:cs="宋体" w:hint="eastAsia"/>
          <w:color w:val="000000"/>
          <w:kern w:val="0"/>
          <w:sz w:val="24"/>
        </w:rPr>
        <w:t>份额净值</w:t>
      </w:r>
      <w:r>
        <w:rPr>
          <w:rFonts w:ascii="仿宋" w:eastAsia="仿宋" w:hAnsi="仿宋" w:cs="宋体"/>
          <w:color w:val="000000"/>
          <w:kern w:val="0"/>
          <w:sz w:val="24"/>
        </w:rPr>
        <w:t>＝理财产品</w:t>
      </w:r>
      <w:r>
        <w:rPr>
          <w:rFonts w:ascii="仿宋" w:eastAsia="仿宋" w:hAnsi="仿宋" w:cs="宋体" w:hint="eastAsia"/>
          <w:color w:val="000000"/>
          <w:kern w:val="0"/>
          <w:sz w:val="24"/>
        </w:rPr>
        <w:t>资产</w:t>
      </w:r>
      <w:r>
        <w:rPr>
          <w:rFonts w:ascii="仿宋" w:eastAsia="仿宋" w:hAnsi="仿宋" w:cs="宋体"/>
          <w:color w:val="000000"/>
          <w:kern w:val="0"/>
          <w:sz w:val="24"/>
        </w:rPr>
        <w:t>净值/理财产品份额</w:t>
      </w:r>
      <w:r>
        <w:rPr>
          <w:rFonts w:ascii="仿宋" w:eastAsia="仿宋" w:hAnsi="仿宋" w:cs="宋体" w:hint="eastAsia"/>
          <w:color w:val="000000"/>
          <w:kern w:val="0"/>
          <w:sz w:val="24"/>
        </w:rPr>
        <w:t>。</w:t>
      </w:r>
    </w:p>
    <w:p w:rsidR="0092528D" w:rsidRDefault="0092528D" w:rsidP="00A12304">
      <w:pPr>
        <w:widowControl/>
        <w:adjustRightInd w:val="0"/>
        <w:snapToGrid w:val="0"/>
        <w:spacing w:line="276" w:lineRule="auto"/>
        <w:ind w:firstLineChars="200" w:firstLine="480"/>
        <w:contextualSpacing/>
        <w:rPr>
          <w:rFonts w:eastAsia="黑体"/>
          <w:b/>
        </w:rPr>
      </w:pPr>
      <w:r>
        <w:rPr>
          <w:rFonts w:ascii="仿宋" w:eastAsia="仿宋" w:hAnsi="仿宋" w:cs="宋体"/>
          <w:color w:val="000000"/>
          <w:kern w:val="0"/>
          <w:sz w:val="24"/>
        </w:rPr>
        <w:t>理财产品</w:t>
      </w:r>
      <w:r>
        <w:rPr>
          <w:rFonts w:ascii="仿宋" w:eastAsia="仿宋" w:hAnsi="仿宋" w:cs="宋体" w:hint="eastAsia"/>
          <w:color w:val="000000"/>
          <w:kern w:val="0"/>
          <w:sz w:val="24"/>
        </w:rPr>
        <w:t>份额净值</w:t>
      </w:r>
      <w:r>
        <w:rPr>
          <w:rFonts w:ascii="仿宋" w:eastAsia="仿宋" w:hAnsi="仿宋" w:cs="宋体"/>
          <w:color w:val="000000"/>
          <w:kern w:val="0"/>
          <w:sz w:val="24"/>
        </w:rPr>
        <w:t>为提取相关费用后的</w:t>
      </w:r>
      <w:r>
        <w:rPr>
          <w:rFonts w:ascii="仿宋" w:eastAsia="仿宋" w:hAnsi="仿宋" w:cs="宋体" w:hint="eastAsia"/>
          <w:color w:val="000000"/>
          <w:kern w:val="0"/>
          <w:sz w:val="24"/>
        </w:rPr>
        <w:t>份额净值</w:t>
      </w:r>
      <w:r>
        <w:rPr>
          <w:rFonts w:ascii="仿宋" w:eastAsia="仿宋" w:hAnsi="仿宋" w:cs="宋体"/>
          <w:color w:val="000000"/>
          <w:kern w:val="0"/>
          <w:sz w:val="24"/>
        </w:rPr>
        <w:t>，投资者按</w:t>
      </w:r>
      <w:r>
        <w:rPr>
          <w:rFonts w:ascii="仿宋" w:eastAsia="仿宋" w:hAnsi="仿宋" w:cs="宋体" w:hint="eastAsia"/>
          <w:color w:val="000000"/>
          <w:kern w:val="0"/>
          <w:sz w:val="24"/>
        </w:rPr>
        <w:t>该份额净值</w:t>
      </w:r>
      <w:r>
        <w:rPr>
          <w:rFonts w:ascii="仿宋" w:eastAsia="仿宋" w:hAnsi="仿宋" w:cs="宋体"/>
          <w:color w:val="000000"/>
          <w:kern w:val="0"/>
          <w:sz w:val="24"/>
        </w:rPr>
        <w:t>申购、赎回和</w:t>
      </w:r>
      <w:r>
        <w:rPr>
          <w:rFonts w:ascii="仿宋" w:eastAsia="仿宋" w:hAnsi="仿宋" w:cs="宋体" w:hint="eastAsia"/>
          <w:color w:val="000000"/>
          <w:kern w:val="0"/>
          <w:sz w:val="24"/>
        </w:rPr>
        <w:t>到期/</w:t>
      </w:r>
      <w:r>
        <w:rPr>
          <w:rFonts w:ascii="仿宋" w:eastAsia="仿宋" w:hAnsi="仿宋" w:cs="宋体"/>
          <w:color w:val="000000"/>
          <w:kern w:val="0"/>
          <w:sz w:val="24"/>
        </w:rPr>
        <w:t>终止。</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五</w:t>
      </w:r>
      <w:r>
        <w:rPr>
          <w:rFonts w:ascii="Times New Roman" w:eastAsia="黑体" w:cs="Times New Roman"/>
          <w:b/>
          <w:color w:val="auto"/>
        </w:rPr>
        <w:t>、认购</w:t>
      </w:r>
      <w:r>
        <w:rPr>
          <w:rFonts w:ascii="Times New Roman" w:eastAsia="黑体" w:cs="Times New Roman" w:hint="eastAsia"/>
          <w:b/>
          <w:color w:val="auto"/>
        </w:rPr>
        <w:t>、申购、赎回</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color w:val="000000"/>
          <w:kern w:val="0"/>
          <w:sz w:val="24"/>
        </w:rPr>
      </w:pPr>
      <w:r>
        <w:rPr>
          <w:rFonts w:ascii="仿宋" w:eastAsia="仿宋" w:hAnsi="仿宋" w:cs="宋体" w:hint="eastAsia"/>
          <w:kern w:val="0"/>
          <w:sz w:val="24"/>
        </w:rPr>
        <w:t>（一）认购、申购、赎回交易渠道和规定</w:t>
      </w:r>
    </w:p>
    <w:p w:rsidR="0092528D" w:rsidRDefault="0092528D">
      <w:pPr>
        <w:widowControl/>
        <w:adjustRightInd w:val="0"/>
        <w:snapToGrid w:val="0"/>
        <w:spacing w:line="276" w:lineRule="auto"/>
        <w:ind w:firstLineChars="200" w:firstLine="480"/>
        <w:contextualSpacing/>
        <w:rPr>
          <w:rFonts w:ascii="仿宋" w:eastAsia="仿宋" w:hAnsi="仿宋" w:cs="宋体"/>
          <w:kern w:val="0"/>
          <w:sz w:val="24"/>
        </w:rPr>
      </w:pPr>
      <w:r>
        <w:rPr>
          <w:rFonts w:ascii="仿宋" w:eastAsia="仿宋" w:hAnsi="仿宋" w:cs="宋体"/>
          <w:color w:val="000000"/>
          <w:kern w:val="0"/>
          <w:sz w:val="24"/>
        </w:rPr>
        <w:t>1</w:t>
      </w:r>
      <w:r>
        <w:rPr>
          <w:rFonts w:ascii="仿宋" w:eastAsia="仿宋" w:hAnsi="仿宋" w:cs="宋体" w:hint="eastAsia"/>
          <w:color w:val="000000"/>
          <w:kern w:val="0"/>
          <w:sz w:val="24"/>
        </w:rPr>
        <w:t>．</w:t>
      </w:r>
      <w:r>
        <w:rPr>
          <w:rFonts w:ascii="仿宋" w:eastAsia="仿宋" w:hAnsi="仿宋" w:cs="宋体" w:hint="eastAsia"/>
          <w:kern w:val="0"/>
          <w:sz w:val="24"/>
        </w:rPr>
        <w:t>通过华夏理财购买的，</w:t>
      </w:r>
      <w:r>
        <w:rPr>
          <w:rFonts w:ascii="仿宋" w:eastAsia="仿宋" w:hAnsi="仿宋" w:cs="宋体"/>
          <w:kern w:val="0"/>
          <w:sz w:val="24"/>
        </w:rPr>
        <w:t>投资者可通过</w:t>
      </w:r>
      <w:r w:rsidR="00807C05">
        <w:rPr>
          <w:rFonts w:ascii="仿宋" w:eastAsia="仿宋" w:hAnsi="仿宋" w:cs="宋体" w:hint="eastAsia"/>
          <w:kern w:val="0"/>
          <w:sz w:val="24"/>
        </w:rPr>
        <w:t>华夏理财直销</w:t>
      </w:r>
      <w:r w:rsidR="00807C05">
        <w:rPr>
          <w:rFonts w:ascii="仿宋" w:eastAsia="仿宋" w:hAnsi="仿宋" w:cs="宋体"/>
          <w:kern w:val="0"/>
          <w:sz w:val="24"/>
        </w:rPr>
        <w:t>柜台</w:t>
      </w:r>
      <w:r w:rsidR="00807C05">
        <w:rPr>
          <w:rFonts w:ascii="仿宋" w:eastAsia="仿宋" w:hAnsi="仿宋" w:cs="宋体" w:hint="eastAsia"/>
          <w:kern w:val="0"/>
          <w:sz w:val="24"/>
        </w:rPr>
        <w:t>及电子渠道</w:t>
      </w:r>
      <w:r>
        <w:rPr>
          <w:rFonts w:ascii="仿宋" w:eastAsia="仿宋" w:hAnsi="仿宋" w:cs="宋体"/>
          <w:kern w:val="0"/>
          <w:sz w:val="24"/>
        </w:rPr>
        <w:t>发起</w:t>
      </w:r>
      <w:r>
        <w:rPr>
          <w:rFonts w:ascii="仿宋" w:eastAsia="仿宋" w:hAnsi="仿宋" w:cs="宋体" w:hint="eastAsia"/>
          <w:kern w:val="0"/>
          <w:sz w:val="24"/>
        </w:rPr>
        <w:t>认购</w:t>
      </w:r>
      <w:r>
        <w:rPr>
          <w:rFonts w:ascii="仿宋" w:eastAsia="仿宋" w:hAnsi="仿宋" w:cs="宋体" w:hint="eastAsia"/>
          <w:color w:val="000000"/>
          <w:kern w:val="0"/>
          <w:sz w:val="24"/>
        </w:rPr>
        <w:t>、</w:t>
      </w:r>
      <w:r>
        <w:rPr>
          <w:rFonts w:ascii="仿宋" w:eastAsia="仿宋" w:hAnsi="仿宋" w:cs="宋体"/>
          <w:color w:val="000000"/>
          <w:kern w:val="0"/>
          <w:sz w:val="24"/>
        </w:rPr>
        <w:t>申购、赎回</w:t>
      </w:r>
      <w:r>
        <w:rPr>
          <w:rFonts w:ascii="仿宋" w:eastAsia="仿宋" w:hAnsi="仿宋" w:cs="宋体"/>
          <w:kern w:val="0"/>
          <w:sz w:val="24"/>
        </w:rPr>
        <w:t>申请</w:t>
      </w:r>
      <w:r>
        <w:rPr>
          <w:rFonts w:ascii="仿宋" w:eastAsia="仿宋" w:hAnsi="仿宋" w:cs="宋体" w:hint="eastAsia"/>
          <w:kern w:val="0"/>
          <w:sz w:val="24"/>
        </w:rPr>
        <w:t>；通过华夏银行购买的，</w:t>
      </w:r>
      <w:r>
        <w:rPr>
          <w:rFonts w:ascii="仿宋" w:eastAsia="仿宋" w:hAnsi="仿宋" w:cs="宋体"/>
          <w:kern w:val="0"/>
          <w:sz w:val="24"/>
        </w:rPr>
        <w:t>投资者可通过</w:t>
      </w:r>
      <w:r w:rsidR="00807C05">
        <w:rPr>
          <w:rFonts w:ascii="仿宋" w:eastAsia="仿宋" w:hAnsi="仿宋" w:cs="宋体" w:hint="eastAsia"/>
          <w:kern w:val="0"/>
          <w:sz w:val="24"/>
        </w:rPr>
        <w:t>华夏银行</w:t>
      </w:r>
      <w:r w:rsidR="00807C05">
        <w:rPr>
          <w:rFonts w:ascii="仿宋" w:eastAsia="仿宋" w:hAnsi="仿宋" w:hint="eastAsia"/>
          <w:sz w:val="24"/>
        </w:rPr>
        <w:t>柜台、手机银行、网上银行</w:t>
      </w:r>
      <w:r w:rsidR="004A7A7E">
        <w:rPr>
          <w:rFonts w:ascii="仿宋" w:eastAsia="仿宋" w:hAnsi="仿宋" w:hint="eastAsia"/>
          <w:sz w:val="24"/>
        </w:rPr>
        <w:t>、</w:t>
      </w:r>
      <w:proofErr w:type="gramStart"/>
      <w:r w:rsidR="004A7A7E">
        <w:rPr>
          <w:rFonts w:ascii="仿宋" w:eastAsia="仿宋" w:hAnsi="仿宋" w:hint="eastAsia"/>
          <w:sz w:val="24"/>
        </w:rPr>
        <w:t>微信银行</w:t>
      </w:r>
      <w:proofErr w:type="gramEnd"/>
      <w:r w:rsidR="00260FED">
        <w:rPr>
          <w:rFonts w:ascii="仿宋" w:eastAsia="仿宋" w:hAnsi="仿宋" w:hint="eastAsia"/>
          <w:sz w:val="24"/>
        </w:rPr>
        <w:t>等渠道</w:t>
      </w:r>
      <w:r>
        <w:rPr>
          <w:rFonts w:ascii="仿宋" w:eastAsia="仿宋" w:hAnsi="仿宋" w:cs="宋体"/>
          <w:kern w:val="0"/>
          <w:sz w:val="24"/>
        </w:rPr>
        <w:t>发起</w:t>
      </w:r>
      <w:r>
        <w:rPr>
          <w:rFonts w:ascii="仿宋" w:eastAsia="仿宋" w:hAnsi="仿宋" w:cs="宋体" w:hint="eastAsia"/>
          <w:kern w:val="0"/>
          <w:sz w:val="24"/>
        </w:rPr>
        <w:t>认购</w:t>
      </w:r>
      <w:r>
        <w:rPr>
          <w:rFonts w:ascii="仿宋" w:eastAsia="仿宋" w:hAnsi="仿宋" w:cs="宋体" w:hint="eastAsia"/>
          <w:color w:val="000000"/>
          <w:kern w:val="0"/>
          <w:sz w:val="24"/>
        </w:rPr>
        <w:t>、</w:t>
      </w:r>
      <w:r>
        <w:rPr>
          <w:rFonts w:ascii="仿宋" w:eastAsia="仿宋" w:hAnsi="仿宋" w:cs="宋体"/>
          <w:color w:val="000000"/>
          <w:kern w:val="0"/>
          <w:sz w:val="24"/>
        </w:rPr>
        <w:t>申购、赎回</w:t>
      </w:r>
      <w:r>
        <w:rPr>
          <w:rFonts w:ascii="仿宋" w:eastAsia="仿宋" w:hAnsi="仿宋" w:cs="宋体"/>
          <w:kern w:val="0"/>
          <w:sz w:val="24"/>
        </w:rPr>
        <w:t>申请</w:t>
      </w:r>
      <w:r>
        <w:rPr>
          <w:rFonts w:ascii="仿宋" w:eastAsia="仿宋" w:hAnsi="仿宋" w:cs="宋体" w:hint="eastAsia"/>
          <w:kern w:val="0"/>
          <w:sz w:val="24"/>
        </w:rPr>
        <w:t>；通过代销机构购买的，认购</w:t>
      </w:r>
      <w:r>
        <w:rPr>
          <w:rFonts w:ascii="仿宋" w:eastAsia="仿宋" w:hAnsi="仿宋" w:cs="宋体" w:hint="eastAsia"/>
          <w:color w:val="000000"/>
          <w:kern w:val="0"/>
          <w:sz w:val="24"/>
        </w:rPr>
        <w:t>、</w:t>
      </w:r>
      <w:r>
        <w:rPr>
          <w:rFonts w:ascii="仿宋" w:eastAsia="仿宋" w:hAnsi="仿宋" w:cs="宋体"/>
          <w:color w:val="000000"/>
          <w:kern w:val="0"/>
          <w:sz w:val="24"/>
        </w:rPr>
        <w:t>申购、赎回</w:t>
      </w:r>
      <w:r>
        <w:rPr>
          <w:rFonts w:ascii="仿宋" w:eastAsia="仿宋" w:hAnsi="仿宋" w:cs="宋体" w:hint="eastAsia"/>
          <w:kern w:val="0"/>
          <w:sz w:val="24"/>
        </w:rPr>
        <w:t>渠道以代销机构规定为准</w:t>
      </w:r>
      <w:r>
        <w:rPr>
          <w:rFonts w:ascii="仿宋" w:eastAsia="仿宋" w:hAnsi="仿宋" w:cs="宋体"/>
          <w:kern w:val="0"/>
          <w:sz w:val="24"/>
        </w:rPr>
        <w:t>。</w:t>
      </w:r>
    </w:p>
    <w:p w:rsidR="0092528D" w:rsidRDefault="0092528D" w:rsidP="00A12304">
      <w:pPr>
        <w:widowControl/>
        <w:adjustRightInd w:val="0"/>
        <w:snapToGrid w:val="0"/>
        <w:spacing w:line="276" w:lineRule="auto"/>
        <w:ind w:firstLineChars="200" w:firstLine="482"/>
        <w:contextualSpacing/>
        <w:rPr>
          <w:rFonts w:ascii="仿宋" w:eastAsia="仿宋" w:hAnsi="仿宋" w:cs="宋体"/>
          <w:kern w:val="0"/>
          <w:sz w:val="24"/>
        </w:rPr>
      </w:pPr>
      <w:r>
        <w:rPr>
          <w:rFonts w:ascii="仿宋" w:eastAsia="仿宋" w:hAnsi="仿宋" w:cs="宋体"/>
          <w:b/>
          <w:bCs/>
          <w:color w:val="000000"/>
          <w:kern w:val="0"/>
          <w:sz w:val="24"/>
        </w:rPr>
        <w:t>2</w:t>
      </w:r>
      <w:r>
        <w:rPr>
          <w:rFonts w:ascii="仿宋" w:eastAsia="仿宋" w:hAnsi="仿宋" w:cs="宋体" w:hint="eastAsia"/>
          <w:b/>
          <w:bCs/>
          <w:color w:val="000000"/>
          <w:kern w:val="0"/>
          <w:sz w:val="24"/>
        </w:rPr>
        <w:t>．</w:t>
      </w:r>
      <w:r>
        <w:rPr>
          <w:rFonts w:ascii="仿宋" w:eastAsia="仿宋" w:hAnsi="仿宋" w:cs="宋体" w:hint="eastAsia"/>
          <w:b/>
          <w:bCs/>
          <w:kern w:val="0"/>
          <w:sz w:val="24"/>
        </w:rPr>
        <w:t>本</w:t>
      </w:r>
      <w:r>
        <w:rPr>
          <w:rFonts w:ascii="仿宋" w:eastAsia="仿宋" w:hAnsi="仿宋" w:cs="宋体" w:hint="eastAsia"/>
          <w:b/>
          <w:bCs/>
          <w:color w:val="000000"/>
          <w:kern w:val="0"/>
          <w:sz w:val="24"/>
        </w:rPr>
        <w:t>理财</w:t>
      </w:r>
      <w:r>
        <w:rPr>
          <w:rFonts w:ascii="仿宋" w:eastAsia="仿宋" w:hAnsi="仿宋" w:cs="宋体" w:hint="eastAsia"/>
          <w:b/>
          <w:bCs/>
          <w:kern w:val="0"/>
          <w:sz w:val="24"/>
        </w:rPr>
        <w:t>产品单一投资者持有</w:t>
      </w:r>
      <w:r>
        <w:rPr>
          <w:rFonts w:ascii="仿宋" w:eastAsia="仿宋" w:hAnsi="仿宋" w:cs="宋体" w:hint="eastAsia"/>
          <w:b/>
          <w:bCs/>
          <w:color w:val="000000"/>
          <w:kern w:val="0"/>
          <w:sz w:val="24"/>
        </w:rPr>
        <w:t>产品</w:t>
      </w:r>
      <w:r>
        <w:rPr>
          <w:rFonts w:ascii="仿宋" w:eastAsia="仿宋" w:hAnsi="仿宋" w:cs="宋体" w:hint="eastAsia"/>
          <w:b/>
          <w:bCs/>
          <w:kern w:val="0"/>
          <w:sz w:val="24"/>
        </w:rPr>
        <w:t>份额数不得超过</w:t>
      </w:r>
      <w:r>
        <w:rPr>
          <w:rFonts w:ascii="仿宋" w:eastAsia="仿宋" w:hAnsi="仿宋" w:cs="宋体" w:hint="eastAsia"/>
          <w:b/>
          <w:bCs/>
          <w:color w:val="000000"/>
          <w:kern w:val="0"/>
          <w:sz w:val="24"/>
        </w:rPr>
        <w:t>产品</w:t>
      </w:r>
      <w:r>
        <w:rPr>
          <w:rFonts w:ascii="仿宋" w:eastAsia="仿宋" w:hAnsi="仿宋" w:cs="宋体" w:hint="eastAsia"/>
          <w:b/>
          <w:bCs/>
          <w:kern w:val="0"/>
          <w:sz w:val="24"/>
        </w:rPr>
        <w:t>份额总数的 50%。非因</w:t>
      </w:r>
      <w:r>
        <w:rPr>
          <w:rFonts w:ascii="仿宋" w:eastAsia="仿宋" w:hAnsi="仿宋" w:cs="宋体"/>
          <w:b/>
          <w:bCs/>
          <w:kern w:val="0"/>
          <w:sz w:val="24"/>
        </w:rPr>
        <w:t>管理人</w:t>
      </w:r>
      <w:r>
        <w:rPr>
          <w:rFonts w:ascii="仿宋" w:eastAsia="仿宋" w:hAnsi="仿宋" w:cs="宋体" w:hint="eastAsia"/>
          <w:b/>
          <w:bCs/>
          <w:kern w:val="0"/>
          <w:sz w:val="24"/>
        </w:rPr>
        <w:t>主观因素导致突破前款规定比例限制的，在单一投资者持有比例降至50%以下之前，</w:t>
      </w:r>
      <w:r>
        <w:rPr>
          <w:rFonts w:ascii="仿宋" w:eastAsia="仿宋" w:hAnsi="仿宋" w:cs="宋体"/>
          <w:b/>
          <w:bCs/>
          <w:kern w:val="0"/>
          <w:sz w:val="24"/>
        </w:rPr>
        <w:t>管理人将</w:t>
      </w:r>
      <w:r>
        <w:rPr>
          <w:rFonts w:ascii="仿宋" w:eastAsia="仿宋" w:hAnsi="仿宋" w:cs="宋体" w:hint="eastAsia"/>
          <w:b/>
          <w:bCs/>
          <w:kern w:val="0"/>
          <w:sz w:val="24"/>
        </w:rPr>
        <w:t>不再接受该单一投资者对本</w:t>
      </w:r>
      <w:r>
        <w:rPr>
          <w:rFonts w:ascii="仿宋" w:eastAsia="仿宋" w:hAnsi="仿宋" w:cs="宋体" w:hint="eastAsia"/>
          <w:b/>
          <w:bCs/>
          <w:color w:val="000000"/>
          <w:kern w:val="0"/>
          <w:sz w:val="24"/>
        </w:rPr>
        <w:t>理财</w:t>
      </w:r>
      <w:r>
        <w:rPr>
          <w:rFonts w:ascii="仿宋" w:eastAsia="仿宋" w:hAnsi="仿宋" w:cs="宋体" w:hint="eastAsia"/>
          <w:b/>
          <w:bCs/>
          <w:kern w:val="0"/>
          <w:sz w:val="24"/>
        </w:rPr>
        <w:t>产品的认、</w:t>
      </w:r>
      <w:r>
        <w:rPr>
          <w:rFonts w:ascii="仿宋" w:eastAsia="仿宋" w:hAnsi="仿宋" w:cs="宋体"/>
          <w:b/>
          <w:bCs/>
          <w:kern w:val="0"/>
          <w:sz w:val="24"/>
        </w:rPr>
        <w:t>申</w:t>
      </w:r>
      <w:r>
        <w:rPr>
          <w:rFonts w:ascii="仿宋" w:eastAsia="仿宋" w:hAnsi="仿宋" w:cs="宋体" w:hint="eastAsia"/>
          <w:b/>
          <w:bCs/>
          <w:kern w:val="0"/>
          <w:sz w:val="24"/>
        </w:rPr>
        <w:t>购申请。</w:t>
      </w:r>
    </w:p>
    <w:p w:rsidR="0092528D" w:rsidRDefault="0092528D" w:rsidP="00A12304">
      <w:pPr>
        <w:widowControl/>
        <w:adjustRightInd w:val="0"/>
        <w:snapToGrid w:val="0"/>
        <w:spacing w:line="276" w:lineRule="auto"/>
        <w:ind w:firstLineChars="200" w:firstLine="480"/>
        <w:contextualSpacing/>
        <w:rPr>
          <w:rFonts w:ascii="仿宋" w:eastAsia="仿宋" w:hAnsi="仿宋" w:cs="宋体"/>
          <w:kern w:val="0"/>
          <w:sz w:val="24"/>
        </w:rPr>
      </w:pPr>
      <w:r>
        <w:rPr>
          <w:rFonts w:ascii="仿宋" w:eastAsia="仿宋" w:hAnsi="仿宋" w:cs="宋体" w:hint="eastAsia"/>
          <w:kern w:val="0"/>
          <w:sz w:val="24"/>
        </w:rPr>
        <w:t>法律法规、监管部门另有规定的，从其规定。</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kern w:val="0"/>
          <w:sz w:val="24"/>
        </w:rPr>
      </w:pPr>
      <w:r>
        <w:rPr>
          <w:rFonts w:ascii="仿宋" w:eastAsia="仿宋" w:hAnsi="仿宋" w:cs="宋体" w:hint="eastAsia"/>
          <w:kern w:val="0"/>
          <w:sz w:val="24"/>
        </w:rPr>
        <w:t>（二）拒绝或暂停</w:t>
      </w:r>
      <w:r>
        <w:rPr>
          <w:rFonts w:ascii="仿宋" w:eastAsia="仿宋" w:hAnsi="仿宋" w:cs="宋体" w:hint="eastAsia"/>
          <w:color w:val="000000"/>
          <w:kern w:val="0"/>
          <w:sz w:val="24"/>
        </w:rPr>
        <w:t>认（申）</w:t>
      </w:r>
      <w:r>
        <w:rPr>
          <w:rFonts w:ascii="仿宋" w:eastAsia="仿宋" w:hAnsi="仿宋" w:cs="宋体" w:hint="eastAsia"/>
          <w:kern w:val="0"/>
          <w:sz w:val="24"/>
        </w:rPr>
        <w:t>购的情形</w:t>
      </w:r>
    </w:p>
    <w:p w:rsidR="0092528D" w:rsidRDefault="0092528D">
      <w:pPr>
        <w:widowControl/>
        <w:adjustRightInd w:val="0"/>
        <w:snapToGrid w:val="0"/>
        <w:spacing w:line="276" w:lineRule="auto"/>
        <w:ind w:firstLineChars="200" w:firstLine="482"/>
        <w:contextualSpacing/>
        <w:rPr>
          <w:rFonts w:ascii="仿宋" w:eastAsia="仿宋" w:hAnsi="仿宋" w:cs="宋体"/>
          <w:b/>
          <w:bCs/>
          <w:color w:val="000000"/>
          <w:kern w:val="0"/>
          <w:sz w:val="24"/>
        </w:rPr>
      </w:pPr>
      <w:r>
        <w:rPr>
          <w:rFonts w:ascii="仿宋" w:eastAsia="仿宋" w:hAnsi="仿宋" w:cs="宋体" w:hint="eastAsia"/>
          <w:b/>
          <w:bCs/>
          <w:color w:val="000000"/>
          <w:kern w:val="0"/>
          <w:sz w:val="24"/>
        </w:rPr>
        <w:t>发生下列情况之一时，</w:t>
      </w:r>
      <w:r>
        <w:rPr>
          <w:rFonts w:ascii="仿宋" w:eastAsia="仿宋" w:hAnsi="仿宋" w:cs="宋体"/>
          <w:b/>
          <w:bCs/>
          <w:kern w:val="0"/>
          <w:sz w:val="24"/>
        </w:rPr>
        <w:t>管理人</w:t>
      </w:r>
      <w:r>
        <w:rPr>
          <w:rFonts w:ascii="仿宋" w:eastAsia="仿宋" w:hAnsi="仿宋" w:cs="宋体" w:hint="eastAsia"/>
          <w:b/>
          <w:bCs/>
          <w:kern w:val="0"/>
          <w:sz w:val="24"/>
        </w:rPr>
        <w:t>可以</w:t>
      </w:r>
      <w:r>
        <w:rPr>
          <w:rFonts w:ascii="仿宋" w:eastAsia="仿宋" w:hAnsi="仿宋" w:cs="宋体" w:hint="eastAsia"/>
          <w:b/>
          <w:bCs/>
          <w:color w:val="000000"/>
          <w:kern w:val="0"/>
          <w:sz w:val="24"/>
        </w:rPr>
        <w:t>采取认（申）</w:t>
      </w:r>
      <w:proofErr w:type="gramStart"/>
      <w:r>
        <w:rPr>
          <w:rFonts w:ascii="仿宋" w:eastAsia="仿宋" w:hAnsi="仿宋" w:cs="宋体" w:hint="eastAsia"/>
          <w:b/>
          <w:bCs/>
          <w:color w:val="000000"/>
          <w:kern w:val="0"/>
          <w:sz w:val="24"/>
        </w:rPr>
        <w:t>购风险</w:t>
      </w:r>
      <w:proofErr w:type="gramEnd"/>
      <w:r>
        <w:rPr>
          <w:rFonts w:ascii="仿宋" w:eastAsia="仿宋" w:hAnsi="仿宋" w:cs="宋体" w:hint="eastAsia"/>
          <w:b/>
          <w:bCs/>
          <w:color w:val="000000"/>
          <w:kern w:val="0"/>
          <w:sz w:val="24"/>
        </w:rPr>
        <w:t>应对措施，</w:t>
      </w:r>
      <w:r>
        <w:rPr>
          <w:rFonts w:ascii="仿宋" w:eastAsia="仿宋" w:hAnsi="仿宋" w:cs="宋体" w:hint="eastAsia"/>
          <w:b/>
          <w:bCs/>
          <w:kern w:val="0"/>
          <w:sz w:val="24"/>
        </w:rPr>
        <w:t>拒绝或暂停接受</w:t>
      </w:r>
      <w:r>
        <w:rPr>
          <w:rFonts w:ascii="仿宋" w:eastAsia="仿宋" w:hAnsi="仿宋" w:cs="宋体" w:hint="eastAsia"/>
          <w:b/>
          <w:bCs/>
          <w:color w:val="000000"/>
          <w:kern w:val="0"/>
          <w:sz w:val="24"/>
        </w:rPr>
        <w:t>认（申）</w:t>
      </w:r>
      <w:r>
        <w:rPr>
          <w:rFonts w:ascii="仿宋" w:eastAsia="仿宋" w:hAnsi="仿宋" w:cs="宋体" w:hint="eastAsia"/>
          <w:b/>
          <w:bCs/>
          <w:kern w:val="0"/>
          <w:sz w:val="24"/>
        </w:rPr>
        <w:t>购申请</w:t>
      </w:r>
      <w:r>
        <w:rPr>
          <w:rFonts w:ascii="仿宋" w:eastAsia="仿宋" w:hAnsi="仿宋" w:cs="宋体" w:hint="eastAsia"/>
          <w:b/>
          <w:bCs/>
          <w:color w:val="000000"/>
          <w:kern w:val="0"/>
          <w:sz w:val="24"/>
        </w:rPr>
        <w:t>：</w:t>
      </w:r>
    </w:p>
    <w:p w:rsidR="0092528D" w:rsidRPr="00A12304"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sidRPr="00A12304">
        <w:rPr>
          <w:rFonts w:ascii="仿宋" w:eastAsia="仿宋" w:hAnsi="仿宋" w:cs="宋体" w:hint="eastAsia"/>
          <w:color w:val="000000"/>
          <w:kern w:val="0"/>
          <w:sz w:val="24"/>
        </w:rPr>
        <w:t>1．因不可抗力导致理财</w:t>
      </w:r>
      <w:r w:rsidRPr="00A12304">
        <w:rPr>
          <w:rFonts w:ascii="仿宋" w:eastAsia="仿宋" w:hAnsi="仿宋" w:cs="宋体"/>
          <w:color w:val="000000"/>
          <w:kern w:val="0"/>
          <w:sz w:val="24"/>
        </w:rPr>
        <w:t>产品</w:t>
      </w:r>
      <w:r w:rsidRPr="00A12304">
        <w:rPr>
          <w:rFonts w:ascii="仿宋" w:eastAsia="仿宋" w:hAnsi="仿宋" w:cs="宋体" w:hint="eastAsia"/>
          <w:color w:val="000000"/>
          <w:kern w:val="0"/>
          <w:sz w:val="24"/>
        </w:rPr>
        <w:t>无法正常运作。</w:t>
      </w:r>
    </w:p>
    <w:p w:rsidR="0092528D" w:rsidRPr="00A12304"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sidRPr="00A12304">
        <w:rPr>
          <w:rFonts w:ascii="仿宋" w:eastAsia="仿宋" w:hAnsi="仿宋" w:cs="宋体" w:hint="eastAsia"/>
          <w:color w:val="000000"/>
          <w:kern w:val="0"/>
          <w:sz w:val="24"/>
        </w:rPr>
        <w:t>2．发生本产品说明书约定的暂停估值情况。</w:t>
      </w:r>
    </w:p>
    <w:p w:rsidR="0092528D" w:rsidRPr="00A12304"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sidRPr="00A12304">
        <w:rPr>
          <w:rFonts w:ascii="仿宋" w:eastAsia="仿宋" w:hAnsi="仿宋" w:cs="宋体" w:hint="eastAsia"/>
          <w:color w:val="000000"/>
          <w:kern w:val="0"/>
          <w:sz w:val="24"/>
        </w:rPr>
        <w:t>3．接受认（申）</w:t>
      </w:r>
      <w:proofErr w:type="gramStart"/>
      <w:r w:rsidRPr="00A12304">
        <w:rPr>
          <w:rFonts w:ascii="仿宋" w:eastAsia="仿宋" w:hAnsi="仿宋" w:cs="宋体" w:hint="eastAsia"/>
          <w:color w:val="000000"/>
          <w:kern w:val="0"/>
          <w:sz w:val="24"/>
        </w:rPr>
        <w:t>购申请</w:t>
      </w:r>
      <w:proofErr w:type="gramEnd"/>
      <w:r w:rsidRPr="00A12304">
        <w:rPr>
          <w:rFonts w:ascii="仿宋" w:eastAsia="仿宋" w:hAnsi="仿宋" w:cs="宋体" w:hint="eastAsia"/>
          <w:color w:val="000000"/>
          <w:kern w:val="0"/>
          <w:sz w:val="24"/>
        </w:rPr>
        <w:t>可能对存量投资者利益构成重大不利影响。</w:t>
      </w:r>
    </w:p>
    <w:p w:rsidR="0092528D" w:rsidRPr="00A12304"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sidRPr="00A12304">
        <w:rPr>
          <w:rFonts w:ascii="仿宋" w:eastAsia="仿宋" w:hAnsi="仿宋" w:cs="宋体" w:hint="eastAsia"/>
          <w:color w:val="000000"/>
          <w:kern w:val="0"/>
          <w:sz w:val="24"/>
        </w:rPr>
        <w:t>4．认购/申购日理财产品实时余额已达到规模上限。</w:t>
      </w:r>
    </w:p>
    <w:p w:rsidR="0092528D" w:rsidRPr="00A12304"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sidRPr="00A12304">
        <w:rPr>
          <w:rFonts w:ascii="仿宋" w:eastAsia="仿宋" w:hAnsi="仿宋" w:cs="宋体" w:hint="eastAsia"/>
          <w:color w:val="000000"/>
          <w:kern w:val="0"/>
          <w:sz w:val="24"/>
        </w:rPr>
        <w:t>5</w:t>
      </w:r>
      <w:r w:rsidR="00807C05" w:rsidRPr="001D1BD3">
        <w:rPr>
          <w:rFonts w:ascii="仿宋" w:eastAsia="仿宋" w:hAnsi="仿宋" w:cs="宋体" w:hint="eastAsia"/>
          <w:color w:val="000000"/>
          <w:kern w:val="0"/>
          <w:sz w:val="24"/>
        </w:rPr>
        <w:t>．</w:t>
      </w:r>
      <w:r w:rsidRPr="00807C05">
        <w:rPr>
          <w:rFonts w:ascii="仿宋" w:eastAsia="仿宋" w:hAnsi="仿宋" w:cs="宋体" w:hint="eastAsia"/>
          <w:color w:val="000000"/>
          <w:kern w:val="0"/>
          <w:sz w:val="24"/>
        </w:rPr>
        <w:t>基于理财产品投资运作与风险控制需要。</w:t>
      </w:r>
    </w:p>
    <w:p w:rsidR="0092528D" w:rsidRDefault="00B169E1">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6</w:t>
      </w:r>
      <w:r w:rsidR="0092528D">
        <w:rPr>
          <w:rFonts w:ascii="仿宋" w:eastAsia="仿宋" w:hAnsi="仿宋" w:cs="宋体" w:hint="eastAsia"/>
          <w:color w:val="000000"/>
          <w:kern w:val="0"/>
          <w:sz w:val="24"/>
        </w:rPr>
        <w:t>.认（申）</w:t>
      </w:r>
      <w:proofErr w:type="gramStart"/>
      <w:r w:rsidR="0092528D">
        <w:rPr>
          <w:rFonts w:ascii="仿宋" w:eastAsia="仿宋" w:hAnsi="仿宋" w:cs="宋体" w:hint="eastAsia"/>
          <w:color w:val="000000"/>
          <w:kern w:val="0"/>
          <w:sz w:val="24"/>
        </w:rPr>
        <w:t>购申请</w:t>
      </w:r>
      <w:proofErr w:type="gramEnd"/>
      <w:r w:rsidR="0092528D">
        <w:rPr>
          <w:rFonts w:ascii="仿宋" w:eastAsia="仿宋" w:hAnsi="仿宋" w:cs="宋体" w:hint="eastAsia"/>
          <w:color w:val="000000"/>
          <w:kern w:val="0"/>
          <w:sz w:val="24"/>
        </w:rPr>
        <w:t>超过说明书约定的单一投资者认（申）</w:t>
      </w:r>
      <w:proofErr w:type="gramStart"/>
      <w:r w:rsidR="0092528D">
        <w:rPr>
          <w:rFonts w:ascii="仿宋" w:eastAsia="仿宋" w:hAnsi="仿宋" w:cs="宋体" w:hint="eastAsia"/>
          <w:color w:val="000000"/>
          <w:kern w:val="0"/>
          <w:sz w:val="24"/>
        </w:rPr>
        <w:t>购金额</w:t>
      </w:r>
      <w:proofErr w:type="gramEnd"/>
      <w:r w:rsidR="0092528D">
        <w:rPr>
          <w:rFonts w:ascii="仿宋" w:eastAsia="仿宋" w:hAnsi="仿宋" w:cs="宋体" w:hint="eastAsia"/>
          <w:color w:val="000000"/>
          <w:kern w:val="0"/>
          <w:sz w:val="24"/>
        </w:rPr>
        <w:t>上限、或超过理财产品单日净认（申）购比例上限。</w:t>
      </w:r>
    </w:p>
    <w:p w:rsidR="0092528D" w:rsidRDefault="00B169E1">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7</w:t>
      </w:r>
      <w:r w:rsidR="0092528D">
        <w:rPr>
          <w:rFonts w:ascii="仿宋" w:eastAsia="仿宋" w:hAnsi="仿宋" w:cs="宋体" w:hint="eastAsia"/>
          <w:color w:val="000000"/>
          <w:kern w:val="0"/>
          <w:sz w:val="24"/>
        </w:rPr>
        <w:t>.接受认（申）</w:t>
      </w:r>
      <w:proofErr w:type="gramStart"/>
      <w:r w:rsidR="0092528D">
        <w:rPr>
          <w:rFonts w:ascii="仿宋" w:eastAsia="仿宋" w:hAnsi="仿宋" w:cs="宋体" w:hint="eastAsia"/>
          <w:color w:val="000000"/>
          <w:kern w:val="0"/>
          <w:sz w:val="24"/>
        </w:rPr>
        <w:t>购申请</w:t>
      </w:r>
      <w:proofErr w:type="gramEnd"/>
      <w:r w:rsidR="0092528D">
        <w:rPr>
          <w:rFonts w:ascii="仿宋" w:eastAsia="仿宋" w:hAnsi="仿宋" w:cs="宋体" w:hint="eastAsia"/>
          <w:color w:val="000000"/>
          <w:kern w:val="0"/>
          <w:sz w:val="24"/>
        </w:rPr>
        <w:t>有可能导致单一投资者持有份额的比例超过产品</w:t>
      </w:r>
      <w:r w:rsidR="0092528D">
        <w:rPr>
          <w:rFonts w:ascii="仿宋" w:eastAsia="仿宋" w:hAnsi="仿宋" w:cs="宋体" w:hint="eastAsia"/>
          <w:kern w:val="0"/>
          <w:sz w:val="24"/>
        </w:rPr>
        <w:t>份额总数的</w:t>
      </w:r>
      <w:r w:rsidR="0092528D">
        <w:rPr>
          <w:rFonts w:ascii="仿宋" w:eastAsia="仿宋" w:hAnsi="仿宋" w:cs="宋体" w:hint="eastAsia"/>
          <w:color w:val="000000"/>
          <w:kern w:val="0"/>
          <w:sz w:val="24"/>
        </w:rPr>
        <w:t>50%，或者出现变相规避50%集中度限制的情形。</w:t>
      </w:r>
    </w:p>
    <w:p w:rsidR="0092528D" w:rsidRDefault="00B169E1">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8</w:t>
      </w:r>
      <w:r>
        <w:rPr>
          <w:rFonts w:ascii="仿宋" w:eastAsia="仿宋" w:hAnsi="仿宋" w:cs="宋体" w:hint="eastAsia"/>
          <w:color w:val="000000"/>
          <w:kern w:val="0"/>
          <w:sz w:val="24"/>
        </w:rPr>
        <w:t>.</w:t>
      </w:r>
      <w:r w:rsidR="0092528D">
        <w:rPr>
          <w:rFonts w:ascii="仿宋" w:eastAsia="仿宋" w:hAnsi="仿宋" w:cs="宋体" w:hint="eastAsia"/>
          <w:color w:val="000000"/>
          <w:kern w:val="0"/>
          <w:sz w:val="24"/>
        </w:rPr>
        <w:t>法律法规规定或监管</w:t>
      </w:r>
      <w:r w:rsidR="0092528D">
        <w:rPr>
          <w:rFonts w:ascii="仿宋" w:eastAsia="仿宋" w:hAnsi="仿宋" w:cs="宋体"/>
          <w:color w:val="000000"/>
          <w:kern w:val="0"/>
          <w:sz w:val="24"/>
        </w:rPr>
        <w:t>机构</w:t>
      </w:r>
      <w:r w:rsidR="0092528D">
        <w:rPr>
          <w:rFonts w:ascii="仿宋" w:eastAsia="仿宋" w:hAnsi="仿宋" w:cs="宋体" w:hint="eastAsia"/>
          <w:color w:val="000000"/>
          <w:kern w:val="0"/>
          <w:sz w:val="24"/>
        </w:rPr>
        <w:t>认定的其他情形。</w:t>
      </w:r>
    </w:p>
    <w:p w:rsidR="0092528D" w:rsidRDefault="0092528D" w:rsidP="00A12304">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如果投资人的认（申）</w:t>
      </w:r>
      <w:proofErr w:type="gramStart"/>
      <w:r>
        <w:rPr>
          <w:rFonts w:ascii="仿宋" w:eastAsia="仿宋" w:hAnsi="仿宋" w:cs="宋体" w:hint="eastAsia"/>
          <w:color w:val="000000"/>
          <w:kern w:val="0"/>
          <w:sz w:val="24"/>
        </w:rPr>
        <w:t>购申请</w:t>
      </w:r>
      <w:proofErr w:type="gramEnd"/>
      <w:r>
        <w:rPr>
          <w:rFonts w:ascii="仿宋" w:eastAsia="仿宋" w:hAnsi="仿宋" w:cs="宋体" w:hint="eastAsia"/>
          <w:color w:val="000000"/>
          <w:kern w:val="0"/>
          <w:sz w:val="24"/>
        </w:rPr>
        <w:t>被全部或部分拒绝的，被拒绝的认（申）购款项将退还给投资人。在暂停认（申）购的情况消除时，</w:t>
      </w:r>
      <w:r>
        <w:rPr>
          <w:rFonts w:ascii="仿宋" w:eastAsia="仿宋" w:hAnsi="仿宋" w:cs="宋体"/>
          <w:kern w:val="0"/>
          <w:sz w:val="24"/>
        </w:rPr>
        <w:t>管理人</w:t>
      </w:r>
      <w:r>
        <w:rPr>
          <w:rFonts w:ascii="仿宋" w:eastAsia="仿宋" w:hAnsi="仿宋" w:cs="宋体" w:hint="eastAsia"/>
          <w:color w:val="000000"/>
          <w:kern w:val="0"/>
          <w:sz w:val="24"/>
        </w:rPr>
        <w:t>将及时恢复办理业务。</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color w:val="000000"/>
          <w:kern w:val="0"/>
          <w:sz w:val="24"/>
        </w:rPr>
      </w:pPr>
      <w:r>
        <w:rPr>
          <w:rFonts w:ascii="仿宋" w:eastAsia="仿宋" w:hAnsi="仿宋" w:cs="宋体" w:hint="eastAsia"/>
          <w:kern w:val="0"/>
          <w:sz w:val="24"/>
        </w:rPr>
        <w:t>（三）暂停赎回或延缓支付赎回款项的情形</w:t>
      </w:r>
    </w:p>
    <w:p w:rsidR="0092528D" w:rsidRDefault="0092528D">
      <w:pPr>
        <w:widowControl/>
        <w:adjustRightInd w:val="0"/>
        <w:snapToGrid w:val="0"/>
        <w:spacing w:line="276" w:lineRule="auto"/>
        <w:ind w:firstLineChars="200" w:firstLine="482"/>
        <w:contextualSpacing/>
        <w:rPr>
          <w:rFonts w:ascii="仿宋" w:eastAsia="仿宋" w:hAnsi="仿宋" w:cs="宋体"/>
          <w:b/>
          <w:bCs/>
          <w:color w:val="000000"/>
          <w:kern w:val="0"/>
          <w:sz w:val="24"/>
        </w:rPr>
      </w:pPr>
      <w:r>
        <w:rPr>
          <w:rFonts w:ascii="仿宋" w:eastAsia="仿宋" w:hAnsi="仿宋" w:cs="宋体" w:hint="eastAsia"/>
          <w:b/>
          <w:bCs/>
          <w:color w:val="000000"/>
          <w:kern w:val="0"/>
          <w:sz w:val="24"/>
        </w:rPr>
        <w:t>在发生下列情形之一时，</w:t>
      </w:r>
      <w:r>
        <w:rPr>
          <w:rFonts w:ascii="仿宋" w:eastAsia="仿宋" w:hAnsi="仿宋" w:cs="宋体"/>
          <w:b/>
          <w:bCs/>
          <w:kern w:val="0"/>
          <w:sz w:val="24"/>
        </w:rPr>
        <w:t>管理人</w:t>
      </w:r>
      <w:r>
        <w:rPr>
          <w:rFonts w:ascii="仿宋" w:eastAsia="仿宋" w:hAnsi="仿宋" w:cs="宋体" w:hint="eastAsia"/>
          <w:b/>
          <w:bCs/>
          <w:kern w:val="0"/>
          <w:sz w:val="24"/>
        </w:rPr>
        <w:t>可以采取</w:t>
      </w:r>
      <w:r>
        <w:rPr>
          <w:rFonts w:ascii="仿宋" w:eastAsia="仿宋" w:hAnsi="仿宋" w:cs="宋体" w:hint="eastAsia"/>
          <w:b/>
          <w:bCs/>
          <w:color w:val="000000"/>
          <w:kern w:val="0"/>
          <w:sz w:val="24"/>
        </w:rPr>
        <w:t>赎回流动性风险应对措施，包括</w:t>
      </w:r>
      <w:r>
        <w:rPr>
          <w:rFonts w:ascii="仿宋" w:eastAsia="仿宋" w:hAnsi="仿宋" w:cs="宋体"/>
          <w:b/>
          <w:bCs/>
          <w:color w:val="000000"/>
          <w:kern w:val="0"/>
          <w:sz w:val="24"/>
        </w:rPr>
        <w:t>但不限于</w:t>
      </w:r>
      <w:r>
        <w:rPr>
          <w:rFonts w:ascii="仿宋" w:eastAsia="仿宋" w:hAnsi="仿宋" w:cs="宋体" w:hint="eastAsia"/>
          <w:b/>
          <w:bCs/>
          <w:color w:val="000000"/>
          <w:kern w:val="0"/>
          <w:sz w:val="24"/>
        </w:rPr>
        <w:t>延期办理巨额赎回申请、暂停接受赎回申请、延缓支付赎回款项等：</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1.因不可抗力导致</w:t>
      </w:r>
      <w:r>
        <w:rPr>
          <w:rFonts w:ascii="仿宋" w:eastAsia="仿宋" w:hAnsi="仿宋" w:cs="宋体"/>
          <w:kern w:val="0"/>
          <w:sz w:val="24"/>
        </w:rPr>
        <w:t>管理人</w:t>
      </w:r>
      <w:r>
        <w:rPr>
          <w:rFonts w:ascii="仿宋" w:eastAsia="仿宋" w:hAnsi="仿宋" w:cs="宋体" w:hint="eastAsia"/>
          <w:color w:val="000000"/>
          <w:kern w:val="0"/>
          <w:sz w:val="24"/>
        </w:rPr>
        <w:t>不能支付赎回款项。</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lastRenderedPageBreak/>
        <w:t>2.发生本产品说明书约定的暂停估值情形。</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3</w:t>
      </w:r>
      <w:r>
        <w:rPr>
          <w:rFonts w:ascii="仿宋" w:eastAsia="仿宋" w:hAnsi="仿宋" w:cs="宋体" w:hint="eastAsia"/>
          <w:color w:val="000000"/>
          <w:kern w:val="0"/>
          <w:sz w:val="24"/>
        </w:rPr>
        <w:t>.发生巨额赎回。</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4</w:t>
      </w:r>
      <w:r>
        <w:rPr>
          <w:rFonts w:ascii="仿宋" w:eastAsia="仿宋" w:hAnsi="仿宋" w:cs="宋体" w:hint="eastAsia"/>
          <w:color w:val="000000"/>
          <w:kern w:val="0"/>
          <w:sz w:val="24"/>
        </w:rPr>
        <w:t>.连续2个以上开放日发生巨额赎回。</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hint="eastAsia"/>
          <w:bCs/>
          <w:color w:val="000000"/>
          <w:sz w:val="24"/>
        </w:rPr>
        <w:t>5.单个投资者在单个开放日的赎回超过说明书约定的赎回</w:t>
      </w:r>
      <w:r>
        <w:rPr>
          <w:rFonts w:ascii="仿宋" w:eastAsia="仿宋" w:hAnsi="仿宋"/>
          <w:bCs/>
          <w:color w:val="000000"/>
          <w:sz w:val="24"/>
        </w:rPr>
        <w:t>上限</w:t>
      </w:r>
      <w:r>
        <w:rPr>
          <w:rFonts w:ascii="仿宋" w:eastAsia="仿宋" w:hAnsi="仿宋" w:hint="eastAsia"/>
          <w:bCs/>
          <w:color w:val="000000"/>
          <w:sz w:val="24"/>
        </w:rPr>
        <w:t>。</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6.继续接受赎回申请可能对存量理财投资者利益构成潜在重大不利影响。</w:t>
      </w:r>
    </w:p>
    <w:p w:rsidR="0092528D" w:rsidRDefault="0092528D">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7.法律法规规定或监管机构认定的其他情形。</w:t>
      </w:r>
    </w:p>
    <w:p w:rsidR="0092528D" w:rsidRDefault="0092528D">
      <w:pPr>
        <w:pStyle w:val="Default"/>
        <w:snapToGrid w:val="0"/>
        <w:spacing w:afterLines="50" w:after="156" w:line="400" w:lineRule="exact"/>
        <w:ind w:firstLineChars="200" w:firstLine="480"/>
        <w:jc w:val="both"/>
        <w:rPr>
          <w:rFonts w:ascii="微软简仿宋" w:eastAsia="仿宋" w:hAnsi="微软简仿宋"/>
          <w:bCs/>
          <w:szCs w:val="21"/>
        </w:rPr>
      </w:pPr>
      <w:r>
        <w:rPr>
          <w:rFonts w:ascii="仿宋" w:eastAsia="仿宋" w:hAnsi="仿宋" w:hint="eastAsia"/>
        </w:rPr>
        <w:t>在暂停赎回的情形消除时，</w:t>
      </w:r>
      <w:r>
        <w:rPr>
          <w:rFonts w:ascii="仿宋" w:eastAsia="仿宋" w:hAnsi="仿宋"/>
        </w:rPr>
        <w:t>管理人</w:t>
      </w:r>
      <w:r>
        <w:rPr>
          <w:rFonts w:ascii="仿宋" w:eastAsia="仿宋" w:hAnsi="仿宋" w:hint="eastAsia"/>
        </w:rPr>
        <w:t>将及时恢复办理赎回业务并公告。</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六</w:t>
      </w:r>
      <w:r>
        <w:rPr>
          <w:rFonts w:ascii="Times New Roman" w:eastAsia="黑体" w:cs="Times New Roman"/>
          <w:b/>
          <w:color w:val="auto"/>
        </w:rPr>
        <w:t>、</w:t>
      </w:r>
      <w:r>
        <w:rPr>
          <w:rFonts w:ascii="Times New Roman" w:eastAsia="黑体" w:cs="Times New Roman" w:hint="eastAsia"/>
          <w:b/>
          <w:color w:val="auto"/>
        </w:rPr>
        <w:t>收益示例</w:t>
      </w:r>
    </w:p>
    <w:p w:rsidR="00B169E1" w:rsidRDefault="00B169E1" w:rsidP="00B169E1">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例1：假设客户持有的本理财产品份额为200,000份，在开放日赎回100,000份，则：若根据前述超额管理费条款，管理人收取超额管理费，且扣除超额管理费后的产品开放日份额净值为1.1800，则客户获得的赎回金额为：100,000*1.1800=118,000.00元。</w:t>
      </w:r>
    </w:p>
    <w:p w:rsidR="00B169E1" w:rsidRDefault="00B169E1" w:rsidP="00B169E1">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若根据前述超额管理费条款，管理人不收取超额管理费，且产品开放日份额净值为1.0700，则客户获得的赎回金额为：100,000*1.0700=107,000.00元。</w:t>
      </w:r>
    </w:p>
    <w:p w:rsidR="00B169E1" w:rsidRDefault="00B169E1" w:rsidP="00B169E1">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若根据前述超额管理费条款，管理人不收取超额管理费，且产品开放日份额净值为0.9980，则客户获得赎回金额为：100,000*0.9980=99,800.00元。</w:t>
      </w:r>
    </w:p>
    <w:p w:rsidR="0092528D" w:rsidRDefault="00B169E1" w:rsidP="00B169E1">
      <w:pPr>
        <w:widowControl/>
        <w:adjustRightInd w:val="0"/>
        <w:snapToGrid w:val="0"/>
        <w:spacing w:line="276" w:lineRule="auto"/>
        <w:ind w:firstLineChars="200" w:firstLine="480"/>
        <w:contextualSpacing/>
        <w:rPr>
          <w:rFonts w:ascii="仿宋" w:eastAsia="仿宋" w:hAnsi="仿宋"/>
          <w:sz w:val="24"/>
        </w:rPr>
      </w:pPr>
      <w:r>
        <w:rPr>
          <w:rFonts w:ascii="仿宋" w:eastAsia="仿宋" w:hAnsi="仿宋" w:cs="宋体" w:hint="eastAsia"/>
          <w:color w:val="000000"/>
          <w:kern w:val="0"/>
          <w:sz w:val="24"/>
        </w:rPr>
        <w:t>例2：客户在本理财产品的开放日申请购买了100,000元的本理财产品，如购买当日产品的份额净值为1.0110，则该笔购买申请确认后，该笔购买申请对应的理财产品份额为：100,000/1.0110=98,911.9</w:t>
      </w:r>
      <w:r w:rsidR="00D06F7A">
        <w:rPr>
          <w:rFonts w:ascii="仿宋" w:eastAsia="仿宋" w:hAnsi="仿宋" w:cs="宋体"/>
          <w:color w:val="000000"/>
          <w:kern w:val="0"/>
          <w:sz w:val="24"/>
        </w:rPr>
        <w:t>7</w:t>
      </w:r>
      <w:r>
        <w:rPr>
          <w:rFonts w:ascii="仿宋" w:eastAsia="仿宋" w:hAnsi="仿宋" w:cs="宋体" w:hint="eastAsia"/>
          <w:color w:val="000000"/>
          <w:kern w:val="0"/>
          <w:sz w:val="24"/>
        </w:rPr>
        <w:t>份</w:t>
      </w:r>
      <w:r w:rsidR="0092528D">
        <w:rPr>
          <w:rFonts w:ascii="仿宋" w:eastAsia="仿宋" w:hAnsi="仿宋" w:hint="eastAsia"/>
          <w:b/>
          <w:bCs/>
          <w:sz w:val="24"/>
        </w:rPr>
        <w:t>。</w:t>
      </w:r>
    </w:p>
    <w:p w:rsidR="0092528D" w:rsidRDefault="0092528D">
      <w:pPr>
        <w:autoSpaceDE w:val="0"/>
        <w:autoSpaceDN w:val="0"/>
        <w:adjustRightInd w:val="0"/>
        <w:snapToGrid w:val="0"/>
        <w:spacing w:line="276" w:lineRule="auto"/>
        <w:ind w:firstLineChars="200" w:firstLine="482"/>
        <w:contextualSpacing/>
        <w:rPr>
          <w:rFonts w:eastAsia="黑体"/>
          <w:b/>
          <w:sz w:val="24"/>
        </w:rPr>
      </w:pPr>
      <w:r>
        <w:rPr>
          <w:rFonts w:eastAsia="黑体" w:hint="eastAsia"/>
          <w:b/>
          <w:sz w:val="24"/>
        </w:rPr>
        <w:t>上述理财产品收益分析及计算中所采用的全部为模拟数据，仅供参考，不代表本理财产品实际收益水平。收益示例不等于实际收益，投资须谨慎。</w:t>
      </w:r>
    </w:p>
    <w:p w:rsidR="0092528D" w:rsidRDefault="0092528D">
      <w:pPr>
        <w:autoSpaceDE w:val="0"/>
        <w:autoSpaceDN w:val="0"/>
        <w:adjustRightInd w:val="0"/>
        <w:snapToGrid w:val="0"/>
        <w:spacing w:line="276" w:lineRule="auto"/>
        <w:ind w:firstLineChars="200" w:firstLine="482"/>
        <w:contextualSpacing/>
        <w:rPr>
          <w:rFonts w:eastAsia="黑体"/>
          <w:b/>
          <w:sz w:val="24"/>
        </w:rPr>
      </w:pPr>
      <w:r>
        <w:rPr>
          <w:rFonts w:eastAsia="黑体" w:hint="eastAsia"/>
          <w:b/>
          <w:sz w:val="24"/>
        </w:rPr>
        <w:t>华夏理财郑重提示：本理财产品是非保本浮动收益净值型理财产品，不保证理财本金和收益。投资者的本金和收益可能会因市场变动等原因而蒙受损失。投资者应充分认识投资风险，谨慎投资。</w:t>
      </w:r>
    </w:p>
    <w:p w:rsidR="0092528D" w:rsidRDefault="0092528D">
      <w:pPr>
        <w:autoSpaceDE w:val="0"/>
        <w:autoSpaceDN w:val="0"/>
        <w:adjustRightInd w:val="0"/>
        <w:snapToGrid w:val="0"/>
        <w:spacing w:line="276" w:lineRule="auto"/>
        <w:ind w:firstLineChars="200" w:firstLine="482"/>
        <w:contextualSpacing/>
        <w:rPr>
          <w:rFonts w:eastAsia="黑体"/>
          <w:b/>
          <w:color w:val="000000"/>
          <w:sz w:val="24"/>
        </w:rPr>
      </w:pPr>
      <w:r>
        <w:rPr>
          <w:rFonts w:eastAsia="黑体" w:hint="eastAsia"/>
          <w:b/>
          <w:color w:val="000000"/>
          <w:sz w:val="24"/>
        </w:rPr>
        <w:t>最不利的投资情形：如果本理财产品投资组合内所配置资产发生损失，则投资者可能无法获得理财产品投资收益，甚至损失全部理财本金，投资者应在对此风险有充分认识基础上谨慎投资。</w:t>
      </w:r>
    </w:p>
    <w:p w:rsidR="0092528D" w:rsidRDefault="0092528D" w:rsidP="00BE7E09">
      <w:pPr>
        <w:autoSpaceDE w:val="0"/>
        <w:autoSpaceDN w:val="0"/>
        <w:adjustRightInd w:val="0"/>
        <w:snapToGrid w:val="0"/>
        <w:spacing w:line="276" w:lineRule="auto"/>
        <w:ind w:firstLineChars="200" w:firstLine="482"/>
        <w:contextualSpacing/>
        <w:rPr>
          <w:rFonts w:eastAsia="黑体"/>
          <w:b/>
        </w:rPr>
      </w:pPr>
      <w:r>
        <w:rPr>
          <w:rFonts w:eastAsia="黑体" w:hint="eastAsia"/>
          <w:b/>
          <w:color w:val="000000"/>
          <w:sz w:val="24"/>
        </w:rPr>
        <w:t>本产品说明书中的任何业绩比较基准、收益示例或类似表述均不具有法律约束力，不代表投资者可能获得的实际收益，亦不构成华夏理财</w:t>
      </w:r>
      <w:r>
        <w:rPr>
          <w:rFonts w:eastAsia="黑体" w:hint="eastAsia"/>
          <w:b/>
          <w:color w:val="000000"/>
          <w:sz w:val="24"/>
        </w:rPr>
        <w:t>/</w:t>
      </w:r>
      <w:r>
        <w:rPr>
          <w:rFonts w:eastAsia="黑体" w:hint="eastAsia"/>
          <w:b/>
          <w:color w:val="000000"/>
          <w:sz w:val="24"/>
        </w:rPr>
        <w:t>代销机构对本理财产品的任何收益承诺。</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七</w:t>
      </w:r>
      <w:r>
        <w:rPr>
          <w:rFonts w:ascii="Times New Roman" w:eastAsia="黑体" w:cs="Times New Roman"/>
          <w:b/>
          <w:color w:val="auto"/>
        </w:rPr>
        <w:t>、理财产品估值</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color w:val="000000"/>
          <w:kern w:val="0"/>
          <w:sz w:val="24"/>
        </w:rPr>
      </w:pPr>
      <w:r>
        <w:rPr>
          <w:rFonts w:ascii="仿宋" w:eastAsia="仿宋" w:hAnsi="仿宋" w:cs="宋体" w:hint="eastAsia"/>
          <w:color w:val="000000"/>
          <w:kern w:val="0"/>
          <w:sz w:val="24"/>
        </w:rPr>
        <w:t>（一）估值对象</w:t>
      </w:r>
    </w:p>
    <w:p w:rsidR="0092528D" w:rsidRDefault="00826F03">
      <w:pPr>
        <w:pStyle w:val="Default"/>
        <w:snapToGrid w:val="0"/>
        <w:spacing w:line="276" w:lineRule="auto"/>
        <w:ind w:firstLineChars="200" w:firstLine="480"/>
        <w:contextualSpacing/>
        <w:rPr>
          <w:rFonts w:ascii="仿宋" w:eastAsia="仿宋" w:hAnsi="仿宋"/>
        </w:rPr>
      </w:pPr>
      <w:r>
        <w:rPr>
          <w:rFonts w:ascii="仿宋" w:eastAsia="仿宋" w:hAnsi="仿宋" w:hint="eastAsia"/>
        </w:rPr>
        <w:t>本理财产品所投资的银行存款、货币市场工具、债券等标准化债权类资产以及资产管理产品等资产</w:t>
      </w:r>
      <w:r w:rsidR="0092528D">
        <w:rPr>
          <w:rFonts w:ascii="仿宋" w:eastAsia="仿宋" w:hAnsi="仿宋" w:hint="eastAsia"/>
        </w:rPr>
        <w:t>。</w:t>
      </w:r>
    </w:p>
    <w:p w:rsidR="0092528D" w:rsidRDefault="0092528D">
      <w:pPr>
        <w:pStyle w:val="Default"/>
        <w:snapToGrid w:val="0"/>
        <w:spacing w:line="276" w:lineRule="auto"/>
        <w:ind w:firstLineChars="200" w:firstLine="480"/>
        <w:contextualSpacing/>
        <w:outlineLvl w:val="1"/>
        <w:rPr>
          <w:rFonts w:ascii="仿宋" w:eastAsia="仿宋" w:hAnsi="仿宋"/>
          <w:color w:val="auto"/>
        </w:rPr>
      </w:pPr>
      <w:r>
        <w:rPr>
          <w:rFonts w:ascii="仿宋" w:eastAsia="仿宋" w:hAnsi="仿宋" w:hint="eastAsia"/>
          <w:color w:val="auto"/>
        </w:rPr>
        <w:t>（二）估值原则</w:t>
      </w:r>
    </w:p>
    <w:p w:rsidR="0092528D" w:rsidRDefault="00A403DC">
      <w:pPr>
        <w:pStyle w:val="Default"/>
        <w:snapToGrid w:val="0"/>
        <w:spacing w:line="276" w:lineRule="auto"/>
        <w:ind w:firstLineChars="200" w:firstLine="480"/>
        <w:contextualSpacing/>
        <w:rPr>
          <w:rFonts w:ascii="仿宋" w:eastAsia="仿宋" w:hAnsi="仿宋"/>
        </w:rPr>
      </w:pPr>
      <w:r>
        <w:rPr>
          <w:rFonts w:ascii="仿宋" w:eastAsia="仿宋" w:hAnsi="仿宋" w:hint="eastAsia"/>
          <w:color w:val="auto"/>
        </w:rPr>
        <w:t>理财</w:t>
      </w:r>
      <w:r>
        <w:rPr>
          <w:rFonts w:ascii="仿宋" w:eastAsia="仿宋" w:hAnsi="仿宋"/>
          <w:color w:val="auto"/>
        </w:rPr>
        <w:t>产品估值的目的是公允、合理地反映理财产品的价值</w:t>
      </w:r>
      <w:r>
        <w:rPr>
          <w:rFonts w:ascii="仿宋" w:eastAsia="仿宋" w:hAnsi="仿宋" w:hint="eastAsia"/>
          <w:color w:val="auto"/>
        </w:rPr>
        <w:t>。估值</w:t>
      </w:r>
      <w:r>
        <w:rPr>
          <w:rFonts w:ascii="仿宋" w:eastAsia="仿宋" w:hAnsi="仿宋"/>
          <w:color w:val="auto"/>
        </w:rPr>
        <w:t>中坚持公允价值计量原则。金融</w:t>
      </w:r>
      <w:r>
        <w:rPr>
          <w:rFonts w:ascii="仿宋" w:eastAsia="仿宋" w:hAnsi="仿宋" w:hint="eastAsia"/>
          <w:color w:val="auto"/>
        </w:rPr>
        <w:t>资产</w:t>
      </w:r>
      <w:r>
        <w:rPr>
          <w:rFonts w:ascii="仿宋" w:eastAsia="仿宋" w:hAnsi="仿宋"/>
          <w:color w:val="auto"/>
        </w:rPr>
        <w:t>的公允价值确定方法应与理财产品的类型相匹配。</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color w:val="000000"/>
          <w:kern w:val="0"/>
          <w:sz w:val="24"/>
        </w:rPr>
      </w:pPr>
      <w:r>
        <w:rPr>
          <w:rFonts w:ascii="仿宋" w:eastAsia="仿宋" w:hAnsi="仿宋" w:cs="宋体" w:hint="eastAsia"/>
          <w:color w:val="000000"/>
          <w:kern w:val="0"/>
          <w:sz w:val="24"/>
        </w:rPr>
        <w:lastRenderedPageBreak/>
        <w:t>（三）估值方法</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1.证券交易所上市的有价证券</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2）在交易所上市交易或挂牌转让的固定收益品种，采用中证指数有限公司提供的估值价确定公允价值。若中证指数有限公司未提供价格数据，应采用估值技术确认公允价值，或者采用管理人和托管人共同认可的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在交易所市场上市的含有转股权的债券（如可转换债券、可交换债券等）等，选取每日收盘价减去所含的应收利息得到的净价进行估值。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2.处于未上市期间的有价证券应区分如下情况处理：</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（1）送股、转增股、配股和公开增发的新股，按估值日在证券交易所挂牌的同一股票的市价（收盘价）估值；该日无交易的，以最近一日的市价（收盘价）估值；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（2）首次公开发行未上市的股票、债券和权证，采用估值技术确定公允价值，在估值技术难以可靠计量公允价值的情况下，采用管理人和托管人共同认可的第三方机构提供的估值，或双方共同认可的估值；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（3）优先股采用估值技术确认公允价值，在估值技术难以可靠计量公允价值的情况下，采用管理人和托管人共同认可的第三方机构提供的估值，或双方共同认可的估值；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4）流通受限股票，包括但不限于非公开发行股票、公开发行有一定锁定期的股票、首次公开发行股票时公司股东公开发售股份、通过大宗交易取得的带限售期的股票等，不包括停牌、新发行未上市、回购交易中的质押</w:t>
      </w:r>
      <w:proofErr w:type="gramStart"/>
      <w:r>
        <w:rPr>
          <w:rFonts w:ascii="仿宋" w:eastAsia="仿宋" w:hAnsi="仿宋" w:cs="宋体" w:hint="eastAsia"/>
          <w:color w:val="000000"/>
          <w:kern w:val="0"/>
          <w:sz w:val="24"/>
        </w:rPr>
        <w:t>券</w:t>
      </w:r>
      <w:proofErr w:type="gramEnd"/>
      <w:r>
        <w:rPr>
          <w:rFonts w:ascii="仿宋" w:eastAsia="仿宋" w:hAnsi="仿宋" w:cs="宋体" w:hint="eastAsia"/>
          <w:color w:val="000000"/>
          <w:kern w:val="0"/>
          <w:sz w:val="24"/>
        </w:rPr>
        <w:t>等流通受限股票，应以证券交易所上市交易的同一股票的公允价值为基础，引入第三方机构提供的流动性折扣进行估值。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3.全国银行间债券市场交易的债券、资产支持证券等固定收益品种，采用中</w:t>
      </w:r>
      <w:proofErr w:type="gramStart"/>
      <w:r>
        <w:rPr>
          <w:rFonts w:ascii="仿宋" w:eastAsia="仿宋" w:hAnsi="仿宋" w:cs="宋体" w:hint="eastAsia"/>
          <w:color w:val="000000"/>
          <w:kern w:val="0"/>
          <w:sz w:val="24"/>
        </w:rPr>
        <w:t>债金融</w:t>
      </w:r>
      <w:proofErr w:type="gramEnd"/>
      <w:r>
        <w:rPr>
          <w:rFonts w:ascii="仿宋" w:eastAsia="仿宋" w:hAnsi="仿宋" w:cs="宋体" w:hint="eastAsia"/>
          <w:color w:val="000000"/>
          <w:kern w:val="0"/>
          <w:sz w:val="24"/>
        </w:rPr>
        <w:t>估值中心有限公司提供的估值价确定公允价值。若中</w:t>
      </w:r>
      <w:proofErr w:type="gramStart"/>
      <w:r>
        <w:rPr>
          <w:rFonts w:ascii="仿宋" w:eastAsia="仿宋" w:hAnsi="仿宋" w:cs="宋体" w:hint="eastAsia"/>
          <w:color w:val="000000"/>
          <w:kern w:val="0"/>
          <w:sz w:val="24"/>
        </w:rPr>
        <w:t>债金融</w:t>
      </w:r>
      <w:proofErr w:type="gramEnd"/>
      <w:r>
        <w:rPr>
          <w:rFonts w:ascii="仿宋" w:eastAsia="仿宋" w:hAnsi="仿宋" w:cs="宋体" w:hint="eastAsia"/>
          <w:color w:val="000000"/>
          <w:kern w:val="0"/>
          <w:sz w:val="24"/>
        </w:rPr>
        <w:t>估值中心有限公司未提供价格数据，应采用估值技术确认公允价值，或者管理人和托管人共同认可的估值。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4.同一债券同时在两个或两个以上市场交易的，按债券所处的市场分别估值。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5.证券投资基金的估值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w:t>
      </w:r>
      <w:proofErr w:type="gramStart"/>
      <w:r>
        <w:rPr>
          <w:rFonts w:ascii="仿宋" w:eastAsia="仿宋" w:hAnsi="仿宋" w:cs="宋体" w:hint="eastAsia"/>
          <w:color w:val="000000"/>
          <w:kern w:val="0"/>
          <w:sz w:val="24"/>
        </w:rPr>
        <w:t>场外申赎</w:t>
      </w:r>
      <w:proofErr w:type="gramEnd"/>
      <w:r>
        <w:rPr>
          <w:rFonts w:ascii="仿宋" w:eastAsia="仿宋" w:hAnsi="仿宋" w:cs="宋体" w:hint="eastAsia"/>
          <w:color w:val="000000"/>
          <w:kern w:val="0"/>
          <w:sz w:val="24"/>
        </w:rPr>
        <w:t>的开放式基金（包括上市开放式基金LOF）以估值日前一交易日基金净值估值，估值日前一交易日开放式基金份额净值未公布的，以此前最近一个交易日基金份额净值计算；</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lastRenderedPageBreak/>
        <w:t>（2）上市流通的证券投资基金（包括场内买入的ETF、封闭式基金、上市定期开放式基金）按估值日其所在证券交易所的收盘价估值；估值日无交易的，以最近一个交易日的收盘价估值；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（3）货币基金按前一估值日后至估值日期间（含节假日）发布的万份收益计提估值日收益。</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6.银行存款（活期、定期）及证券资金账户存款以本金列示，按照约定利率在持有期内逐日计提应收利息，在利息到账日以实收利息入账。</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7.债券回购和具有固定回报的买入返售金融资产：以买入/外放成本列示，按约定收益率逐日计提收益。</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8.期货以估值日期货交易所的当日结算价估值，估值当日无结算价的，且最近交易日后经济环境未发生重大变化的，采用最近交易日结算价估值。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9.汇率估值方法</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若沪港通和深港通估值计算中涉及港币的，将以中国人民银行授权中国外汇交易中心估值日公布的港币对人民币汇率中间价估值。涉及其他货币的，如中国人民银行授权中国外汇交易中心估值日提供了该币种兑人民币的汇率，则取该汇率，如未有提供，以双方协商一致的原则确定汇率。</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10.场内期权以估值日交易所的结算价估值，该日无交易的，以最近一日的结算价为准。</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11.非标准化债权类资产采用估值技术确认公允价值，在估值技术难以可靠计量公允价值的情况下，按照管理人和托管人共同认可的估值。</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12.本系列产品所投资的资产管理产品以估值日公布的产品单位净值进行估值，估值</w:t>
      </w:r>
      <w:proofErr w:type="gramStart"/>
      <w:r>
        <w:rPr>
          <w:rFonts w:ascii="仿宋" w:eastAsia="仿宋" w:hAnsi="仿宋" w:cs="宋体" w:hint="eastAsia"/>
          <w:color w:val="000000"/>
          <w:kern w:val="0"/>
          <w:sz w:val="24"/>
        </w:rPr>
        <w:t>日产品</w:t>
      </w:r>
      <w:proofErr w:type="gramEnd"/>
      <w:r>
        <w:rPr>
          <w:rFonts w:ascii="仿宋" w:eastAsia="仿宋" w:hAnsi="仿宋" w:cs="宋体" w:hint="eastAsia"/>
          <w:color w:val="000000"/>
          <w:kern w:val="0"/>
          <w:sz w:val="24"/>
        </w:rPr>
        <w:t>单位净值未公布的，以最近一个工作日产品单位净值计算。</w:t>
      </w:r>
    </w:p>
    <w:p w:rsidR="00315EF2" w:rsidRDefault="00315EF2" w:rsidP="00315EF2">
      <w:pPr>
        <w:widowControl/>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13.相关法律法规以及监管部门有强制规定的，从其规定。如有新增事项或变更事项，依法按最新规定计算。没有相关规定的，由产品管理人与托管人协商确定计算方法。</w:t>
      </w:r>
    </w:p>
    <w:p w:rsidR="0092528D" w:rsidRDefault="00315EF2" w:rsidP="00315EF2">
      <w:pPr>
        <w:pStyle w:val="Default"/>
        <w:snapToGrid w:val="0"/>
        <w:spacing w:line="276" w:lineRule="auto"/>
        <w:ind w:firstLineChars="200" w:firstLine="480"/>
        <w:contextualSpacing/>
        <w:rPr>
          <w:rFonts w:ascii="仿宋" w:eastAsia="仿宋" w:hAnsi="仿宋"/>
        </w:rPr>
      </w:pPr>
      <w:r>
        <w:rPr>
          <w:rFonts w:ascii="仿宋" w:eastAsia="仿宋" w:hAnsi="仿宋" w:hint="eastAsia"/>
        </w:rPr>
        <w:t>14.如有确凿证据表明按上述规定不能客观反映理财产品财产公允价值的，产品管理人可根据具体情况，在与托管人商议后，按最能反映理财产品财产公允价值的方法估值。即使存在上述情况，产品管理人或托管人若采用上述规定的方法为理财产品财产进行了估值，仍应被认为采用了适当的估值方法。</w:t>
      </w:r>
    </w:p>
    <w:p w:rsidR="0092528D" w:rsidRDefault="0092528D">
      <w:pPr>
        <w:pStyle w:val="Default"/>
        <w:snapToGrid w:val="0"/>
        <w:spacing w:line="276" w:lineRule="auto"/>
        <w:ind w:firstLineChars="200" w:firstLine="482"/>
        <w:contextualSpacing/>
        <w:rPr>
          <w:rFonts w:ascii="仿宋" w:eastAsia="仿宋" w:hAnsi="仿宋"/>
        </w:rPr>
      </w:pPr>
      <w:r>
        <w:rPr>
          <w:rFonts w:ascii="仿宋" w:eastAsia="仿宋" w:hAnsi="仿宋" w:hint="eastAsia"/>
          <w:b/>
          <w:bCs/>
        </w:rPr>
        <w:t>以上“理财产品估值”章节所列的投资品种不代表本理财产品的实际投资范围，本产品实际可投资范围以本产品说明书“投资对象”章节列示为准。</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color w:val="000000"/>
          <w:kern w:val="0"/>
          <w:sz w:val="24"/>
        </w:rPr>
      </w:pPr>
      <w:r>
        <w:rPr>
          <w:rFonts w:ascii="仿宋" w:eastAsia="仿宋" w:hAnsi="仿宋" w:cs="宋体" w:hint="eastAsia"/>
          <w:color w:val="000000"/>
          <w:kern w:val="0"/>
          <w:sz w:val="24"/>
        </w:rPr>
        <w:t>（四）暂停</w:t>
      </w:r>
      <w:r>
        <w:rPr>
          <w:rFonts w:ascii="仿宋" w:eastAsia="仿宋" w:hAnsi="仿宋" w:cs="宋体"/>
          <w:color w:val="000000"/>
          <w:kern w:val="0"/>
          <w:sz w:val="24"/>
        </w:rPr>
        <w:t>估值</w:t>
      </w:r>
    </w:p>
    <w:p w:rsidR="0092528D" w:rsidRDefault="0092528D">
      <w:pPr>
        <w:pStyle w:val="Default"/>
        <w:snapToGrid w:val="0"/>
        <w:spacing w:line="276" w:lineRule="auto"/>
        <w:ind w:firstLine="482"/>
        <w:contextualSpacing/>
        <w:rPr>
          <w:rFonts w:ascii="仿宋" w:eastAsia="仿宋" w:hAnsi="仿宋"/>
          <w:b/>
          <w:bCs/>
        </w:rPr>
      </w:pPr>
      <w:r>
        <w:rPr>
          <w:rFonts w:ascii="仿宋" w:eastAsia="仿宋" w:hAnsi="仿宋" w:hint="eastAsia"/>
          <w:b/>
          <w:bCs/>
        </w:rPr>
        <w:t>在发生下列情形之一的，管理人可以暂停本理财产品估值：</w:t>
      </w:r>
    </w:p>
    <w:p w:rsidR="0092528D" w:rsidRDefault="0092528D">
      <w:pPr>
        <w:pStyle w:val="Default"/>
        <w:snapToGrid w:val="0"/>
        <w:spacing w:line="276" w:lineRule="auto"/>
        <w:ind w:firstLineChars="200" w:firstLine="480"/>
        <w:contextualSpacing/>
        <w:rPr>
          <w:rFonts w:ascii="仿宋" w:eastAsia="仿宋" w:hAnsi="仿宋"/>
        </w:rPr>
      </w:pPr>
      <w:r>
        <w:rPr>
          <w:rFonts w:ascii="仿宋" w:eastAsia="仿宋" w:hAnsi="仿宋" w:hint="eastAsia"/>
        </w:rPr>
        <w:t>1.理财产品投资所涉及的市场遇法定节假日或因其他原因暂停营业。</w:t>
      </w:r>
    </w:p>
    <w:p w:rsidR="0092528D" w:rsidRDefault="0092528D">
      <w:pPr>
        <w:pStyle w:val="Default"/>
        <w:snapToGrid w:val="0"/>
        <w:spacing w:line="276" w:lineRule="auto"/>
        <w:ind w:firstLineChars="200" w:firstLine="480"/>
        <w:contextualSpacing/>
        <w:rPr>
          <w:rFonts w:ascii="仿宋" w:eastAsia="仿宋" w:hAnsi="仿宋"/>
        </w:rPr>
      </w:pPr>
      <w:r>
        <w:rPr>
          <w:rFonts w:ascii="仿宋" w:eastAsia="仿宋" w:hAnsi="仿宋" w:hint="eastAsia"/>
        </w:rPr>
        <w:t>2.因不可抗力或其他情形致使管理人、托管人无法准确评估资产价值。</w:t>
      </w:r>
    </w:p>
    <w:p w:rsidR="0092528D" w:rsidRDefault="0092528D">
      <w:pPr>
        <w:pStyle w:val="Default"/>
        <w:snapToGrid w:val="0"/>
        <w:spacing w:line="276" w:lineRule="auto"/>
        <w:ind w:firstLineChars="200" w:firstLine="480"/>
        <w:contextualSpacing/>
        <w:rPr>
          <w:rFonts w:ascii="仿宋" w:eastAsia="仿宋" w:hAnsi="仿宋"/>
        </w:rPr>
      </w:pPr>
      <w:r>
        <w:rPr>
          <w:rFonts w:ascii="仿宋" w:eastAsia="仿宋" w:hAnsi="仿宋" w:hint="eastAsia"/>
        </w:rPr>
        <w:t>3.占前一估值</w:t>
      </w:r>
      <w:proofErr w:type="gramStart"/>
      <w:r>
        <w:rPr>
          <w:rFonts w:ascii="仿宋" w:eastAsia="仿宋" w:hAnsi="仿宋" w:hint="eastAsia"/>
        </w:rPr>
        <w:t>日资产</w:t>
      </w:r>
      <w:proofErr w:type="gramEnd"/>
      <w:r>
        <w:rPr>
          <w:rFonts w:ascii="仿宋" w:eastAsia="仿宋" w:hAnsi="仿宋" w:hint="eastAsia"/>
        </w:rPr>
        <w:t>净值50%以上的资产不具备活跃交易市场或者在活跃市场中无报价且采用估值技术</w:t>
      </w:r>
      <w:proofErr w:type="gramStart"/>
      <w:r>
        <w:rPr>
          <w:rFonts w:ascii="仿宋" w:eastAsia="仿宋" w:hAnsi="仿宋" w:hint="eastAsia"/>
        </w:rPr>
        <w:t>仍导致</w:t>
      </w:r>
      <w:proofErr w:type="gramEnd"/>
      <w:r>
        <w:rPr>
          <w:rFonts w:ascii="仿宋" w:eastAsia="仿宋" w:hAnsi="仿宋" w:hint="eastAsia"/>
        </w:rPr>
        <w:t>公允价值存在重大不确定性时，管理人为保障投资者的利益，经与托管人协商一致，理财产品应当暂停估值。</w:t>
      </w:r>
    </w:p>
    <w:p w:rsidR="0092528D" w:rsidRDefault="0092528D" w:rsidP="00A12304">
      <w:pPr>
        <w:pStyle w:val="Default"/>
        <w:snapToGrid w:val="0"/>
        <w:spacing w:line="276" w:lineRule="auto"/>
        <w:ind w:firstLineChars="200" w:firstLine="480"/>
        <w:contextualSpacing/>
        <w:rPr>
          <w:rFonts w:ascii="仿宋" w:eastAsia="仿宋" w:hAnsi="仿宋"/>
        </w:rPr>
      </w:pPr>
      <w:r>
        <w:rPr>
          <w:rFonts w:ascii="仿宋" w:eastAsia="仿宋" w:hAnsi="仿宋" w:hint="eastAsia"/>
        </w:rPr>
        <w:t>4.监管机构认定或管理人、托管人有合理理由认为将影响本理财产品估值的</w:t>
      </w:r>
      <w:r>
        <w:rPr>
          <w:rFonts w:ascii="仿宋" w:eastAsia="仿宋" w:hAnsi="仿宋" w:hint="eastAsia"/>
        </w:rPr>
        <w:lastRenderedPageBreak/>
        <w:t>其它情形。</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color w:val="000000"/>
          <w:kern w:val="0"/>
          <w:sz w:val="24"/>
        </w:rPr>
      </w:pPr>
      <w:r>
        <w:rPr>
          <w:rFonts w:ascii="仿宋" w:eastAsia="仿宋" w:hAnsi="仿宋" w:cs="宋体" w:hint="eastAsia"/>
          <w:color w:val="000000"/>
          <w:kern w:val="0"/>
          <w:sz w:val="24"/>
        </w:rPr>
        <w:t>（五）</w:t>
      </w:r>
      <w:r>
        <w:rPr>
          <w:rFonts w:ascii="仿宋" w:eastAsia="仿宋" w:hAnsi="仿宋" w:cs="宋体"/>
          <w:color w:val="000000"/>
          <w:kern w:val="0"/>
          <w:sz w:val="24"/>
        </w:rPr>
        <w:t>估值</w:t>
      </w:r>
      <w:r>
        <w:rPr>
          <w:rFonts w:ascii="仿宋" w:eastAsia="仿宋" w:hAnsi="仿宋" w:cs="宋体" w:hint="eastAsia"/>
          <w:color w:val="000000"/>
          <w:kern w:val="0"/>
          <w:sz w:val="24"/>
        </w:rPr>
        <w:t>错误的</w:t>
      </w:r>
      <w:r>
        <w:rPr>
          <w:rFonts w:ascii="仿宋" w:eastAsia="仿宋" w:hAnsi="仿宋" w:cs="宋体"/>
          <w:color w:val="000000"/>
          <w:kern w:val="0"/>
          <w:sz w:val="24"/>
        </w:rPr>
        <w:t>处理</w:t>
      </w:r>
    </w:p>
    <w:p w:rsidR="0092528D" w:rsidRDefault="0092528D">
      <w:pPr>
        <w:pStyle w:val="Default"/>
        <w:snapToGrid w:val="0"/>
        <w:spacing w:line="276" w:lineRule="auto"/>
        <w:ind w:firstLineChars="200" w:firstLine="480"/>
        <w:contextualSpacing/>
        <w:rPr>
          <w:rFonts w:ascii="Times New Roman" w:eastAsia="黑体" w:cs="Times New Roman"/>
          <w:b/>
          <w:color w:val="auto"/>
        </w:rPr>
      </w:pPr>
      <w:r>
        <w:rPr>
          <w:rFonts w:ascii="仿宋" w:eastAsia="仿宋" w:hAnsi="仿宋" w:cs="仿宋" w:hint="eastAsia"/>
        </w:rPr>
        <w:t>管理人和托管人将采取必要、适当、合理的措施确保产品资产估值的准确性、及时性。当份额净值出现错误时，管理人应当立即予以纠正，并采取合理的措施防止损失进一步扩大；由此导致投资者遭受损失的，由估值错误责任方按照过错程度各自对该估值错误导致投资者遭受的直接损失承担赔偿责任。由于本理财产品估值所用的价格来源出现错误，或由于其它不可抗力原因，管理人和托管人虽然已经采取必要、适当、合理的措施进行检查，但是未能发现该错误的，由此造成的产品资产估值错误，管理人和托管人可以免除赔偿责任。但管理人和托管人应当积极采取必要的措施消除由此造成的影响。</w:t>
      </w:r>
      <w:r>
        <w:rPr>
          <w:rFonts w:ascii="仿宋" w:eastAsia="仿宋" w:hAnsi="仿宋" w:cs="仿宋" w:hint="eastAsia"/>
          <w:b/>
        </w:rPr>
        <w:t>当估值出现错误时，因估值错误而获得不当得利的投资者负有及时返还不当得利的义务。</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八、</w:t>
      </w:r>
      <w:r>
        <w:rPr>
          <w:rFonts w:ascii="Times New Roman" w:eastAsia="黑体" w:cs="Times New Roman"/>
          <w:b/>
          <w:color w:val="auto"/>
        </w:rPr>
        <w:t>风险揭示</w:t>
      </w:r>
    </w:p>
    <w:p w:rsidR="0092528D" w:rsidRDefault="0092528D">
      <w:pPr>
        <w:pStyle w:val="Default"/>
        <w:snapToGrid w:val="0"/>
        <w:spacing w:line="276" w:lineRule="auto"/>
        <w:ind w:firstLineChars="200" w:firstLine="480"/>
        <w:contextualSpacing/>
        <w:jc w:val="both"/>
        <w:rPr>
          <w:rFonts w:ascii="Times New Roman" w:eastAsia="黑体" w:cs="Times New Roman"/>
        </w:rPr>
      </w:pPr>
      <w:r>
        <w:rPr>
          <w:rFonts w:ascii="仿宋" w:eastAsia="仿宋" w:hAnsi="仿宋"/>
        </w:rPr>
        <w:t>本理财产品</w:t>
      </w:r>
      <w:r>
        <w:rPr>
          <w:rFonts w:ascii="仿宋" w:eastAsia="仿宋" w:hAnsi="仿宋" w:hint="eastAsia"/>
        </w:rPr>
        <w:t>为非保本浮动收益净值型</w:t>
      </w:r>
      <w:r>
        <w:rPr>
          <w:rFonts w:ascii="仿宋" w:eastAsia="仿宋" w:hAnsi="仿宋"/>
        </w:rPr>
        <w:t>理财产品，根据法律法规及监管要求的有关规定，特向</w:t>
      </w:r>
      <w:r>
        <w:rPr>
          <w:rFonts w:ascii="仿宋" w:eastAsia="仿宋" w:hAnsi="仿宋" w:hint="eastAsia"/>
        </w:rPr>
        <w:t>投资者</w:t>
      </w:r>
      <w:r>
        <w:rPr>
          <w:rFonts w:ascii="仿宋" w:eastAsia="仿宋" w:hAnsi="仿宋"/>
        </w:rPr>
        <w:t>提示如下：与银行存款比较，本理财产品存在投资风险，</w:t>
      </w:r>
      <w:r>
        <w:rPr>
          <w:rFonts w:ascii="仿宋" w:eastAsia="仿宋" w:hAnsi="仿宋" w:hint="eastAsia"/>
        </w:rPr>
        <w:t>投资者</w:t>
      </w:r>
      <w:r>
        <w:rPr>
          <w:rFonts w:ascii="仿宋" w:eastAsia="仿宋" w:hAnsi="仿宋"/>
        </w:rPr>
        <w:t>的本金和收益可能会因市场变动等原因而蒙受损失，</w:t>
      </w:r>
      <w:r>
        <w:rPr>
          <w:rFonts w:ascii="仿宋" w:eastAsia="仿宋" w:hAnsi="仿宋" w:hint="eastAsia"/>
        </w:rPr>
        <w:t>投资者</w:t>
      </w:r>
      <w:r>
        <w:rPr>
          <w:rFonts w:ascii="仿宋" w:eastAsia="仿宋" w:hAnsi="仿宋"/>
        </w:rPr>
        <w:t>应充分认识投资风险，谨慎投资。本理财产品可能面临的风险主要包括：</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rPr>
        <w:t>（一）本金及理财收益风险：本理财产品不保证本金及理财收益，理财产品收益来源于本理财产品项下投资组合的回报，容易受到企业信用状况变化、市场利率变化、</w:t>
      </w:r>
      <w:r>
        <w:rPr>
          <w:rFonts w:ascii="Times New Roman" w:eastAsia="黑体" w:cs="Times New Roman" w:hint="eastAsia"/>
          <w:b/>
          <w:color w:val="auto"/>
        </w:rPr>
        <w:t>汇率变化、</w:t>
      </w:r>
      <w:r>
        <w:rPr>
          <w:rFonts w:ascii="Times New Roman" w:eastAsia="黑体" w:cs="Times New Roman" w:hint="eastAsia"/>
          <w:b/>
        </w:rPr>
        <w:t>投资组合运作情况以及管理人投资能力等</w:t>
      </w:r>
      <w:r>
        <w:rPr>
          <w:rFonts w:ascii="Times New Roman" w:eastAsia="黑体" w:cs="Times New Roman"/>
          <w:b/>
        </w:rPr>
        <w:t>因素</w:t>
      </w:r>
      <w:r>
        <w:rPr>
          <w:rFonts w:ascii="Times New Roman" w:eastAsia="黑体" w:cs="Times New Roman" w:hint="eastAsia"/>
          <w:b/>
        </w:rPr>
        <w:t>的影响。在最不利的情况下，投资者可能无法获得理财产品投资收益，甚至损失全部理财本金，由此产生的风险由投资者自行承担。</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rPr>
        <w:t>（二）信用风险：如理财产品</w:t>
      </w:r>
      <w:bookmarkStart w:id="1" w:name="_Hlk76300274"/>
      <w:r>
        <w:rPr>
          <w:rFonts w:ascii="Times New Roman" w:eastAsia="黑体" w:cs="Times New Roman" w:hint="eastAsia"/>
          <w:b/>
          <w:color w:val="auto"/>
        </w:rPr>
        <w:t>所投资的资产</w:t>
      </w:r>
      <w:bookmarkEnd w:id="1"/>
      <w:r>
        <w:rPr>
          <w:rFonts w:ascii="Times New Roman" w:eastAsia="黑体" w:cs="Times New Roman" w:hint="eastAsia"/>
          <w:b/>
          <w:color w:val="auto"/>
        </w:rPr>
        <w:t>发行人、</w:t>
      </w:r>
      <w:r>
        <w:rPr>
          <w:rFonts w:ascii="Times New Roman" w:eastAsia="黑体" w:cs="Times New Roman" w:hint="eastAsia"/>
          <w:b/>
        </w:rPr>
        <w:t>资产管理计划管理人、信托受托人、债务人、担保人（如有）等相关主体发生违约，可能导致无法按时支付本金及理财收益，进而导致本理财产品收益为零甚至本金遭受损失。</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b/>
        </w:rPr>
        <w:t>（三）市场风险：本理财产品为非保本浮动收益净值型理财产品，不排除因</w:t>
      </w:r>
      <w:r>
        <w:rPr>
          <w:rFonts w:ascii="Times New Roman" w:eastAsia="黑体" w:cs="Times New Roman" w:hint="eastAsia"/>
          <w:b/>
        </w:rPr>
        <w:t>资产</w:t>
      </w:r>
      <w:r>
        <w:rPr>
          <w:rFonts w:ascii="Times New Roman" w:eastAsia="黑体" w:cs="Times New Roman"/>
          <w:b/>
        </w:rPr>
        <w:t>价格、利率、信用</w:t>
      </w:r>
      <w:r>
        <w:rPr>
          <w:rFonts w:ascii="Times New Roman" w:eastAsia="黑体" w:cs="Times New Roman" w:hint="eastAsia"/>
          <w:b/>
          <w:color w:val="auto"/>
        </w:rPr>
        <w:t>、汇率</w:t>
      </w:r>
      <w:r>
        <w:rPr>
          <w:rFonts w:ascii="Times New Roman" w:eastAsia="黑体" w:cs="Times New Roman"/>
          <w:b/>
        </w:rPr>
        <w:t>以及国家政策等的变动导致本理财产品净值遭受损失的可能。</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rPr>
        <w:t>（四）流动性风险：</w:t>
      </w:r>
      <w:r>
        <w:rPr>
          <w:rFonts w:ascii="Times New Roman" w:eastAsia="黑体" w:cs="Times New Roman"/>
          <w:b/>
        </w:rPr>
        <w:t>本理财产品为</w:t>
      </w:r>
      <w:r>
        <w:rPr>
          <w:rFonts w:ascii="Times New Roman" w:eastAsia="黑体" w:cs="Times New Roman" w:hint="eastAsia"/>
          <w:b/>
        </w:rPr>
        <w:t>开放式</w:t>
      </w:r>
      <w:r>
        <w:rPr>
          <w:rFonts w:ascii="Times New Roman" w:eastAsia="黑体" w:cs="Times New Roman"/>
          <w:b/>
        </w:rPr>
        <w:t>净值型理财产品，投资者无权随时终止</w:t>
      </w:r>
      <w:r>
        <w:rPr>
          <w:rFonts w:ascii="Times New Roman" w:eastAsia="黑体" w:cs="Times New Roman" w:hint="eastAsia"/>
          <w:b/>
        </w:rPr>
        <w:t>本</w:t>
      </w:r>
      <w:r>
        <w:rPr>
          <w:rFonts w:ascii="Times New Roman" w:eastAsia="黑体" w:cs="Times New Roman"/>
          <w:b/>
        </w:rPr>
        <w:t>理财产品，</w:t>
      </w:r>
      <w:r>
        <w:rPr>
          <w:rFonts w:ascii="Times New Roman" w:eastAsia="黑体" w:cs="Times New Roman" w:hint="eastAsia"/>
          <w:b/>
        </w:rPr>
        <w:t>只能在本产品说明书规定的开放日及开放时间内办理申购与赎回</w:t>
      </w:r>
      <w:r>
        <w:rPr>
          <w:rFonts w:eastAsia="黑体" w:hint="eastAsia"/>
          <w:b/>
        </w:rPr>
        <w:t>。除本产品说明书规定情形以外，</w:t>
      </w:r>
      <w:r>
        <w:rPr>
          <w:rFonts w:eastAsia="黑体"/>
          <w:b/>
        </w:rPr>
        <w:t>封闭期内</w:t>
      </w:r>
      <w:r>
        <w:rPr>
          <w:rFonts w:eastAsia="黑体" w:hint="eastAsia"/>
          <w:b/>
        </w:rPr>
        <w:t>管理人</w:t>
      </w:r>
      <w:r>
        <w:rPr>
          <w:rFonts w:eastAsia="黑体"/>
          <w:b/>
        </w:rPr>
        <w:t>不受理</w:t>
      </w:r>
      <w:r>
        <w:rPr>
          <w:rFonts w:eastAsia="黑体" w:hint="eastAsia"/>
          <w:b/>
        </w:rPr>
        <w:t>投资者</w:t>
      </w:r>
      <w:r>
        <w:rPr>
          <w:rFonts w:eastAsia="黑体"/>
          <w:b/>
        </w:rPr>
        <w:t>任何形式的提前赎回申请。以上情形均</w:t>
      </w:r>
      <w:r>
        <w:rPr>
          <w:rFonts w:ascii="Times New Roman" w:eastAsia="黑体" w:cs="Times New Roman" w:hint="eastAsia"/>
          <w:b/>
        </w:rPr>
        <w:t>可能影响投资者的资金安排，带来流动性风险</w:t>
      </w:r>
      <w:r>
        <w:rPr>
          <w:rFonts w:ascii="Times New Roman" w:eastAsia="黑体" w:cs="Times New Roman"/>
          <w:b/>
        </w:rPr>
        <w:t>。</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rPr>
        <w:t>（五）投资风险：本理财产品的实际收益率取决于所投资金融工具的收益率，投资者应对此有充分的认识。除本产品说明书中明确规定的收益或收益分配方式外，任何业绩比较基准、收益示例或类似表述均不具有法律约束力，不代表投资者可能获得的实际收益，亦不构成华夏理财</w:t>
      </w:r>
      <w:r>
        <w:rPr>
          <w:rFonts w:ascii="Times New Roman" w:eastAsia="黑体" w:cs="Times New Roman" w:hint="eastAsia"/>
          <w:b/>
        </w:rPr>
        <w:t>/</w:t>
      </w:r>
      <w:r>
        <w:rPr>
          <w:rFonts w:ascii="Times New Roman" w:eastAsia="黑体" w:cs="Times New Roman" w:hint="eastAsia"/>
          <w:b/>
        </w:rPr>
        <w:t>代销机构对本理财产品的任何收益承诺。</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color w:val="auto"/>
        </w:rPr>
        <w:t>（六）汇率风险：</w:t>
      </w:r>
      <w:r>
        <w:rPr>
          <w:rFonts w:ascii="Times New Roman" w:eastAsia="黑体" w:hAnsi="Calibri" w:cs="Times New Roman" w:hint="eastAsia"/>
          <w:b/>
          <w:color w:val="auto"/>
        </w:rPr>
        <w:t>投资境外资产时，以非本币计价的各类资产受汇率波动影响而引起本币估值下的委托财产的价格波动的风险。若本理财产品的投资及</w:t>
      </w:r>
      <w:r>
        <w:rPr>
          <w:rFonts w:ascii="Times New Roman" w:eastAsia="黑体" w:hAnsi="Calibri" w:cs="Times New Roman" w:hint="eastAsia"/>
          <w:b/>
          <w:color w:val="auto"/>
        </w:rPr>
        <w:lastRenderedPageBreak/>
        <w:t>收益币种是人民币，在以人民币投资外汇计价资产时，除了投资资产本身的收益或损失外，汇率变化会带来额外的损失或收益，从而对投资者收益产生影响；反之亦然。</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rPr>
        <w:t>（七）法律及政策风险：本理财产品是根据当前的相关法规和政策设计的。如国家宏观政策以及市场相关法规政策发生变化，影响理财产品的受理、投资、偿还等的正常进行，</w:t>
      </w:r>
      <w:r>
        <w:rPr>
          <w:rFonts w:ascii="Times New Roman" w:eastAsia="黑体" w:cs="Times New Roman"/>
          <w:b/>
        </w:rPr>
        <w:t>可能影响本理财产品的投资运作和收益，甚至</w:t>
      </w:r>
      <w:r>
        <w:rPr>
          <w:rFonts w:ascii="Times New Roman" w:eastAsia="黑体" w:cs="Times New Roman" w:hint="eastAsia"/>
          <w:b/>
        </w:rPr>
        <w:t>造成</w:t>
      </w:r>
      <w:r>
        <w:rPr>
          <w:rFonts w:ascii="Times New Roman" w:eastAsia="黑体" w:cs="Times New Roman"/>
          <w:b/>
        </w:rPr>
        <w:t>本金损失。</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rPr>
        <w:t>（八）</w:t>
      </w:r>
      <w:r>
        <w:rPr>
          <w:rFonts w:ascii="Times New Roman" w:eastAsia="黑体" w:cs="Times New Roman"/>
          <w:b/>
        </w:rPr>
        <w:t>理财产品不成立风险：</w:t>
      </w:r>
      <w:r>
        <w:rPr>
          <w:rFonts w:ascii="Times New Roman" w:eastAsia="黑体" w:cs="Times New Roman" w:hint="eastAsia"/>
          <w:b/>
        </w:rPr>
        <w:t>募集期</w:t>
      </w:r>
      <w:r>
        <w:rPr>
          <w:rFonts w:ascii="Times New Roman" w:eastAsia="黑体" w:cs="Times New Roman"/>
          <w:b/>
        </w:rPr>
        <w:t>结束，如理财产品</w:t>
      </w:r>
      <w:r>
        <w:rPr>
          <w:rFonts w:ascii="Times New Roman" w:eastAsia="黑体" w:cs="Times New Roman" w:hint="eastAsia"/>
          <w:b/>
        </w:rPr>
        <w:t>募集</w:t>
      </w:r>
      <w:r>
        <w:rPr>
          <w:rFonts w:ascii="Times New Roman" w:eastAsia="黑体" w:cs="Times New Roman"/>
          <w:b/>
        </w:rPr>
        <w:t>总金额未达到发行</w:t>
      </w:r>
      <w:r>
        <w:rPr>
          <w:rFonts w:ascii="Times New Roman" w:eastAsia="黑体" w:cs="Times New Roman" w:hint="eastAsia"/>
          <w:b/>
        </w:rPr>
        <w:t>规模</w:t>
      </w:r>
      <w:r>
        <w:rPr>
          <w:rFonts w:ascii="Times New Roman" w:eastAsia="黑体" w:cs="Times New Roman"/>
          <w:b/>
        </w:rPr>
        <w:t>下限</w:t>
      </w:r>
      <w:r>
        <w:rPr>
          <w:rFonts w:ascii="Times New Roman" w:eastAsia="黑体" w:cs="Times New Roman" w:hint="eastAsia"/>
          <w:b/>
        </w:rPr>
        <w:t>；或者市场发生重大变化，华夏理财无法或者经其合理判断难以按照本产品说明书向投资者提供本理财产品；或者法律法规、监管规定、国家政策发生变化导致无法按照本产品说明书向投资者提供本理财产品，</w:t>
      </w:r>
      <w:r>
        <w:rPr>
          <w:rFonts w:ascii="Times New Roman" w:eastAsia="黑体" w:cs="Times New Roman"/>
          <w:b/>
        </w:rPr>
        <w:t>华夏</w:t>
      </w:r>
      <w:r>
        <w:rPr>
          <w:rFonts w:ascii="Times New Roman" w:eastAsia="黑体" w:cs="Times New Roman" w:hint="eastAsia"/>
          <w:b/>
        </w:rPr>
        <w:t>理财</w:t>
      </w:r>
      <w:r>
        <w:rPr>
          <w:rFonts w:ascii="Times New Roman" w:eastAsia="黑体" w:cs="Times New Roman"/>
          <w:b/>
        </w:rPr>
        <w:t>有权宣布本理财产品不成立。</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b/>
        </w:rPr>
        <w:t>（</w:t>
      </w:r>
      <w:r>
        <w:rPr>
          <w:rFonts w:ascii="Times New Roman" w:eastAsia="黑体" w:cs="Times New Roman" w:hint="eastAsia"/>
          <w:b/>
        </w:rPr>
        <w:t>九</w:t>
      </w:r>
      <w:r>
        <w:rPr>
          <w:rFonts w:ascii="Times New Roman" w:eastAsia="黑体" w:cs="Times New Roman"/>
          <w:b/>
        </w:rPr>
        <w:t>）</w:t>
      </w:r>
      <w:r>
        <w:rPr>
          <w:rFonts w:ascii="Times New Roman" w:eastAsia="黑体" w:cs="Times New Roman" w:hint="eastAsia"/>
          <w:b/>
        </w:rPr>
        <w:t>提前终止风险：如遇前述提前</w:t>
      </w:r>
      <w:r>
        <w:rPr>
          <w:rFonts w:ascii="Times New Roman" w:eastAsia="黑体" w:cs="Times New Roman"/>
          <w:b/>
        </w:rPr>
        <w:t>终止权</w:t>
      </w:r>
      <w:r>
        <w:rPr>
          <w:rFonts w:ascii="Times New Roman" w:eastAsia="黑体" w:cs="Times New Roman" w:hint="eastAsia"/>
          <w:b/>
        </w:rPr>
        <w:t>条款中涉及</w:t>
      </w:r>
      <w:r>
        <w:rPr>
          <w:rFonts w:ascii="Times New Roman" w:eastAsia="黑体" w:cs="Times New Roman"/>
          <w:b/>
        </w:rPr>
        <w:t>的</w:t>
      </w:r>
      <w:r>
        <w:rPr>
          <w:rFonts w:ascii="Times New Roman" w:eastAsia="黑体" w:cs="Times New Roman" w:hint="eastAsia"/>
          <w:b/>
        </w:rPr>
        <w:t>情形，华夏理财有权提前终止本理财产品，投资者可能收益为零甚至损失理财本金。</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eastAsia="黑体" w:hint="eastAsia"/>
          <w:b/>
        </w:rPr>
        <w:t>（十）延期风险：对于有确定到期日的理财产品，</w:t>
      </w:r>
      <w:r>
        <w:rPr>
          <w:rFonts w:eastAsia="黑体"/>
          <w:b/>
        </w:rPr>
        <w:t>如因与</w:t>
      </w:r>
      <w:r>
        <w:rPr>
          <w:rFonts w:eastAsia="黑体" w:hint="eastAsia"/>
          <w:b/>
        </w:rPr>
        <w:t>理财</w:t>
      </w:r>
      <w:r>
        <w:rPr>
          <w:rFonts w:eastAsia="黑体"/>
          <w:b/>
        </w:rPr>
        <w:t>产品投资资产相关的</w:t>
      </w:r>
      <w:r>
        <w:rPr>
          <w:rFonts w:eastAsia="黑体" w:hint="eastAsia"/>
          <w:b/>
        </w:rPr>
        <w:t>资产管理计划管理人、</w:t>
      </w:r>
      <w:r>
        <w:rPr>
          <w:rFonts w:eastAsia="黑体"/>
          <w:b/>
        </w:rPr>
        <w:t>信托受托人、债务人、担保人（如有）等主体发生违约，导致本理财产品不能按时偿</w:t>
      </w:r>
      <w:r>
        <w:rPr>
          <w:rFonts w:eastAsia="黑体" w:hint="eastAsia"/>
          <w:b/>
        </w:rPr>
        <w:t>付理财</w:t>
      </w:r>
      <w:r>
        <w:rPr>
          <w:rFonts w:eastAsia="黑体"/>
          <w:b/>
        </w:rPr>
        <w:t>本金及收益</w:t>
      </w:r>
      <w:r>
        <w:rPr>
          <w:rFonts w:eastAsia="黑体" w:hint="eastAsia"/>
          <w:b/>
        </w:rPr>
        <w:t>；或因市场成交量不足、资产限制赎回、暂停交易、缺乏意愿交易对手等原因，管理人未能及时完成资产变现，则本</w:t>
      </w:r>
      <w:r>
        <w:rPr>
          <w:rFonts w:eastAsia="黑体"/>
          <w:b/>
        </w:rPr>
        <w:t>理财</w:t>
      </w:r>
      <w:r>
        <w:rPr>
          <w:rFonts w:eastAsia="黑体" w:hint="eastAsia"/>
          <w:b/>
        </w:rPr>
        <w:t>产品</w:t>
      </w:r>
      <w:r>
        <w:rPr>
          <w:rFonts w:eastAsia="黑体"/>
          <w:b/>
        </w:rPr>
        <w:t>期限将相应延长。</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rPr>
        <w:t>（十一）信息传递风险：华夏理财按照本产品说明书有关信息披露的约定，发布理财产品信息。投资者应根据本产品说明书有关信息披露的约定及时查询。如果投资者未及时查询而未能及时了解理财产品信息，并由此影响投资者的投资决策，因此产生的责任和风险由投资者自行承担。另外，投资者预留在</w:t>
      </w:r>
      <w:bookmarkStart w:id="2" w:name="_Hlk76301212"/>
      <w:r>
        <w:rPr>
          <w:rFonts w:ascii="Times New Roman" w:eastAsia="黑体" w:cs="Times New Roman" w:hint="eastAsia"/>
          <w:b/>
          <w:color w:val="auto"/>
        </w:rPr>
        <w:t>华夏理财</w:t>
      </w:r>
      <w:r>
        <w:rPr>
          <w:rFonts w:ascii="Times New Roman" w:eastAsia="黑体" w:cs="Times New Roman" w:hint="eastAsia"/>
          <w:b/>
          <w:color w:val="auto"/>
        </w:rPr>
        <w:t>/</w:t>
      </w:r>
      <w:r>
        <w:rPr>
          <w:rFonts w:ascii="Times New Roman" w:eastAsia="黑体" w:cs="Times New Roman" w:hint="eastAsia"/>
          <w:b/>
          <w:color w:val="auto"/>
        </w:rPr>
        <w:t>代销机构</w:t>
      </w:r>
      <w:bookmarkEnd w:id="2"/>
      <w:r>
        <w:rPr>
          <w:rFonts w:ascii="Times New Roman" w:eastAsia="黑体" w:cs="Times New Roman" w:hint="eastAsia"/>
          <w:b/>
        </w:rPr>
        <w:t>的有效联系方式变更的，应及时通知</w:t>
      </w:r>
      <w:r>
        <w:rPr>
          <w:rFonts w:ascii="Times New Roman" w:eastAsia="黑体" w:cs="Times New Roman" w:hint="eastAsia"/>
          <w:b/>
          <w:color w:val="auto"/>
        </w:rPr>
        <w:t>华夏理财</w:t>
      </w:r>
      <w:r>
        <w:rPr>
          <w:rFonts w:ascii="Times New Roman" w:eastAsia="黑体" w:cs="Times New Roman" w:hint="eastAsia"/>
          <w:b/>
          <w:color w:val="auto"/>
        </w:rPr>
        <w:t>/</w:t>
      </w:r>
      <w:r>
        <w:rPr>
          <w:rFonts w:ascii="Times New Roman" w:eastAsia="黑体" w:cs="Times New Roman" w:hint="eastAsia"/>
          <w:b/>
          <w:color w:val="auto"/>
        </w:rPr>
        <w:t>代销机构</w:t>
      </w:r>
      <w:r>
        <w:rPr>
          <w:rFonts w:ascii="Times New Roman" w:eastAsia="黑体" w:cs="Times New Roman" w:hint="eastAsia"/>
          <w:b/>
        </w:rPr>
        <w:t>。因投资者未及时告知导致的信息传递失败的风险由投资者自行承担。</w:t>
      </w:r>
    </w:p>
    <w:p w:rsidR="0092528D" w:rsidRDefault="0092528D">
      <w:pPr>
        <w:pStyle w:val="Default"/>
        <w:snapToGrid w:val="0"/>
        <w:spacing w:line="276" w:lineRule="auto"/>
        <w:ind w:firstLine="482"/>
        <w:contextualSpacing/>
        <w:rPr>
          <w:rFonts w:ascii="Times New Roman" w:eastAsia="黑体" w:cs="Times New Roman"/>
          <w:b/>
          <w:color w:val="auto"/>
        </w:rPr>
      </w:pPr>
      <w:r>
        <w:rPr>
          <w:rFonts w:ascii="Times New Roman" w:eastAsia="黑体" w:cs="Times New Roman" w:hint="eastAsia"/>
          <w:b/>
        </w:rPr>
        <w:t>（十二）关联关系风险：本理财产品的代销机构与托管人可能为管理人的关联方，华夏理财已履行了现行法律法规和监管规定的必要程序。本理财产品可能涉及的关联交易类型包括但不限于投资于管理人的主要股东或与管理人有重大利害关系的机构发行或承销的证券，以及与关联方之间开展的资金融通、存款、金融产品投资等，上述情形可能带来交易定价不合理从而影响理财产品净值。本理财产品的销售机构可能包含华夏银行股份有限公司，其为管理人华夏理财的控股股东，二者存在关联关系。如因存在关联关系，导致销售机构对本理财产品未能进行独立、审慎判断或放松准入管理，可能会给投资者造成潜在风险。</w:t>
      </w:r>
    </w:p>
    <w:p w:rsidR="0092528D" w:rsidRDefault="0092528D">
      <w:pPr>
        <w:pStyle w:val="Default"/>
        <w:snapToGrid w:val="0"/>
        <w:spacing w:line="276" w:lineRule="auto"/>
        <w:ind w:firstLineChars="200" w:firstLine="482"/>
        <w:contextualSpacing/>
        <w:rPr>
          <w:rFonts w:ascii="Times New Roman" w:eastAsia="黑体" w:cs="Times New Roman"/>
          <w:b/>
        </w:rPr>
      </w:pPr>
      <w:r>
        <w:rPr>
          <w:rFonts w:ascii="Times New Roman" w:eastAsia="黑体" w:cs="Times New Roman" w:hint="eastAsia"/>
          <w:b/>
        </w:rPr>
        <w:t>（十三）拟投资市场及资产的流动性风险评估</w:t>
      </w:r>
    </w:p>
    <w:p w:rsidR="0092528D" w:rsidRDefault="0092528D">
      <w:pPr>
        <w:pStyle w:val="Default"/>
        <w:snapToGrid w:val="0"/>
        <w:spacing w:line="276" w:lineRule="auto"/>
        <w:ind w:firstLineChars="200" w:firstLine="482"/>
        <w:contextualSpacing/>
        <w:rPr>
          <w:rFonts w:ascii="Times New Roman" w:eastAsia="黑体" w:cs="Times New Roman"/>
          <w:b/>
        </w:rPr>
      </w:pPr>
      <w:r>
        <w:rPr>
          <w:rFonts w:ascii="Times New Roman" w:eastAsia="黑体" w:cs="Times New Roman" w:hint="eastAsia"/>
          <w:b/>
        </w:rPr>
        <w:t>本理财产品的投资市场主要为证券交易所、全国银行间债券市场等证券流动性较好的交易场所，主要投资对象为具有良好流动性的金融工具。同时，本理财产品基于分散投资的原则在行业和单个证券方面未有高集中度的特征，综合评估在正常市场环境下本理财产品的流动性风险适中。本理财产品如投资于</w:t>
      </w:r>
      <w:r>
        <w:rPr>
          <w:rFonts w:ascii="Times New Roman" w:eastAsia="黑体" w:cs="Times New Roman" w:hint="eastAsia"/>
          <w:b/>
        </w:rPr>
        <w:lastRenderedPageBreak/>
        <w:t>非标准化债权资产，将严格执行监管有关限额管理、流动性管理等监管标准要求，防范并控制集中度和期限错配等风险。</w:t>
      </w:r>
    </w:p>
    <w:p w:rsidR="0092528D" w:rsidRDefault="0092528D" w:rsidP="00A12304">
      <w:pPr>
        <w:pStyle w:val="Default"/>
        <w:snapToGrid w:val="0"/>
        <w:spacing w:line="276" w:lineRule="auto"/>
        <w:ind w:firstLineChars="200" w:firstLine="482"/>
        <w:contextualSpacing/>
        <w:rPr>
          <w:rFonts w:ascii="仿宋" w:eastAsia="仿宋" w:hAnsi="仿宋"/>
          <w:bCs/>
          <w:szCs w:val="21"/>
        </w:rPr>
      </w:pPr>
      <w:r>
        <w:rPr>
          <w:rFonts w:ascii="Times New Roman" w:eastAsia="黑体" w:cs="Times New Roman" w:hint="eastAsia"/>
          <w:b/>
        </w:rPr>
        <w:t>但不排除在特定阶段、特定市场环境下特定投资标的出现流动性较差的情况。因此，本理财产品投资于上述资产时，可能存在以下流动性风险：一是管理人建仓或调整组合时，可能由于特定投资标的流动性相对不足而无法按预期的价格买进或卖出；二是为应对投资者的赎回，本理财产品被迫以不适当的价格卖出股票、债券或其他资产（此处所列投资品种不代表本产品的实际投资范围，本产品实际可投资范围以本产品说明书“投资对象”章节列示为准）。两者均可能使本理财产品资产净值受到不利影响。</w:t>
      </w:r>
    </w:p>
    <w:p w:rsidR="0092528D" w:rsidRDefault="0092528D">
      <w:pPr>
        <w:pStyle w:val="Default"/>
        <w:snapToGrid w:val="0"/>
        <w:spacing w:line="276" w:lineRule="auto"/>
        <w:ind w:firstLineChars="200" w:firstLine="482"/>
        <w:contextualSpacing/>
        <w:rPr>
          <w:rFonts w:ascii="Times New Roman" w:eastAsia="黑体" w:cs="Times New Roman"/>
          <w:b/>
        </w:rPr>
      </w:pPr>
      <w:r>
        <w:rPr>
          <w:rFonts w:ascii="Times New Roman" w:eastAsia="黑体" w:cs="Times New Roman" w:hint="eastAsia"/>
          <w:b/>
        </w:rPr>
        <w:t>（十四）流动性应对措施及对投资者的潜在影响</w:t>
      </w:r>
    </w:p>
    <w:p w:rsidR="0092528D" w:rsidRDefault="0092528D">
      <w:pPr>
        <w:pStyle w:val="Default"/>
        <w:snapToGrid w:val="0"/>
        <w:spacing w:line="276" w:lineRule="auto"/>
        <w:ind w:firstLineChars="200" w:firstLine="482"/>
        <w:contextualSpacing/>
        <w:rPr>
          <w:rFonts w:ascii="Times New Roman" w:eastAsia="黑体" w:cs="Times New Roman"/>
          <w:b/>
        </w:rPr>
      </w:pPr>
      <w:r>
        <w:rPr>
          <w:rFonts w:ascii="Times New Roman" w:eastAsia="黑体" w:cs="Times New Roman" w:hint="eastAsia"/>
          <w:b/>
        </w:rPr>
        <w:t>1</w:t>
      </w:r>
      <w:r>
        <w:rPr>
          <w:rFonts w:ascii="Times New Roman" w:eastAsia="黑体" w:cs="Times New Roman" w:hint="eastAsia"/>
          <w:b/>
        </w:rPr>
        <w:t>．认（申）</w:t>
      </w:r>
      <w:proofErr w:type="gramStart"/>
      <w:r>
        <w:rPr>
          <w:rFonts w:ascii="Times New Roman" w:eastAsia="黑体" w:cs="Times New Roman" w:hint="eastAsia"/>
          <w:b/>
        </w:rPr>
        <w:t>购风险</w:t>
      </w:r>
      <w:proofErr w:type="gramEnd"/>
      <w:r>
        <w:rPr>
          <w:rFonts w:ascii="Times New Roman" w:eastAsia="黑体" w:cs="Times New Roman" w:hint="eastAsia"/>
          <w:b/>
        </w:rPr>
        <w:t>应对措施及对投资者的潜在影响</w:t>
      </w:r>
    </w:p>
    <w:p w:rsidR="0092528D" w:rsidRDefault="0092528D">
      <w:pPr>
        <w:pStyle w:val="Default"/>
        <w:snapToGrid w:val="0"/>
        <w:spacing w:line="276" w:lineRule="auto"/>
        <w:ind w:firstLineChars="200" w:firstLine="482"/>
        <w:contextualSpacing/>
        <w:rPr>
          <w:rFonts w:ascii="Times New Roman" w:eastAsia="黑体" w:cs="Times New Roman"/>
          <w:b/>
        </w:rPr>
      </w:pPr>
      <w:r>
        <w:rPr>
          <w:rFonts w:ascii="Times New Roman" w:eastAsia="黑体" w:cs="Times New Roman" w:hint="eastAsia"/>
          <w:b/>
        </w:rPr>
        <w:t>管理人将加强对本理财产品认（申）购环节的管理，合理控制理财产品投资者集中度，审慎确认大额认（申）购申请。当接受认（申）</w:t>
      </w:r>
      <w:proofErr w:type="gramStart"/>
      <w:r>
        <w:rPr>
          <w:rFonts w:ascii="Times New Roman" w:eastAsia="黑体" w:cs="Times New Roman" w:hint="eastAsia"/>
          <w:b/>
        </w:rPr>
        <w:t>购申请</w:t>
      </w:r>
      <w:proofErr w:type="gramEnd"/>
      <w:r>
        <w:rPr>
          <w:rFonts w:ascii="Times New Roman" w:eastAsia="黑体" w:cs="Times New Roman" w:hint="eastAsia"/>
          <w:b/>
        </w:rPr>
        <w:t>对存量理财产品投资者利益构成潜在重大不利影响时，管理人将采取设定单一投资者认（申）</w:t>
      </w:r>
      <w:proofErr w:type="gramStart"/>
      <w:r>
        <w:rPr>
          <w:rFonts w:ascii="Times New Roman" w:eastAsia="黑体" w:cs="Times New Roman" w:hint="eastAsia"/>
          <w:b/>
        </w:rPr>
        <w:t>购金额</w:t>
      </w:r>
      <w:proofErr w:type="gramEnd"/>
      <w:r>
        <w:rPr>
          <w:rFonts w:ascii="Times New Roman" w:eastAsia="黑体" w:cs="Times New Roman" w:hint="eastAsia"/>
          <w:b/>
        </w:rPr>
        <w:t>上限或理财产品单日净认（申）购比例上限、拒绝大额认（申）购申请、暂停理财产品认（申）购等措施对理财产品规模予以控制，切实保护存量理财产品投资者的合法权益。具体详见产品说明书中“一、产品概述”及“五、认购、申购、赎回”。</w:t>
      </w:r>
    </w:p>
    <w:p w:rsidR="0092528D" w:rsidRDefault="0092528D">
      <w:pPr>
        <w:pStyle w:val="Default"/>
        <w:snapToGrid w:val="0"/>
        <w:spacing w:line="276" w:lineRule="auto"/>
        <w:ind w:firstLineChars="200" w:firstLine="482"/>
        <w:contextualSpacing/>
        <w:rPr>
          <w:rFonts w:ascii="Times New Roman" w:eastAsia="黑体" w:cs="Times New Roman"/>
          <w:b/>
        </w:rPr>
      </w:pPr>
      <w:r>
        <w:rPr>
          <w:rFonts w:ascii="Times New Roman" w:eastAsia="黑体" w:cs="Times New Roman" w:hint="eastAsia"/>
          <w:b/>
        </w:rPr>
        <w:t>当管理人采用认（申）</w:t>
      </w:r>
      <w:proofErr w:type="gramStart"/>
      <w:r>
        <w:rPr>
          <w:rFonts w:ascii="Times New Roman" w:eastAsia="黑体" w:cs="Times New Roman" w:hint="eastAsia"/>
          <w:b/>
        </w:rPr>
        <w:t>购风险</w:t>
      </w:r>
      <w:proofErr w:type="gramEnd"/>
      <w:r>
        <w:rPr>
          <w:rFonts w:ascii="Times New Roman" w:eastAsia="黑体" w:cs="Times New Roman" w:hint="eastAsia"/>
          <w:b/>
        </w:rPr>
        <w:t>应对措施时，可能对投资者造成一定的潜在影响，包括但不限于不能认（申）</w:t>
      </w:r>
      <w:proofErr w:type="gramStart"/>
      <w:r>
        <w:rPr>
          <w:rFonts w:ascii="Times New Roman" w:eastAsia="黑体" w:cs="Times New Roman" w:hint="eastAsia"/>
          <w:b/>
        </w:rPr>
        <w:t>购本理财</w:t>
      </w:r>
      <w:proofErr w:type="gramEnd"/>
      <w:r>
        <w:rPr>
          <w:rFonts w:ascii="Times New Roman" w:eastAsia="黑体" w:cs="Times New Roman" w:hint="eastAsia"/>
          <w:b/>
        </w:rPr>
        <w:t>产品、认（申）</w:t>
      </w:r>
      <w:proofErr w:type="gramStart"/>
      <w:r>
        <w:rPr>
          <w:rFonts w:ascii="Times New Roman" w:eastAsia="黑体" w:cs="Times New Roman" w:hint="eastAsia"/>
          <w:b/>
        </w:rPr>
        <w:t>购交易</w:t>
      </w:r>
      <w:proofErr w:type="gramEnd"/>
      <w:r>
        <w:rPr>
          <w:rFonts w:ascii="Times New Roman" w:eastAsia="黑体" w:cs="Times New Roman" w:hint="eastAsia"/>
          <w:b/>
        </w:rPr>
        <w:t>全部或部分确认失败等。</w:t>
      </w:r>
    </w:p>
    <w:p w:rsidR="0092528D" w:rsidRDefault="0092528D">
      <w:pPr>
        <w:pStyle w:val="Default"/>
        <w:snapToGrid w:val="0"/>
        <w:spacing w:line="276" w:lineRule="auto"/>
        <w:ind w:firstLineChars="200" w:firstLine="482"/>
        <w:contextualSpacing/>
        <w:rPr>
          <w:rFonts w:ascii="Times New Roman" w:eastAsia="黑体" w:cs="Times New Roman"/>
          <w:b/>
        </w:rPr>
      </w:pPr>
      <w:r>
        <w:rPr>
          <w:rFonts w:ascii="Times New Roman" w:eastAsia="黑体" w:cs="Times New Roman" w:hint="eastAsia"/>
          <w:b/>
        </w:rPr>
        <w:t>2</w:t>
      </w:r>
      <w:r>
        <w:rPr>
          <w:rFonts w:ascii="Times New Roman" w:eastAsia="黑体" w:cs="Times New Roman" w:hint="eastAsia"/>
          <w:b/>
        </w:rPr>
        <w:t>．赎回风险应对措施及对投资者的潜在影响</w:t>
      </w:r>
    </w:p>
    <w:p w:rsidR="0092528D" w:rsidRDefault="0092528D">
      <w:pPr>
        <w:pStyle w:val="Default"/>
        <w:snapToGrid w:val="0"/>
        <w:spacing w:line="276" w:lineRule="auto"/>
        <w:ind w:firstLineChars="200" w:firstLine="482"/>
        <w:contextualSpacing/>
        <w:rPr>
          <w:rFonts w:ascii="Times New Roman" w:eastAsia="黑体" w:cs="Times New Roman"/>
          <w:b/>
        </w:rPr>
      </w:pPr>
      <w:r>
        <w:rPr>
          <w:rFonts w:ascii="Times New Roman" w:eastAsia="黑体" w:cs="Times New Roman" w:hint="eastAsia"/>
          <w:b/>
        </w:rPr>
        <w:t>管理人可依照法律法规及理财产品销售文件的约定，综合运用赎回流动性风险应对措施，包括但不限于：设置赎回上限、延期办理巨额赎回申请、暂停接受赎回申请、延缓支付赎回款项、收取短期赎回费、暂停理财产品估值、摆动定价，以及监管机构规定的其他风险应对措施。具体详见本理财产品说明书“一、产品概述”及“五、认购、申购、赎回”。</w:t>
      </w:r>
    </w:p>
    <w:p w:rsidR="0092528D" w:rsidRDefault="0092528D">
      <w:pPr>
        <w:pStyle w:val="Default"/>
        <w:snapToGrid w:val="0"/>
        <w:spacing w:line="276" w:lineRule="auto"/>
        <w:ind w:firstLineChars="200" w:firstLine="482"/>
        <w:contextualSpacing/>
        <w:jc w:val="both"/>
        <w:rPr>
          <w:rFonts w:ascii="Times New Roman" w:eastAsia="黑体" w:cs="Times New Roman"/>
          <w:b/>
        </w:rPr>
      </w:pPr>
      <w:r>
        <w:rPr>
          <w:rFonts w:ascii="Times New Roman" w:eastAsia="黑体" w:cs="Times New Roman" w:hint="eastAsia"/>
          <w:b/>
        </w:rPr>
        <w:t>当管理人实施赎回流动性风险应对措施时，可能对投资者造成一定的潜在影响，包括但不限于赎回交易全部或部分确认失败、赎回款项延迟到账、增加</w:t>
      </w:r>
      <w:proofErr w:type="gramStart"/>
      <w:r>
        <w:rPr>
          <w:rFonts w:ascii="Times New Roman" w:eastAsia="黑体" w:cs="Times New Roman" w:hint="eastAsia"/>
          <w:b/>
        </w:rPr>
        <w:t>申赎成本</w:t>
      </w:r>
      <w:proofErr w:type="gramEnd"/>
      <w:r>
        <w:rPr>
          <w:rFonts w:ascii="Times New Roman" w:eastAsia="黑体" w:cs="Times New Roman" w:hint="eastAsia"/>
          <w:b/>
        </w:rPr>
        <w:t>或产生赎回费用等。</w:t>
      </w:r>
    </w:p>
    <w:p w:rsidR="0092528D" w:rsidRDefault="0092528D" w:rsidP="00BE7E09">
      <w:pPr>
        <w:pStyle w:val="Default"/>
        <w:snapToGrid w:val="0"/>
        <w:spacing w:line="276" w:lineRule="auto"/>
        <w:ind w:firstLineChars="200" w:firstLine="482"/>
        <w:contextualSpacing/>
        <w:jc w:val="both"/>
        <w:rPr>
          <w:rFonts w:ascii="Times New Roman" w:eastAsia="黑体" w:cs="Times New Roman"/>
          <w:b/>
          <w:color w:val="auto"/>
        </w:rPr>
      </w:pPr>
      <w:r>
        <w:rPr>
          <w:rFonts w:ascii="Times New Roman" w:eastAsia="黑体" w:cs="Times New Roman" w:hint="eastAsia"/>
          <w:b/>
        </w:rPr>
        <w:t>（十五）其他风险：由于自然灾害</w:t>
      </w:r>
      <w:r>
        <w:rPr>
          <w:rFonts w:ascii="Times New Roman" w:eastAsia="黑体" w:cs="Times New Roman"/>
          <w:b/>
        </w:rPr>
        <w:t>、战争或国家政策变化等不能预见、不能避免</w:t>
      </w:r>
      <w:r>
        <w:rPr>
          <w:rFonts w:ascii="Times New Roman" w:eastAsia="黑体" w:cs="Times New Roman" w:hint="eastAsia"/>
          <w:b/>
        </w:rPr>
        <w:t>、</w:t>
      </w:r>
      <w:r>
        <w:rPr>
          <w:rFonts w:ascii="Times New Roman" w:eastAsia="黑体" w:cs="Times New Roman"/>
          <w:b/>
        </w:rPr>
        <w:t>不能克服的</w:t>
      </w:r>
      <w:r>
        <w:rPr>
          <w:rFonts w:ascii="Times New Roman" w:eastAsia="黑体" w:cs="Times New Roman" w:hint="eastAsia"/>
          <w:b/>
        </w:rPr>
        <w:t>不可抗力</w:t>
      </w:r>
      <w:r>
        <w:rPr>
          <w:rFonts w:ascii="Times New Roman" w:eastAsia="黑体" w:hint="eastAsia"/>
          <w:b/>
          <w:color w:val="auto"/>
        </w:rPr>
        <w:t>或非华夏理财原因发生的计算机系统故障、网络故障、通讯故障、电力故障等</w:t>
      </w:r>
      <w:r>
        <w:rPr>
          <w:rFonts w:ascii="Times New Roman" w:eastAsia="黑体" w:cs="Times New Roman" w:hint="eastAsia"/>
          <w:b/>
        </w:rPr>
        <w:t>导致理财产品所投资资产收益降低或损失，甚至影响理财产品的受理、投资、偿还等的正常进行，进而影响理财产品的投资收益和本金安全</w:t>
      </w:r>
      <w:r w:rsidR="00A705A2">
        <w:rPr>
          <w:rFonts w:ascii="Times New Roman" w:eastAsia="黑体" w:cs="Times New Roman" w:hint="eastAsia"/>
          <w:b/>
        </w:rPr>
        <w:t>。</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九、</w:t>
      </w:r>
      <w:r>
        <w:rPr>
          <w:rFonts w:ascii="Times New Roman" w:eastAsia="黑体" w:cs="Times New Roman"/>
          <w:b/>
          <w:color w:val="auto"/>
        </w:rPr>
        <w:t>信息披露</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color w:val="000000"/>
          <w:kern w:val="0"/>
          <w:sz w:val="24"/>
        </w:rPr>
      </w:pPr>
      <w:r>
        <w:rPr>
          <w:rFonts w:ascii="仿宋" w:eastAsia="仿宋" w:hAnsi="仿宋" w:cs="宋体"/>
          <w:color w:val="000000"/>
          <w:kern w:val="0"/>
          <w:sz w:val="24"/>
        </w:rPr>
        <w:t>（</w:t>
      </w:r>
      <w:r>
        <w:rPr>
          <w:rFonts w:ascii="仿宋" w:eastAsia="仿宋" w:hAnsi="仿宋" w:cs="宋体" w:hint="eastAsia"/>
          <w:color w:val="000000"/>
          <w:kern w:val="0"/>
          <w:sz w:val="24"/>
        </w:rPr>
        <w:t>一</w:t>
      </w:r>
      <w:r>
        <w:rPr>
          <w:rFonts w:ascii="仿宋" w:eastAsia="仿宋" w:hAnsi="仿宋" w:cs="宋体"/>
          <w:color w:val="000000"/>
          <w:kern w:val="0"/>
          <w:sz w:val="24"/>
        </w:rPr>
        <w:t>）理财产品运作信息披露</w:t>
      </w:r>
    </w:p>
    <w:p w:rsidR="0092528D" w:rsidRDefault="0092528D">
      <w:pPr>
        <w:autoSpaceDE w:val="0"/>
        <w:autoSpaceDN w:val="0"/>
        <w:adjustRightInd w:val="0"/>
        <w:snapToGrid w:val="0"/>
        <w:spacing w:line="276" w:lineRule="auto"/>
        <w:ind w:firstLineChars="200" w:firstLine="482"/>
        <w:contextualSpacing/>
        <w:rPr>
          <w:rFonts w:ascii="仿宋" w:eastAsia="仿宋" w:hAnsi="仿宋" w:cs="宋体"/>
          <w:b/>
          <w:color w:val="000000"/>
          <w:kern w:val="0"/>
          <w:sz w:val="24"/>
        </w:rPr>
      </w:pPr>
      <w:r>
        <w:rPr>
          <w:rFonts w:ascii="仿宋" w:eastAsia="仿宋" w:hAnsi="仿宋" w:cs="宋体" w:hint="eastAsia"/>
          <w:b/>
          <w:color w:val="000000"/>
          <w:kern w:val="0"/>
          <w:sz w:val="24"/>
        </w:rPr>
        <w:t>1.</w:t>
      </w:r>
      <w:r>
        <w:rPr>
          <w:rFonts w:ascii="仿宋" w:eastAsia="仿宋" w:hAnsi="仿宋" w:cs="宋体"/>
          <w:b/>
          <w:color w:val="000000"/>
          <w:kern w:val="0"/>
          <w:sz w:val="24"/>
        </w:rPr>
        <w:t>华夏</w:t>
      </w:r>
      <w:r>
        <w:rPr>
          <w:rFonts w:ascii="仿宋" w:eastAsia="仿宋" w:hAnsi="仿宋" w:cs="宋体" w:hint="eastAsia"/>
          <w:b/>
          <w:color w:val="000000"/>
          <w:kern w:val="0"/>
          <w:sz w:val="24"/>
        </w:rPr>
        <w:t>理财</w:t>
      </w:r>
      <w:r>
        <w:rPr>
          <w:rFonts w:ascii="仿宋" w:eastAsia="仿宋" w:hAnsi="仿宋" w:cs="宋体"/>
          <w:b/>
          <w:color w:val="000000"/>
          <w:kern w:val="0"/>
          <w:sz w:val="24"/>
        </w:rPr>
        <w:t>将按照法律法规及监管</w:t>
      </w:r>
      <w:r>
        <w:rPr>
          <w:rFonts w:ascii="仿宋" w:eastAsia="仿宋" w:hAnsi="仿宋" w:cs="宋体" w:hint="eastAsia"/>
          <w:b/>
          <w:color w:val="000000"/>
          <w:kern w:val="0"/>
          <w:sz w:val="24"/>
        </w:rPr>
        <w:t>规定</w:t>
      </w:r>
      <w:r>
        <w:rPr>
          <w:rFonts w:ascii="仿宋" w:eastAsia="仿宋" w:hAnsi="仿宋" w:cs="宋体"/>
          <w:b/>
          <w:color w:val="000000"/>
          <w:kern w:val="0"/>
          <w:sz w:val="24"/>
        </w:rPr>
        <w:t>的要求</w:t>
      </w:r>
      <w:r>
        <w:rPr>
          <w:rFonts w:ascii="仿宋" w:eastAsia="仿宋" w:hAnsi="仿宋" w:cs="宋体" w:hint="eastAsia"/>
          <w:b/>
          <w:color w:val="000000"/>
          <w:kern w:val="0"/>
          <w:sz w:val="24"/>
        </w:rPr>
        <w:t>披露本理财产品信息，披露</w:t>
      </w:r>
      <w:r>
        <w:rPr>
          <w:rFonts w:ascii="仿宋" w:eastAsia="仿宋" w:hAnsi="仿宋" w:cs="宋体" w:hint="eastAsia"/>
          <w:b/>
          <w:color w:val="000000"/>
          <w:kern w:val="0"/>
          <w:sz w:val="24"/>
        </w:rPr>
        <w:lastRenderedPageBreak/>
        <w:t>事项包括理财产品成立、不成立、净值、收益分配、到期、提前终止、调整等内容。</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2.本理财产品已经在“全国银行业理财信息登记系统”登记，投资者可依据登记编码在“中国理财网”查询本理财产品信息。</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3.</w:t>
      </w:r>
      <w:r>
        <w:rPr>
          <w:rFonts w:ascii="仿宋" w:eastAsia="仿宋" w:hAnsi="仿宋" w:cs="宋体"/>
          <w:color w:val="000000"/>
          <w:kern w:val="0"/>
          <w:sz w:val="24"/>
        </w:rPr>
        <w:t>在</w:t>
      </w:r>
      <w:r>
        <w:rPr>
          <w:rFonts w:ascii="仿宋" w:eastAsia="仿宋" w:hAnsi="仿宋" w:cs="宋体" w:hint="eastAsia"/>
          <w:color w:val="000000"/>
          <w:kern w:val="0"/>
          <w:sz w:val="24"/>
        </w:rPr>
        <w:t>理财</w:t>
      </w:r>
      <w:r>
        <w:rPr>
          <w:rFonts w:ascii="仿宋" w:eastAsia="仿宋" w:hAnsi="仿宋" w:cs="宋体"/>
          <w:color w:val="000000"/>
          <w:kern w:val="0"/>
          <w:sz w:val="24"/>
        </w:rPr>
        <w:t>产品不成立时，华夏</w:t>
      </w:r>
      <w:r>
        <w:rPr>
          <w:rFonts w:ascii="仿宋" w:eastAsia="仿宋" w:hAnsi="仿宋" w:cs="宋体" w:hint="eastAsia"/>
          <w:color w:val="000000"/>
          <w:kern w:val="0"/>
          <w:sz w:val="24"/>
        </w:rPr>
        <w:t>理财</w:t>
      </w:r>
      <w:r>
        <w:rPr>
          <w:rFonts w:ascii="仿宋" w:eastAsia="仿宋" w:hAnsi="仿宋" w:cs="宋体"/>
          <w:color w:val="000000"/>
          <w:kern w:val="0"/>
          <w:sz w:val="24"/>
        </w:rPr>
        <w:t>将在原定成立日后2个工作日内发布产品不成立</w:t>
      </w:r>
      <w:r>
        <w:rPr>
          <w:rFonts w:ascii="仿宋" w:eastAsia="仿宋" w:hAnsi="仿宋" w:cs="宋体" w:hint="eastAsia"/>
          <w:color w:val="000000"/>
          <w:kern w:val="0"/>
          <w:sz w:val="24"/>
        </w:rPr>
        <w:t>公告</w:t>
      </w:r>
      <w:r>
        <w:rPr>
          <w:rFonts w:ascii="仿宋" w:eastAsia="仿宋" w:hAnsi="仿宋" w:cs="宋体"/>
          <w:color w:val="000000"/>
          <w:kern w:val="0"/>
          <w:sz w:val="24"/>
        </w:rPr>
        <w:t xml:space="preserve">。 </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color w:val="000000"/>
          <w:kern w:val="0"/>
          <w:sz w:val="24"/>
        </w:rPr>
        <w:t>4.</w:t>
      </w:r>
      <w:r>
        <w:rPr>
          <w:rFonts w:ascii="仿宋" w:eastAsia="仿宋" w:hAnsi="仿宋" w:cs="宋体"/>
          <w:color w:val="000000"/>
          <w:kern w:val="0"/>
          <w:sz w:val="24"/>
        </w:rPr>
        <w:t>本理财产品成立后</w:t>
      </w:r>
      <w:r>
        <w:rPr>
          <w:rFonts w:ascii="仿宋" w:eastAsia="仿宋" w:hAnsi="仿宋" w:cs="宋体" w:hint="eastAsia"/>
          <w:color w:val="000000"/>
          <w:kern w:val="0"/>
          <w:sz w:val="24"/>
        </w:rPr>
        <w:t>5</w:t>
      </w:r>
      <w:r>
        <w:rPr>
          <w:rFonts w:ascii="仿宋" w:eastAsia="仿宋" w:hAnsi="仿宋" w:cs="宋体"/>
          <w:color w:val="000000"/>
          <w:kern w:val="0"/>
          <w:sz w:val="24"/>
        </w:rPr>
        <w:t>个工作日内，华夏</w:t>
      </w:r>
      <w:r>
        <w:rPr>
          <w:rFonts w:ascii="仿宋" w:eastAsia="仿宋" w:hAnsi="仿宋" w:cs="宋体" w:hint="eastAsia"/>
          <w:color w:val="000000"/>
          <w:kern w:val="0"/>
          <w:sz w:val="24"/>
        </w:rPr>
        <w:t>理财</w:t>
      </w:r>
      <w:r>
        <w:rPr>
          <w:rFonts w:ascii="仿宋" w:eastAsia="仿宋" w:hAnsi="仿宋" w:cs="宋体"/>
          <w:color w:val="000000"/>
          <w:kern w:val="0"/>
          <w:sz w:val="24"/>
        </w:rPr>
        <w:t>将发布产品</w:t>
      </w:r>
      <w:r>
        <w:rPr>
          <w:rFonts w:ascii="仿宋" w:eastAsia="仿宋" w:hAnsi="仿宋" w:cs="宋体" w:hint="eastAsia"/>
          <w:color w:val="000000"/>
          <w:kern w:val="0"/>
          <w:sz w:val="24"/>
        </w:rPr>
        <w:t>成立公</w:t>
      </w:r>
      <w:r>
        <w:rPr>
          <w:rFonts w:ascii="仿宋" w:eastAsia="仿宋" w:hAnsi="仿宋" w:cs="宋体"/>
          <w:color w:val="000000"/>
          <w:kern w:val="0"/>
          <w:sz w:val="24"/>
        </w:rPr>
        <w:t>告。</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5</w:t>
      </w:r>
      <w:r>
        <w:rPr>
          <w:rFonts w:ascii="仿宋" w:eastAsia="仿宋" w:hAnsi="仿宋" w:cs="宋体" w:hint="eastAsia"/>
          <w:color w:val="000000"/>
          <w:kern w:val="0"/>
          <w:sz w:val="24"/>
        </w:rPr>
        <w:t>.华夏理财在每个季度结束之日起15个工作日内、上半年结束之日起60个工作日内、每年结束之日起90个工作日内，编制完成本理财产品的季度、半年和年度报告，成立不足90个工作日</w:t>
      </w:r>
      <w:r>
        <w:rPr>
          <w:rFonts w:ascii="仿宋" w:eastAsia="仿宋" w:hAnsi="仿宋" w:cs="宋体"/>
          <w:color w:val="000000"/>
          <w:kern w:val="0"/>
          <w:sz w:val="24"/>
        </w:rPr>
        <w:t>或者剩余存续期不超过</w:t>
      </w:r>
      <w:r>
        <w:rPr>
          <w:rFonts w:ascii="仿宋" w:eastAsia="仿宋" w:hAnsi="仿宋" w:cs="宋体" w:hint="eastAsia"/>
          <w:color w:val="000000"/>
          <w:kern w:val="0"/>
          <w:sz w:val="24"/>
        </w:rPr>
        <w:t>90个工作日</w:t>
      </w:r>
      <w:r>
        <w:rPr>
          <w:rFonts w:ascii="仿宋" w:eastAsia="仿宋" w:hAnsi="仿宋" w:cs="宋体"/>
          <w:color w:val="000000"/>
          <w:kern w:val="0"/>
          <w:sz w:val="24"/>
        </w:rPr>
        <w:t>的，可不编写当期季报、半</w:t>
      </w:r>
      <w:r>
        <w:rPr>
          <w:rFonts w:ascii="仿宋" w:eastAsia="仿宋" w:hAnsi="仿宋" w:cs="宋体" w:hint="eastAsia"/>
          <w:color w:val="000000"/>
          <w:kern w:val="0"/>
          <w:sz w:val="24"/>
        </w:rPr>
        <w:t>年</w:t>
      </w:r>
      <w:r>
        <w:rPr>
          <w:rFonts w:ascii="仿宋" w:eastAsia="仿宋" w:hAnsi="仿宋" w:cs="宋体"/>
          <w:color w:val="000000"/>
          <w:kern w:val="0"/>
          <w:sz w:val="24"/>
        </w:rPr>
        <w:t>和年度报告</w:t>
      </w:r>
      <w:r>
        <w:rPr>
          <w:rFonts w:ascii="仿宋" w:eastAsia="仿宋" w:hAnsi="仿宋" w:cs="宋体" w:hint="eastAsia"/>
          <w:color w:val="000000"/>
          <w:kern w:val="0"/>
          <w:sz w:val="24"/>
        </w:rPr>
        <w:t>。在理财产品季度、半年和年度报告中披露理财产品组合资产情况及其流动性风险分析。</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6</w:t>
      </w:r>
      <w:r>
        <w:rPr>
          <w:rFonts w:ascii="仿宋" w:eastAsia="仿宋" w:hAnsi="仿宋" w:cs="宋体" w:hint="eastAsia"/>
          <w:color w:val="000000"/>
          <w:kern w:val="0"/>
          <w:sz w:val="24"/>
        </w:rPr>
        <w:t>.</w:t>
      </w:r>
      <w:r>
        <w:rPr>
          <w:rFonts w:ascii="仿宋" w:eastAsia="仿宋" w:hAnsi="仿宋" w:cs="宋体"/>
          <w:color w:val="000000"/>
          <w:kern w:val="0"/>
          <w:sz w:val="24"/>
        </w:rPr>
        <w:t>如</w:t>
      </w:r>
      <w:r>
        <w:rPr>
          <w:rFonts w:ascii="仿宋" w:eastAsia="仿宋" w:hAnsi="仿宋" w:cs="宋体" w:hint="eastAsia"/>
          <w:color w:val="000000"/>
          <w:kern w:val="0"/>
          <w:sz w:val="24"/>
        </w:rPr>
        <w:t>华夏理财</w:t>
      </w:r>
      <w:r>
        <w:rPr>
          <w:rFonts w:ascii="仿宋" w:eastAsia="仿宋" w:hAnsi="仿宋" w:cs="宋体"/>
          <w:color w:val="000000"/>
          <w:kern w:val="0"/>
          <w:sz w:val="24"/>
        </w:rPr>
        <w:t>决定</w:t>
      </w:r>
      <w:r>
        <w:rPr>
          <w:rFonts w:ascii="仿宋" w:eastAsia="仿宋" w:hAnsi="仿宋" w:cs="宋体" w:hint="eastAsia"/>
          <w:color w:val="000000"/>
          <w:kern w:val="0"/>
          <w:sz w:val="24"/>
        </w:rPr>
        <w:t>提前</w:t>
      </w:r>
      <w:r>
        <w:rPr>
          <w:rFonts w:ascii="仿宋" w:eastAsia="仿宋" w:hAnsi="仿宋" w:cs="宋体"/>
          <w:color w:val="000000"/>
          <w:kern w:val="0"/>
          <w:sz w:val="24"/>
        </w:rPr>
        <w:t>终止本理财产品，将于</w:t>
      </w:r>
      <w:r>
        <w:rPr>
          <w:rFonts w:ascii="仿宋" w:eastAsia="仿宋" w:hAnsi="仿宋" w:cs="宋体" w:hint="eastAsia"/>
          <w:color w:val="000000"/>
          <w:kern w:val="0"/>
          <w:sz w:val="24"/>
        </w:rPr>
        <w:t>提前</w:t>
      </w:r>
      <w:r>
        <w:rPr>
          <w:rFonts w:ascii="仿宋" w:eastAsia="仿宋" w:hAnsi="仿宋" w:cs="宋体"/>
          <w:color w:val="000000"/>
          <w:kern w:val="0"/>
          <w:sz w:val="24"/>
        </w:rPr>
        <w:t>终止日的前3个工作日</w:t>
      </w:r>
      <w:r>
        <w:rPr>
          <w:rFonts w:ascii="仿宋" w:eastAsia="仿宋" w:hAnsi="仿宋" w:cs="宋体" w:hint="eastAsia"/>
          <w:color w:val="000000"/>
          <w:kern w:val="0"/>
          <w:sz w:val="24"/>
        </w:rPr>
        <w:t>通过本产品说明书约定的信息披露渠道发布相关公告</w:t>
      </w:r>
      <w:r>
        <w:rPr>
          <w:rFonts w:ascii="仿宋" w:eastAsia="仿宋" w:hAnsi="仿宋" w:cs="宋体"/>
          <w:color w:val="000000"/>
          <w:kern w:val="0"/>
          <w:sz w:val="24"/>
        </w:rPr>
        <w:t>。</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7</w:t>
      </w:r>
      <w:r>
        <w:rPr>
          <w:rFonts w:ascii="仿宋" w:eastAsia="仿宋" w:hAnsi="仿宋" w:cs="宋体" w:hint="eastAsia"/>
          <w:color w:val="000000"/>
          <w:kern w:val="0"/>
          <w:sz w:val="24"/>
        </w:rPr>
        <w:t>.</w:t>
      </w:r>
      <w:r>
        <w:rPr>
          <w:rFonts w:ascii="仿宋" w:eastAsia="仿宋" w:hAnsi="仿宋" w:cs="宋体"/>
          <w:color w:val="000000"/>
          <w:kern w:val="0"/>
          <w:sz w:val="24"/>
        </w:rPr>
        <w:t>产品</w:t>
      </w:r>
      <w:r>
        <w:rPr>
          <w:rFonts w:ascii="仿宋" w:eastAsia="仿宋" w:hAnsi="仿宋" w:cs="宋体" w:hint="eastAsia"/>
          <w:color w:val="000000"/>
          <w:kern w:val="0"/>
          <w:sz w:val="24"/>
        </w:rPr>
        <w:t>到期/</w:t>
      </w:r>
      <w:r>
        <w:rPr>
          <w:rFonts w:ascii="仿宋" w:eastAsia="仿宋" w:hAnsi="仿宋" w:cs="宋体"/>
          <w:color w:val="000000"/>
          <w:kern w:val="0"/>
          <w:sz w:val="24"/>
        </w:rPr>
        <w:t>终止后</w:t>
      </w:r>
      <w:r>
        <w:rPr>
          <w:rFonts w:ascii="仿宋" w:eastAsia="仿宋" w:hAnsi="仿宋" w:cs="宋体" w:hint="eastAsia"/>
          <w:color w:val="000000"/>
          <w:kern w:val="0"/>
          <w:sz w:val="24"/>
        </w:rPr>
        <w:t>5</w:t>
      </w:r>
      <w:r>
        <w:rPr>
          <w:rFonts w:ascii="仿宋" w:eastAsia="仿宋" w:hAnsi="仿宋" w:cs="宋体"/>
          <w:color w:val="000000"/>
          <w:kern w:val="0"/>
          <w:sz w:val="24"/>
        </w:rPr>
        <w:t>个工作日内，华夏</w:t>
      </w:r>
      <w:r>
        <w:rPr>
          <w:rFonts w:ascii="仿宋" w:eastAsia="仿宋" w:hAnsi="仿宋" w:cs="宋体" w:hint="eastAsia"/>
          <w:color w:val="000000"/>
          <w:kern w:val="0"/>
          <w:sz w:val="24"/>
        </w:rPr>
        <w:t>理财</w:t>
      </w:r>
      <w:r>
        <w:rPr>
          <w:rFonts w:ascii="仿宋" w:eastAsia="仿宋" w:hAnsi="仿宋" w:cs="宋体"/>
          <w:color w:val="000000"/>
          <w:kern w:val="0"/>
          <w:sz w:val="24"/>
        </w:rPr>
        <w:t>将发布产品到期</w:t>
      </w:r>
      <w:r>
        <w:rPr>
          <w:rFonts w:ascii="仿宋" w:eastAsia="仿宋" w:hAnsi="仿宋" w:cs="宋体" w:hint="eastAsia"/>
          <w:color w:val="000000"/>
          <w:kern w:val="0"/>
          <w:sz w:val="24"/>
        </w:rPr>
        <w:t>/终止</w:t>
      </w:r>
      <w:r>
        <w:rPr>
          <w:rFonts w:ascii="仿宋" w:eastAsia="仿宋" w:hAnsi="仿宋" w:cs="宋体"/>
          <w:color w:val="000000"/>
          <w:kern w:val="0"/>
          <w:sz w:val="24"/>
        </w:rPr>
        <w:t>报告。</w:t>
      </w:r>
    </w:p>
    <w:p w:rsidR="0092528D" w:rsidRDefault="0092528D" w:rsidP="00A12304">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kern w:val="0"/>
          <w:sz w:val="24"/>
        </w:rPr>
        <w:t>8</w:t>
      </w:r>
      <w:r>
        <w:rPr>
          <w:rFonts w:ascii="仿宋" w:eastAsia="仿宋" w:hAnsi="仿宋" w:cs="宋体" w:hint="eastAsia"/>
          <w:kern w:val="0"/>
          <w:sz w:val="24"/>
        </w:rPr>
        <w:t>．本理财产品</w:t>
      </w:r>
      <w:r>
        <w:rPr>
          <w:rFonts w:ascii="仿宋" w:eastAsia="仿宋" w:hAnsi="仿宋" w:cs="宋体"/>
          <w:kern w:val="0"/>
          <w:sz w:val="24"/>
        </w:rPr>
        <w:t>将</w:t>
      </w:r>
      <w:r>
        <w:rPr>
          <w:rFonts w:ascii="仿宋" w:eastAsia="仿宋" w:hAnsi="仿宋" w:cs="宋体" w:hint="eastAsia"/>
          <w:kern w:val="0"/>
          <w:sz w:val="24"/>
        </w:rPr>
        <w:t>按</w:t>
      </w:r>
      <w:r>
        <w:rPr>
          <w:rFonts w:ascii="仿宋" w:eastAsia="仿宋" w:hAnsi="仿宋" w:cs="宋体"/>
          <w:kern w:val="0"/>
          <w:sz w:val="24"/>
        </w:rPr>
        <w:t>“</w:t>
      </w:r>
      <w:r>
        <w:rPr>
          <w:rFonts w:ascii="仿宋" w:eastAsia="仿宋" w:hAnsi="仿宋" w:cs="宋体" w:hint="eastAsia"/>
          <w:kern w:val="0"/>
          <w:sz w:val="24"/>
        </w:rPr>
        <w:t>一</w:t>
      </w:r>
      <w:r>
        <w:rPr>
          <w:rFonts w:ascii="仿宋" w:eastAsia="仿宋" w:hAnsi="仿宋" w:cs="宋体"/>
          <w:kern w:val="0"/>
          <w:sz w:val="24"/>
        </w:rPr>
        <w:t>、产品概述”</w:t>
      </w:r>
      <w:r>
        <w:rPr>
          <w:rFonts w:ascii="仿宋" w:eastAsia="仿宋" w:hAnsi="仿宋" w:cs="宋体" w:hint="eastAsia"/>
          <w:kern w:val="0"/>
          <w:sz w:val="24"/>
        </w:rPr>
        <w:t>“份额净值公告日”</w:t>
      </w:r>
      <w:r>
        <w:rPr>
          <w:rFonts w:ascii="仿宋" w:eastAsia="仿宋" w:hAnsi="仿宋" w:cs="宋体"/>
          <w:kern w:val="0"/>
          <w:sz w:val="24"/>
        </w:rPr>
        <w:t>约定披露产品净值</w:t>
      </w:r>
      <w:r>
        <w:rPr>
          <w:rFonts w:ascii="仿宋" w:eastAsia="仿宋" w:hAnsi="仿宋" w:cs="宋体" w:hint="eastAsia"/>
          <w:kern w:val="0"/>
          <w:sz w:val="24"/>
        </w:rPr>
        <w:t>。</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color w:val="000000"/>
          <w:kern w:val="0"/>
          <w:sz w:val="24"/>
        </w:rPr>
      </w:pPr>
      <w:r>
        <w:rPr>
          <w:rFonts w:ascii="仿宋" w:eastAsia="仿宋" w:hAnsi="仿宋" w:cs="宋体"/>
          <w:color w:val="000000"/>
          <w:kern w:val="0"/>
          <w:sz w:val="24"/>
        </w:rPr>
        <w:t>（二）理财产品临时</w:t>
      </w:r>
      <w:r>
        <w:rPr>
          <w:rFonts w:ascii="仿宋" w:eastAsia="仿宋" w:hAnsi="仿宋" w:cs="宋体" w:hint="eastAsia"/>
          <w:color w:val="000000"/>
          <w:kern w:val="0"/>
          <w:sz w:val="24"/>
        </w:rPr>
        <w:t>性</w:t>
      </w:r>
      <w:r>
        <w:rPr>
          <w:rFonts w:ascii="仿宋" w:eastAsia="仿宋" w:hAnsi="仿宋" w:cs="宋体"/>
          <w:color w:val="000000"/>
          <w:kern w:val="0"/>
          <w:sz w:val="24"/>
        </w:rPr>
        <w:t>信息披露</w:t>
      </w:r>
      <w:r>
        <w:rPr>
          <w:rFonts w:ascii="仿宋" w:eastAsia="仿宋" w:hAnsi="仿宋" w:cs="宋体" w:hint="eastAsia"/>
          <w:color w:val="000000"/>
          <w:kern w:val="0"/>
          <w:sz w:val="24"/>
        </w:rPr>
        <w:t>及重大事项公告</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1</w:t>
      </w:r>
      <w:r>
        <w:rPr>
          <w:rFonts w:ascii="仿宋" w:eastAsia="仿宋" w:hAnsi="仿宋" w:cs="宋体" w:hint="eastAsia"/>
          <w:color w:val="000000"/>
          <w:kern w:val="0"/>
          <w:sz w:val="24"/>
        </w:rPr>
        <w:t>.</w:t>
      </w:r>
      <w:r>
        <w:rPr>
          <w:rFonts w:ascii="仿宋" w:eastAsia="仿宋" w:hAnsi="仿宋" w:cs="宋体" w:hint="eastAsia"/>
          <w:kern w:val="0"/>
          <w:sz w:val="24"/>
        </w:rPr>
        <w:t>根据监管规定及业务需要，管理人可进行临时信息披露，涉及事项包括但不限于：管理人、托管人发生变更，理财产品投资非标准化债权类资产或信贷资产受（收）益权，</w:t>
      </w:r>
      <w:r>
        <w:rPr>
          <w:rFonts w:ascii="仿宋" w:eastAsia="仿宋" w:hAnsi="仿宋" w:cs="宋体"/>
          <w:kern w:val="0"/>
          <w:sz w:val="24"/>
        </w:rPr>
        <w:t>调整</w:t>
      </w:r>
      <w:r>
        <w:rPr>
          <w:rFonts w:ascii="仿宋" w:eastAsia="仿宋" w:hAnsi="仿宋" w:cs="宋体" w:hint="eastAsia"/>
          <w:kern w:val="0"/>
          <w:sz w:val="24"/>
        </w:rPr>
        <w:t>业绩比较基准以及</w:t>
      </w:r>
      <w:r>
        <w:rPr>
          <w:rFonts w:ascii="仿宋" w:eastAsia="仿宋" w:hAnsi="仿宋" w:cs="宋体"/>
          <w:kern w:val="0"/>
          <w:sz w:val="24"/>
        </w:rPr>
        <w:t>其他需披露的事项</w:t>
      </w:r>
      <w:r>
        <w:rPr>
          <w:rFonts w:ascii="仿宋" w:eastAsia="仿宋" w:hAnsi="仿宋" w:cs="宋体" w:hint="eastAsia"/>
          <w:kern w:val="0"/>
          <w:sz w:val="24"/>
        </w:rPr>
        <w:t>。</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2</w:t>
      </w:r>
      <w:r>
        <w:rPr>
          <w:rFonts w:ascii="仿宋" w:eastAsia="仿宋" w:hAnsi="仿宋" w:cs="宋体" w:hint="eastAsia"/>
          <w:color w:val="000000"/>
          <w:kern w:val="0"/>
          <w:sz w:val="24"/>
        </w:rPr>
        <w:t>.</w:t>
      </w:r>
      <w:r>
        <w:rPr>
          <w:rFonts w:ascii="仿宋" w:eastAsia="仿宋" w:hAnsi="仿宋" w:cs="宋体"/>
          <w:color w:val="000000"/>
          <w:kern w:val="0"/>
          <w:sz w:val="24"/>
        </w:rPr>
        <w:t>本理财产品存续期间如发生华夏</w:t>
      </w:r>
      <w:r>
        <w:rPr>
          <w:rFonts w:ascii="仿宋" w:eastAsia="仿宋" w:hAnsi="仿宋" w:cs="宋体" w:hint="eastAsia"/>
          <w:color w:val="000000"/>
          <w:kern w:val="0"/>
          <w:sz w:val="24"/>
        </w:rPr>
        <w:t>理财</w:t>
      </w:r>
      <w:r>
        <w:rPr>
          <w:rFonts w:ascii="仿宋" w:eastAsia="仿宋" w:hAnsi="仿宋" w:cs="宋体"/>
          <w:color w:val="000000"/>
          <w:kern w:val="0"/>
          <w:sz w:val="24"/>
        </w:rPr>
        <w:t>认为可能影响产品正常运作的重大不利事项时，包括但不限于市场发生重大变化、投资的资产质量发生重大变化或者其它可能对投资者权益产生重大影响的突发事件时，华夏</w:t>
      </w:r>
      <w:r>
        <w:rPr>
          <w:rFonts w:ascii="仿宋" w:eastAsia="仿宋" w:hAnsi="仿宋" w:cs="宋体" w:hint="eastAsia"/>
          <w:color w:val="000000"/>
          <w:kern w:val="0"/>
          <w:sz w:val="24"/>
        </w:rPr>
        <w:t>理财将在事项发生后</w:t>
      </w:r>
      <w:r>
        <w:rPr>
          <w:rFonts w:ascii="仿宋" w:eastAsia="仿宋" w:hAnsi="仿宋" w:cs="宋体"/>
          <w:color w:val="000000"/>
          <w:kern w:val="0"/>
          <w:sz w:val="24"/>
        </w:rPr>
        <w:t>2</w:t>
      </w:r>
      <w:r>
        <w:rPr>
          <w:rFonts w:ascii="仿宋" w:eastAsia="仿宋" w:hAnsi="仿宋" w:cs="宋体" w:hint="eastAsia"/>
          <w:color w:val="000000"/>
          <w:kern w:val="0"/>
          <w:sz w:val="24"/>
        </w:rPr>
        <w:t>个</w:t>
      </w:r>
      <w:r>
        <w:rPr>
          <w:rFonts w:ascii="仿宋" w:eastAsia="仿宋" w:hAnsi="仿宋" w:cs="宋体"/>
          <w:color w:val="000000"/>
          <w:kern w:val="0"/>
          <w:sz w:val="24"/>
        </w:rPr>
        <w:t>工作</w:t>
      </w:r>
      <w:r>
        <w:rPr>
          <w:rFonts w:ascii="仿宋" w:eastAsia="仿宋" w:hAnsi="仿宋" w:cs="宋体" w:hint="eastAsia"/>
          <w:color w:val="000000"/>
          <w:kern w:val="0"/>
          <w:sz w:val="24"/>
        </w:rPr>
        <w:t>日内通过本产品说明书约定的信息披露渠道予以披露</w:t>
      </w:r>
      <w:r>
        <w:rPr>
          <w:rFonts w:ascii="仿宋" w:eastAsia="仿宋" w:hAnsi="仿宋" w:cs="宋体"/>
          <w:color w:val="000000"/>
          <w:kern w:val="0"/>
          <w:sz w:val="24"/>
        </w:rPr>
        <w:t>。</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kern w:val="0"/>
          <w:sz w:val="24"/>
        </w:rPr>
      </w:pPr>
      <w:r>
        <w:rPr>
          <w:rFonts w:ascii="仿宋" w:eastAsia="仿宋" w:hAnsi="仿宋" w:cs="宋体" w:hint="eastAsia"/>
          <w:kern w:val="0"/>
          <w:sz w:val="24"/>
        </w:rPr>
        <w:t>3.</w:t>
      </w:r>
      <w:r>
        <w:rPr>
          <w:rFonts w:ascii="仿宋" w:eastAsia="仿宋" w:hAnsi="仿宋" w:cs="宋体"/>
          <w:kern w:val="0"/>
          <w:sz w:val="24"/>
        </w:rPr>
        <w:t>管理人</w:t>
      </w:r>
      <w:r>
        <w:rPr>
          <w:rFonts w:ascii="仿宋" w:eastAsia="仿宋" w:hAnsi="仿宋" w:cs="宋体" w:hint="eastAsia"/>
          <w:kern w:val="0"/>
          <w:sz w:val="24"/>
        </w:rPr>
        <w:t>有权调整管理费（</w:t>
      </w:r>
      <w:proofErr w:type="gramStart"/>
      <w:r>
        <w:rPr>
          <w:rFonts w:ascii="仿宋" w:eastAsia="仿宋" w:hAnsi="仿宋" w:cs="宋体" w:hint="eastAsia"/>
          <w:kern w:val="0"/>
          <w:sz w:val="24"/>
        </w:rPr>
        <w:t>含</w:t>
      </w:r>
      <w:r>
        <w:rPr>
          <w:rFonts w:ascii="仿宋" w:eastAsia="仿宋" w:hAnsi="仿宋" w:cs="宋体"/>
          <w:kern w:val="0"/>
          <w:sz w:val="24"/>
        </w:rPr>
        <w:t>固定</w:t>
      </w:r>
      <w:proofErr w:type="gramEnd"/>
      <w:r>
        <w:rPr>
          <w:rFonts w:ascii="仿宋" w:eastAsia="仿宋" w:hAnsi="仿宋" w:cs="宋体"/>
          <w:kern w:val="0"/>
          <w:sz w:val="24"/>
        </w:rPr>
        <w:t>管理费、</w:t>
      </w:r>
      <w:r>
        <w:rPr>
          <w:rFonts w:ascii="仿宋" w:eastAsia="仿宋" w:hAnsi="仿宋" w:hint="eastAsia"/>
          <w:sz w:val="24"/>
        </w:rPr>
        <w:t>超额管理费</w:t>
      </w:r>
      <w:r>
        <w:rPr>
          <w:rFonts w:ascii="仿宋" w:eastAsia="仿宋" w:hAnsi="仿宋" w:cs="宋体" w:hint="eastAsia"/>
          <w:kern w:val="0"/>
          <w:sz w:val="24"/>
        </w:rPr>
        <w:t>）</w:t>
      </w:r>
      <w:r>
        <w:rPr>
          <w:rFonts w:ascii="仿宋" w:eastAsia="仿宋" w:hAnsi="仿宋" w:cs="宋体"/>
          <w:kern w:val="0"/>
          <w:sz w:val="24"/>
        </w:rPr>
        <w:t>、托管费、销售</w:t>
      </w:r>
      <w:r>
        <w:rPr>
          <w:rFonts w:ascii="仿宋" w:eastAsia="仿宋" w:hAnsi="仿宋" w:cs="宋体" w:hint="eastAsia"/>
          <w:kern w:val="0"/>
          <w:sz w:val="24"/>
        </w:rPr>
        <w:t>手续</w:t>
      </w:r>
      <w:r>
        <w:rPr>
          <w:rFonts w:ascii="仿宋" w:eastAsia="仿宋" w:hAnsi="仿宋" w:cs="宋体"/>
          <w:kern w:val="0"/>
          <w:sz w:val="24"/>
        </w:rPr>
        <w:t>费</w:t>
      </w:r>
      <w:r>
        <w:rPr>
          <w:rFonts w:ascii="仿宋" w:eastAsia="仿宋" w:hAnsi="仿宋" w:hint="eastAsia"/>
          <w:sz w:val="24"/>
        </w:rPr>
        <w:t>等费用</w:t>
      </w:r>
      <w:r>
        <w:rPr>
          <w:rFonts w:ascii="仿宋" w:eastAsia="仿宋" w:hAnsi="仿宋" w:cs="宋体"/>
          <w:kern w:val="0"/>
          <w:sz w:val="24"/>
        </w:rPr>
        <w:t>的</w:t>
      </w:r>
      <w:r>
        <w:rPr>
          <w:rFonts w:ascii="仿宋" w:eastAsia="仿宋" w:hAnsi="仿宋" w:cs="宋体" w:hint="eastAsia"/>
          <w:kern w:val="0"/>
          <w:sz w:val="24"/>
        </w:rPr>
        <w:t>收费项目、条件、标准和方式，并</w:t>
      </w:r>
      <w:r>
        <w:rPr>
          <w:rFonts w:ascii="仿宋" w:eastAsia="仿宋" w:hAnsi="仿宋" w:cs="宋体"/>
          <w:color w:val="000000"/>
          <w:kern w:val="0"/>
          <w:sz w:val="24"/>
        </w:rPr>
        <w:t>将于</w:t>
      </w:r>
      <w:r>
        <w:rPr>
          <w:rFonts w:ascii="仿宋" w:eastAsia="仿宋" w:hAnsi="仿宋" w:cs="宋体" w:hint="eastAsia"/>
          <w:color w:val="000000"/>
          <w:kern w:val="0"/>
          <w:sz w:val="24"/>
        </w:rPr>
        <w:t>上述调整生效</w:t>
      </w:r>
      <w:r>
        <w:rPr>
          <w:rFonts w:ascii="仿宋" w:eastAsia="仿宋" w:hAnsi="仿宋" w:cs="宋体"/>
          <w:color w:val="000000"/>
          <w:kern w:val="0"/>
          <w:sz w:val="24"/>
        </w:rPr>
        <w:t>日的前3个工作日</w:t>
      </w:r>
      <w:r>
        <w:rPr>
          <w:rFonts w:ascii="仿宋" w:eastAsia="仿宋" w:hAnsi="仿宋" w:cs="宋体" w:hint="eastAsia"/>
          <w:kern w:val="0"/>
          <w:sz w:val="24"/>
        </w:rPr>
        <w:t>通过</w:t>
      </w:r>
      <w:r>
        <w:rPr>
          <w:rFonts w:ascii="仿宋" w:eastAsia="仿宋" w:hAnsi="仿宋" w:cs="宋体" w:hint="eastAsia"/>
          <w:color w:val="000000"/>
          <w:kern w:val="0"/>
          <w:sz w:val="24"/>
        </w:rPr>
        <w:t>本产品说明书约定的信息披露渠道予以公告</w:t>
      </w:r>
      <w:r>
        <w:rPr>
          <w:rFonts w:ascii="仿宋" w:eastAsia="仿宋" w:hAnsi="仿宋" w:cs="宋体" w:hint="eastAsia"/>
          <w:kern w:val="0"/>
          <w:sz w:val="24"/>
        </w:rPr>
        <w:t>；其中，对于华夏理财增加费用名目、提高收费标准等对投资者利益产生实质不利影响的情形，投资者如不接受，可按</w:t>
      </w:r>
      <w:r>
        <w:rPr>
          <w:rFonts w:ascii="仿宋" w:eastAsia="仿宋" w:hAnsi="仿宋" w:cs="宋体"/>
          <w:kern w:val="0"/>
          <w:sz w:val="24"/>
        </w:rPr>
        <w:t>信息披露中确定的方式</w:t>
      </w:r>
      <w:r>
        <w:rPr>
          <w:rFonts w:ascii="仿宋" w:eastAsia="仿宋" w:hAnsi="仿宋" w:cs="宋体" w:hint="eastAsia"/>
          <w:kern w:val="0"/>
          <w:sz w:val="24"/>
        </w:rPr>
        <w:t>和</w:t>
      </w:r>
      <w:r>
        <w:rPr>
          <w:rFonts w:ascii="仿宋" w:eastAsia="仿宋" w:hAnsi="仿宋" w:cs="宋体"/>
          <w:kern w:val="0"/>
          <w:sz w:val="24"/>
        </w:rPr>
        <w:t>时限</w:t>
      </w:r>
      <w:r>
        <w:rPr>
          <w:rFonts w:ascii="仿宋" w:eastAsia="仿宋" w:hAnsi="仿宋" w:cs="宋体" w:hint="eastAsia"/>
          <w:kern w:val="0"/>
          <w:sz w:val="24"/>
        </w:rPr>
        <w:t>提前赎回本理财产品。</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kern w:val="0"/>
          <w:sz w:val="24"/>
        </w:rPr>
      </w:pPr>
      <w:r>
        <w:rPr>
          <w:rFonts w:ascii="仿宋" w:eastAsia="仿宋" w:hAnsi="仿宋" w:cs="宋体"/>
          <w:kern w:val="0"/>
          <w:sz w:val="24"/>
        </w:rPr>
        <w:t>4</w:t>
      </w:r>
      <w:r>
        <w:rPr>
          <w:rFonts w:ascii="仿宋" w:eastAsia="仿宋" w:hAnsi="仿宋" w:cs="宋体" w:hint="eastAsia"/>
          <w:kern w:val="0"/>
          <w:sz w:val="24"/>
        </w:rPr>
        <w:t>.</w:t>
      </w:r>
      <w:r>
        <w:rPr>
          <w:rFonts w:ascii="仿宋" w:eastAsia="仿宋" w:hAnsi="仿宋" w:cs="宋体"/>
          <w:kern w:val="0"/>
          <w:sz w:val="24"/>
        </w:rPr>
        <w:t>管理人</w:t>
      </w:r>
      <w:r>
        <w:rPr>
          <w:rFonts w:ascii="仿宋" w:eastAsia="仿宋" w:hAnsi="仿宋" w:cs="宋体" w:hint="eastAsia"/>
          <w:kern w:val="0"/>
          <w:sz w:val="24"/>
        </w:rPr>
        <w:t>有权根据市场情况调整本理财产品</w:t>
      </w:r>
      <w:r>
        <w:rPr>
          <w:rFonts w:ascii="仿宋" w:eastAsia="仿宋" w:hAnsi="仿宋" w:cs="宋体"/>
          <w:kern w:val="0"/>
          <w:sz w:val="24"/>
        </w:rPr>
        <w:t>的</w:t>
      </w:r>
      <w:r>
        <w:rPr>
          <w:rFonts w:ascii="仿宋" w:eastAsia="仿宋" w:hAnsi="仿宋" w:cs="宋体" w:hint="eastAsia"/>
          <w:kern w:val="0"/>
          <w:sz w:val="24"/>
        </w:rPr>
        <w:t>投资范围、投资资产种类或投资比例，并通过</w:t>
      </w:r>
      <w:r>
        <w:rPr>
          <w:rFonts w:ascii="仿宋" w:eastAsia="仿宋" w:hAnsi="仿宋" w:cs="宋体" w:hint="eastAsia"/>
          <w:color w:val="000000"/>
          <w:kern w:val="0"/>
          <w:sz w:val="24"/>
        </w:rPr>
        <w:t>本产品说明书约定的信息披露渠道予以公告</w:t>
      </w:r>
      <w:r>
        <w:rPr>
          <w:rFonts w:ascii="仿宋" w:eastAsia="仿宋" w:hAnsi="仿宋" w:cs="宋体" w:hint="eastAsia"/>
          <w:kern w:val="0"/>
          <w:sz w:val="24"/>
        </w:rPr>
        <w:t>。具体</w:t>
      </w:r>
      <w:r>
        <w:rPr>
          <w:rFonts w:ascii="仿宋" w:eastAsia="仿宋" w:hAnsi="仿宋" w:cs="宋体"/>
          <w:kern w:val="0"/>
          <w:sz w:val="24"/>
        </w:rPr>
        <w:t>规则详见</w:t>
      </w:r>
      <w:r>
        <w:rPr>
          <w:rFonts w:ascii="仿宋" w:eastAsia="仿宋" w:hAnsi="仿宋" w:cs="宋体" w:hint="eastAsia"/>
          <w:kern w:val="0"/>
          <w:sz w:val="24"/>
        </w:rPr>
        <w:t>“二</w:t>
      </w:r>
      <w:r>
        <w:rPr>
          <w:rFonts w:ascii="仿宋" w:eastAsia="仿宋" w:hAnsi="仿宋" w:cs="宋体"/>
          <w:kern w:val="0"/>
          <w:sz w:val="24"/>
        </w:rPr>
        <w:t>、投资对象</w:t>
      </w:r>
      <w:r>
        <w:rPr>
          <w:rFonts w:ascii="仿宋" w:eastAsia="仿宋" w:hAnsi="仿宋" w:cs="宋体" w:hint="eastAsia"/>
          <w:kern w:val="0"/>
          <w:sz w:val="24"/>
        </w:rPr>
        <w:t>”。</w:t>
      </w:r>
    </w:p>
    <w:p w:rsidR="0092528D" w:rsidRDefault="0092528D">
      <w:pPr>
        <w:autoSpaceDE w:val="0"/>
        <w:autoSpaceDN w:val="0"/>
        <w:adjustRightInd w:val="0"/>
        <w:snapToGrid w:val="0"/>
        <w:spacing w:line="276" w:lineRule="auto"/>
        <w:ind w:firstLineChars="200" w:firstLine="480"/>
        <w:contextualSpacing/>
        <w:rPr>
          <w:rFonts w:ascii="仿宋" w:eastAsia="仿宋" w:hAnsi="仿宋" w:cs="仿宋"/>
          <w:b/>
          <w:kern w:val="0"/>
          <w:sz w:val="24"/>
        </w:rPr>
      </w:pPr>
      <w:r>
        <w:rPr>
          <w:rFonts w:ascii="仿宋" w:eastAsia="仿宋" w:hAnsi="仿宋" w:cs="宋体"/>
          <w:kern w:val="0"/>
          <w:sz w:val="24"/>
        </w:rPr>
        <w:t>5</w:t>
      </w:r>
      <w:r>
        <w:rPr>
          <w:rFonts w:ascii="仿宋" w:eastAsia="仿宋" w:hAnsi="仿宋" w:cs="宋体" w:hint="eastAsia"/>
          <w:kern w:val="0"/>
          <w:sz w:val="24"/>
        </w:rPr>
        <w:t>.</w:t>
      </w:r>
      <w:r>
        <w:rPr>
          <w:rFonts w:ascii="仿宋" w:eastAsia="仿宋" w:hAnsi="仿宋" w:cs="仿宋" w:hint="eastAsia"/>
          <w:kern w:val="0"/>
          <w:sz w:val="24"/>
        </w:rPr>
        <w:t>在发生涉及理财产品认（申）购、赎回事项调整或潜在影响投资者赎回等事项时，</w:t>
      </w:r>
      <w:r>
        <w:rPr>
          <w:rFonts w:ascii="仿宋" w:eastAsia="仿宋" w:hAnsi="仿宋" w:cs="宋体"/>
          <w:kern w:val="0"/>
          <w:sz w:val="24"/>
        </w:rPr>
        <w:t>管理人</w:t>
      </w:r>
      <w:r>
        <w:rPr>
          <w:rFonts w:ascii="仿宋" w:eastAsia="仿宋" w:hAnsi="仿宋" w:cs="仿宋" w:hint="eastAsia"/>
          <w:kern w:val="0"/>
          <w:sz w:val="24"/>
        </w:rPr>
        <w:t>将通过</w:t>
      </w:r>
      <w:r>
        <w:rPr>
          <w:rFonts w:ascii="仿宋" w:eastAsia="仿宋" w:hAnsi="仿宋" w:cs="宋体" w:hint="eastAsia"/>
          <w:color w:val="000000"/>
          <w:kern w:val="0"/>
          <w:sz w:val="24"/>
        </w:rPr>
        <w:t>本产品说明书约定的信息披露渠道</w:t>
      </w:r>
      <w:r>
        <w:rPr>
          <w:rFonts w:ascii="仿宋" w:eastAsia="仿宋" w:hAnsi="仿宋" w:cs="仿宋" w:hint="eastAsia"/>
          <w:kern w:val="0"/>
          <w:sz w:val="24"/>
        </w:rPr>
        <w:t>发布临时公告。</w:t>
      </w:r>
    </w:p>
    <w:p w:rsidR="0092528D" w:rsidRDefault="0092528D">
      <w:pPr>
        <w:autoSpaceDE w:val="0"/>
        <w:autoSpaceDN w:val="0"/>
        <w:adjustRightInd w:val="0"/>
        <w:snapToGrid w:val="0"/>
        <w:spacing w:line="276" w:lineRule="auto"/>
        <w:ind w:firstLineChars="200" w:firstLine="480"/>
        <w:rPr>
          <w:rFonts w:ascii="仿宋" w:eastAsia="仿宋" w:hAnsi="仿宋" w:cs="仿宋"/>
          <w:kern w:val="0"/>
          <w:sz w:val="24"/>
        </w:rPr>
      </w:pPr>
      <w:r>
        <w:rPr>
          <w:rFonts w:ascii="仿宋" w:eastAsia="仿宋" w:hAnsi="仿宋" w:cs="宋体"/>
          <w:kern w:val="0"/>
          <w:sz w:val="24"/>
        </w:rPr>
        <w:t>6</w:t>
      </w:r>
      <w:r>
        <w:rPr>
          <w:rFonts w:ascii="仿宋" w:eastAsia="仿宋" w:hAnsi="仿宋" w:cs="宋体" w:hint="eastAsia"/>
          <w:kern w:val="0"/>
          <w:sz w:val="24"/>
        </w:rPr>
        <w:t>.</w:t>
      </w:r>
      <w:r>
        <w:rPr>
          <w:rFonts w:ascii="仿宋" w:eastAsia="仿宋" w:hAnsi="仿宋" w:cs="仿宋" w:hint="eastAsia"/>
          <w:kern w:val="0"/>
          <w:sz w:val="24"/>
        </w:rPr>
        <w:t>在运用收取短期赎回费、摆动定价等措施后，</w:t>
      </w:r>
      <w:r>
        <w:rPr>
          <w:rFonts w:ascii="仿宋" w:eastAsia="仿宋" w:hAnsi="仿宋" w:cs="宋体" w:hint="eastAsia"/>
          <w:kern w:val="0"/>
          <w:sz w:val="24"/>
        </w:rPr>
        <w:t>管理人将</w:t>
      </w:r>
      <w:r>
        <w:rPr>
          <w:rFonts w:ascii="仿宋" w:eastAsia="仿宋" w:hAnsi="仿宋" w:cs="仿宋" w:hint="eastAsia"/>
          <w:kern w:val="0"/>
          <w:sz w:val="24"/>
        </w:rPr>
        <w:t>在3个工作日内，通过</w:t>
      </w:r>
      <w:r>
        <w:rPr>
          <w:rFonts w:ascii="仿宋" w:eastAsia="仿宋" w:hAnsi="仿宋" w:cs="宋体" w:hint="eastAsia"/>
          <w:kern w:val="0"/>
          <w:sz w:val="24"/>
        </w:rPr>
        <w:t>本产品说明书约定的信息披露渠道披露</w:t>
      </w:r>
      <w:r>
        <w:rPr>
          <w:rFonts w:ascii="仿宋" w:eastAsia="仿宋" w:hAnsi="仿宋" w:cs="仿宋" w:hint="eastAsia"/>
          <w:kern w:val="0"/>
          <w:sz w:val="24"/>
        </w:rPr>
        <w:t>相关信息。</w:t>
      </w:r>
    </w:p>
    <w:p w:rsidR="0092528D" w:rsidRDefault="0092528D" w:rsidP="00A12304">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hint="eastAsia"/>
          <w:kern w:val="0"/>
          <w:sz w:val="24"/>
        </w:rPr>
        <w:t>7．</w:t>
      </w:r>
      <w:r>
        <w:rPr>
          <w:rFonts w:ascii="仿宋" w:eastAsia="仿宋" w:hAnsi="仿宋" w:cs="仿宋" w:hint="eastAsia"/>
          <w:kern w:val="0"/>
          <w:sz w:val="24"/>
        </w:rPr>
        <w:t>在运用暂停认（申）购、延期办理巨额赎回申请、暂停接受赎回申请、延缓支付赎回款项、暂停理财产品估值等措施后，</w:t>
      </w:r>
      <w:r>
        <w:rPr>
          <w:rFonts w:ascii="仿宋" w:eastAsia="仿宋" w:hAnsi="仿宋" w:cs="宋体" w:hint="eastAsia"/>
          <w:kern w:val="0"/>
          <w:sz w:val="24"/>
        </w:rPr>
        <w:t>管理人</w:t>
      </w:r>
      <w:r>
        <w:rPr>
          <w:rFonts w:ascii="仿宋" w:eastAsia="仿宋" w:hAnsi="仿宋" w:cs="仿宋" w:hint="eastAsia"/>
          <w:kern w:val="0"/>
          <w:sz w:val="24"/>
        </w:rPr>
        <w:t>将在3个工作日内，通</w:t>
      </w:r>
      <w:r>
        <w:rPr>
          <w:rFonts w:ascii="仿宋" w:eastAsia="仿宋" w:hAnsi="仿宋" w:cs="仿宋" w:hint="eastAsia"/>
          <w:kern w:val="0"/>
          <w:sz w:val="24"/>
        </w:rPr>
        <w:lastRenderedPageBreak/>
        <w:t>过</w:t>
      </w:r>
      <w:r>
        <w:rPr>
          <w:rFonts w:ascii="仿宋" w:eastAsia="仿宋" w:hAnsi="仿宋" w:cs="宋体" w:hint="eastAsia"/>
          <w:kern w:val="0"/>
          <w:sz w:val="24"/>
        </w:rPr>
        <w:t>本产品说明书约定的信息披露渠道披露</w:t>
      </w:r>
      <w:r>
        <w:rPr>
          <w:rFonts w:ascii="仿宋" w:eastAsia="仿宋" w:hAnsi="仿宋" w:cs="仿宋" w:hint="eastAsia"/>
          <w:kern w:val="0"/>
          <w:sz w:val="24"/>
        </w:rPr>
        <w:t>相关信息，并说明运用相关措施的原因、拟采取的应对安排等。</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kern w:val="0"/>
          <w:sz w:val="24"/>
        </w:rPr>
      </w:pPr>
      <w:r>
        <w:rPr>
          <w:rFonts w:ascii="仿宋" w:eastAsia="仿宋" w:hAnsi="仿宋" w:cs="宋体"/>
          <w:kern w:val="0"/>
          <w:sz w:val="24"/>
        </w:rPr>
        <w:t>（</w:t>
      </w:r>
      <w:r>
        <w:rPr>
          <w:rFonts w:ascii="仿宋" w:eastAsia="仿宋" w:hAnsi="仿宋" w:cs="宋体" w:hint="eastAsia"/>
          <w:kern w:val="0"/>
          <w:sz w:val="24"/>
        </w:rPr>
        <w:t>三</w:t>
      </w:r>
      <w:r>
        <w:rPr>
          <w:rFonts w:ascii="仿宋" w:eastAsia="仿宋" w:hAnsi="仿宋" w:cs="宋体"/>
          <w:kern w:val="0"/>
          <w:sz w:val="24"/>
        </w:rPr>
        <w:t>）</w:t>
      </w:r>
      <w:r>
        <w:rPr>
          <w:rFonts w:ascii="仿宋" w:eastAsia="仿宋" w:hAnsi="仿宋" w:cs="宋体" w:hint="eastAsia"/>
          <w:kern w:val="0"/>
          <w:sz w:val="24"/>
        </w:rPr>
        <w:t>管理人</w:t>
      </w:r>
      <w:r>
        <w:rPr>
          <w:rFonts w:ascii="仿宋" w:eastAsia="仿宋" w:hAnsi="仿宋" w:cs="宋体"/>
          <w:kern w:val="0"/>
          <w:sz w:val="24"/>
        </w:rPr>
        <w:t>信息披露</w:t>
      </w:r>
      <w:r>
        <w:rPr>
          <w:rFonts w:ascii="仿宋" w:eastAsia="仿宋" w:hAnsi="仿宋" w:cs="宋体" w:hint="eastAsia"/>
          <w:kern w:val="0"/>
          <w:sz w:val="24"/>
        </w:rPr>
        <w:t>的方式</w:t>
      </w:r>
      <w:r>
        <w:rPr>
          <w:rFonts w:ascii="仿宋" w:eastAsia="仿宋" w:hAnsi="仿宋" w:cs="宋体"/>
          <w:kern w:val="0"/>
          <w:sz w:val="24"/>
        </w:rPr>
        <w:t>及披露渠道</w:t>
      </w:r>
    </w:p>
    <w:p w:rsidR="0092528D" w:rsidRDefault="0092528D">
      <w:pPr>
        <w:autoSpaceDE w:val="0"/>
        <w:autoSpaceDN w:val="0"/>
        <w:adjustRightInd w:val="0"/>
        <w:snapToGrid w:val="0"/>
        <w:spacing w:line="276" w:lineRule="auto"/>
        <w:ind w:firstLineChars="200" w:firstLine="482"/>
        <w:contextualSpacing/>
        <w:rPr>
          <w:rFonts w:ascii="仿宋" w:eastAsia="仿宋" w:hAnsi="仿宋" w:cs="宋体"/>
          <w:kern w:val="0"/>
          <w:sz w:val="24"/>
        </w:rPr>
      </w:pPr>
      <w:r>
        <w:rPr>
          <w:rFonts w:ascii="仿宋" w:eastAsia="仿宋" w:hAnsi="仿宋" w:cs="宋体" w:hint="eastAsia"/>
          <w:b/>
          <w:kern w:val="0"/>
          <w:sz w:val="24"/>
        </w:rPr>
        <w:t>管理人将通过</w:t>
      </w:r>
      <w:r>
        <w:rPr>
          <w:rFonts w:ascii="仿宋" w:eastAsia="仿宋" w:hAnsi="仿宋" w:cs="宋体"/>
          <w:b/>
          <w:kern w:val="0"/>
          <w:sz w:val="24"/>
        </w:rPr>
        <w:t>华夏银行</w:t>
      </w:r>
      <w:r>
        <w:rPr>
          <w:rFonts w:ascii="仿宋" w:eastAsia="仿宋" w:hAnsi="仿宋" w:cs="宋体" w:hint="eastAsia"/>
          <w:b/>
          <w:kern w:val="0"/>
          <w:sz w:val="24"/>
        </w:rPr>
        <w:t>官方</w:t>
      </w:r>
      <w:r>
        <w:rPr>
          <w:rFonts w:ascii="仿宋" w:eastAsia="仿宋" w:hAnsi="仿宋" w:cs="宋体"/>
          <w:b/>
          <w:kern w:val="0"/>
          <w:sz w:val="24"/>
        </w:rPr>
        <w:t>网站、</w:t>
      </w:r>
      <w:r>
        <w:rPr>
          <w:rFonts w:ascii="仿宋" w:eastAsia="仿宋" w:hAnsi="仿宋" w:cs="宋体" w:hint="eastAsia"/>
          <w:b/>
          <w:kern w:val="0"/>
          <w:sz w:val="24"/>
        </w:rPr>
        <w:t>代销</w:t>
      </w:r>
      <w:r>
        <w:rPr>
          <w:rFonts w:ascii="仿宋" w:eastAsia="仿宋" w:hAnsi="仿宋" w:cs="宋体"/>
          <w:b/>
          <w:kern w:val="0"/>
          <w:sz w:val="24"/>
        </w:rPr>
        <w:t>机构（如有）信息披露渠道</w:t>
      </w:r>
      <w:r>
        <w:rPr>
          <w:rFonts w:ascii="仿宋" w:eastAsia="仿宋" w:hAnsi="仿宋" w:cs="宋体" w:hint="eastAsia"/>
          <w:b/>
          <w:kern w:val="0"/>
          <w:sz w:val="24"/>
        </w:rPr>
        <w:t>等进行</w:t>
      </w:r>
      <w:r>
        <w:rPr>
          <w:rFonts w:ascii="仿宋" w:eastAsia="仿宋" w:hAnsi="仿宋" w:cs="宋体"/>
          <w:b/>
          <w:kern w:val="0"/>
          <w:sz w:val="24"/>
        </w:rPr>
        <w:t>上述信息的披露。投资者应</w:t>
      </w:r>
      <w:r>
        <w:rPr>
          <w:rFonts w:ascii="仿宋" w:eastAsia="仿宋" w:hAnsi="仿宋" w:cs="宋体" w:hint="eastAsia"/>
          <w:b/>
          <w:kern w:val="0"/>
          <w:sz w:val="24"/>
        </w:rPr>
        <w:t>持续</w:t>
      </w:r>
      <w:r>
        <w:rPr>
          <w:rFonts w:ascii="仿宋" w:eastAsia="仿宋" w:hAnsi="仿宋" w:cs="宋体"/>
          <w:b/>
          <w:kern w:val="0"/>
          <w:sz w:val="24"/>
        </w:rPr>
        <w:t>通过上述渠道获知有关信息或</w:t>
      </w:r>
      <w:r>
        <w:rPr>
          <w:rFonts w:ascii="仿宋" w:eastAsia="仿宋" w:hAnsi="仿宋" w:cs="宋体" w:hint="eastAsia"/>
          <w:b/>
          <w:kern w:val="0"/>
          <w:sz w:val="24"/>
        </w:rPr>
        <w:t>主动</w:t>
      </w:r>
      <w:r>
        <w:rPr>
          <w:rFonts w:ascii="仿宋" w:eastAsia="仿宋" w:hAnsi="仿宋" w:cs="宋体"/>
          <w:b/>
          <w:kern w:val="0"/>
          <w:sz w:val="24"/>
        </w:rPr>
        <w:t>致电华夏银行全国统一投资者服务热线（</w:t>
      </w:r>
      <w:r>
        <w:rPr>
          <w:rFonts w:ascii="仿宋" w:eastAsia="仿宋" w:hAnsi="仿宋" w:cs="宋体" w:hint="eastAsia"/>
          <w:b/>
          <w:kern w:val="0"/>
          <w:sz w:val="24"/>
        </w:rPr>
        <w:t>95</w:t>
      </w:r>
      <w:r>
        <w:rPr>
          <w:rFonts w:ascii="仿宋" w:eastAsia="仿宋" w:hAnsi="仿宋" w:cs="宋体"/>
          <w:b/>
          <w:kern w:val="0"/>
          <w:sz w:val="24"/>
        </w:rPr>
        <w:t>577）查询</w:t>
      </w:r>
      <w:r>
        <w:rPr>
          <w:rFonts w:ascii="仿宋" w:eastAsia="仿宋" w:hAnsi="仿宋" w:cs="宋体" w:hint="eastAsia"/>
          <w:kern w:val="0"/>
          <w:sz w:val="24"/>
        </w:rPr>
        <w:t>。</w:t>
      </w:r>
    </w:p>
    <w:p w:rsidR="0092528D" w:rsidRDefault="0092528D">
      <w:pPr>
        <w:autoSpaceDE w:val="0"/>
        <w:autoSpaceDN w:val="0"/>
        <w:adjustRightInd w:val="0"/>
        <w:snapToGrid w:val="0"/>
        <w:spacing w:line="276" w:lineRule="auto"/>
        <w:ind w:firstLineChars="200" w:firstLine="480"/>
        <w:contextualSpacing/>
        <w:outlineLvl w:val="1"/>
        <w:rPr>
          <w:rFonts w:ascii="仿宋" w:eastAsia="仿宋" w:hAnsi="仿宋" w:cs="宋体"/>
          <w:kern w:val="0"/>
          <w:sz w:val="24"/>
        </w:rPr>
      </w:pPr>
      <w:r>
        <w:rPr>
          <w:rFonts w:ascii="仿宋" w:eastAsia="仿宋" w:hAnsi="仿宋" w:cs="宋体" w:hint="eastAsia"/>
          <w:kern w:val="0"/>
          <w:sz w:val="24"/>
        </w:rPr>
        <w:t>（四）投资者关于信息披露的确认</w:t>
      </w:r>
    </w:p>
    <w:p w:rsidR="0092528D" w:rsidRDefault="0092528D" w:rsidP="00BE7E09">
      <w:pPr>
        <w:spacing w:afterLines="50" w:after="156" w:line="276" w:lineRule="auto"/>
        <w:ind w:firstLine="480"/>
        <w:contextualSpacing/>
        <w:rPr>
          <w:rFonts w:ascii="仿宋" w:eastAsia="仿宋" w:hAnsi="仿宋"/>
        </w:rPr>
      </w:pPr>
      <w:r>
        <w:rPr>
          <w:rFonts w:ascii="仿宋" w:eastAsia="仿宋" w:hAnsi="仿宋" w:cs="宋体" w:hint="eastAsia"/>
          <w:kern w:val="0"/>
          <w:sz w:val="24"/>
        </w:rPr>
        <w:t>投资者确认并同意管理人可以通过上述方式披露理财</w:t>
      </w:r>
      <w:r>
        <w:rPr>
          <w:rFonts w:ascii="仿宋" w:eastAsia="仿宋" w:hAnsi="仿宋" w:cs="宋体"/>
          <w:kern w:val="0"/>
          <w:sz w:val="24"/>
        </w:rPr>
        <w:t>产品</w:t>
      </w:r>
      <w:r>
        <w:rPr>
          <w:rFonts w:ascii="仿宋" w:eastAsia="仿宋" w:hAnsi="仿宋" w:cs="宋体" w:hint="eastAsia"/>
          <w:kern w:val="0"/>
          <w:sz w:val="24"/>
        </w:rPr>
        <w:t>信息。投资者应及时、主动通过上述信息披露渠道浏览并阅读理财</w:t>
      </w:r>
      <w:r>
        <w:rPr>
          <w:rFonts w:ascii="仿宋" w:eastAsia="仿宋" w:hAnsi="仿宋" w:cs="宋体"/>
          <w:kern w:val="0"/>
          <w:sz w:val="24"/>
        </w:rPr>
        <w:t>产品</w:t>
      </w:r>
      <w:r>
        <w:rPr>
          <w:rFonts w:ascii="仿宋" w:eastAsia="仿宋" w:hAnsi="仿宋" w:cs="宋体" w:hint="eastAsia"/>
          <w:kern w:val="0"/>
          <w:sz w:val="24"/>
        </w:rPr>
        <w:t>信息及公告。</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十、</w:t>
      </w:r>
      <w:r>
        <w:rPr>
          <w:rFonts w:ascii="Times New Roman" w:eastAsia="黑体" w:cs="Times New Roman"/>
          <w:b/>
          <w:color w:val="auto"/>
        </w:rPr>
        <w:t>特别提示</w:t>
      </w:r>
    </w:p>
    <w:p w:rsidR="0092528D" w:rsidRDefault="0092528D">
      <w:pPr>
        <w:autoSpaceDE w:val="0"/>
        <w:autoSpaceDN w:val="0"/>
        <w:adjustRightInd w:val="0"/>
        <w:snapToGrid w:val="0"/>
        <w:spacing w:line="276" w:lineRule="auto"/>
        <w:ind w:firstLineChars="200" w:firstLine="482"/>
        <w:contextualSpacing/>
        <w:rPr>
          <w:rFonts w:ascii="黑体" w:eastAsia="黑体" w:hAnsi="黑体" w:cs="黑体"/>
          <w:b/>
          <w:bCs/>
          <w:color w:val="000000"/>
          <w:kern w:val="0"/>
          <w:sz w:val="24"/>
        </w:rPr>
      </w:pPr>
      <w:r>
        <w:rPr>
          <w:rFonts w:ascii="黑体" w:eastAsia="黑体" w:hAnsi="黑体" w:cs="黑体" w:hint="eastAsia"/>
          <w:b/>
          <w:bCs/>
          <w:color w:val="000000"/>
          <w:kern w:val="0"/>
          <w:sz w:val="24"/>
        </w:rPr>
        <w:t>本理财产品存续期内，如出于维持本产品正常运营的需要且在不损害投资者利益的前提下，或因国家法律法规、监管规定发生变化，华夏理财有权在法律允许的范围内单方修订本产品说明书。华夏理财决定修订产品说明书的，将提前3个工作日以在华夏银行官方网站公告的方式通知投资者。</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color w:val="000000"/>
          <w:kern w:val="0"/>
          <w:sz w:val="24"/>
        </w:rPr>
      </w:pPr>
      <w:r>
        <w:rPr>
          <w:rFonts w:ascii="仿宋" w:eastAsia="仿宋" w:hAnsi="仿宋" w:cs="宋体"/>
          <w:color w:val="000000"/>
          <w:kern w:val="0"/>
          <w:sz w:val="24"/>
        </w:rPr>
        <w:t>本</w:t>
      </w:r>
      <w:r>
        <w:rPr>
          <w:rFonts w:ascii="仿宋" w:eastAsia="仿宋" w:hAnsi="仿宋" w:cs="宋体" w:hint="eastAsia"/>
          <w:color w:val="000000"/>
          <w:kern w:val="0"/>
          <w:sz w:val="24"/>
        </w:rPr>
        <w:t>理财</w:t>
      </w:r>
      <w:r>
        <w:rPr>
          <w:rFonts w:ascii="仿宋" w:eastAsia="仿宋" w:hAnsi="仿宋" w:cs="宋体"/>
          <w:color w:val="000000"/>
          <w:kern w:val="0"/>
          <w:sz w:val="24"/>
        </w:rPr>
        <w:t>产品说明书</w:t>
      </w:r>
      <w:r>
        <w:rPr>
          <w:rFonts w:ascii="仿宋" w:eastAsia="仿宋" w:hAnsi="仿宋" w:cs="宋体" w:hint="eastAsia"/>
          <w:color w:val="000000"/>
          <w:kern w:val="0"/>
          <w:sz w:val="24"/>
        </w:rPr>
        <w:t>与理财产品销售/代理销售协议书、理财产品投资协议书、理财产品风险揭示书和投资者权益须知共同组成投资者与华夏理财之间理财产品合同的不可分割之组成部分</w:t>
      </w:r>
      <w:r>
        <w:rPr>
          <w:rFonts w:ascii="仿宋" w:eastAsia="仿宋" w:hAnsi="仿宋" w:cs="宋体"/>
          <w:color w:val="000000"/>
          <w:kern w:val="0"/>
          <w:sz w:val="24"/>
        </w:rPr>
        <w:t>。若投资者对本产品说明书的内容有任何疑问，请向华夏</w:t>
      </w:r>
      <w:r>
        <w:rPr>
          <w:rFonts w:ascii="仿宋" w:eastAsia="仿宋" w:hAnsi="仿宋" w:cs="宋体" w:hint="eastAsia"/>
          <w:color w:val="000000"/>
          <w:kern w:val="0"/>
          <w:sz w:val="24"/>
        </w:rPr>
        <w:t>理财/代销机构</w:t>
      </w:r>
      <w:r>
        <w:rPr>
          <w:rFonts w:ascii="仿宋" w:eastAsia="仿宋" w:hAnsi="仿宋" w:cs="宋体"/>
          <w:color w:val="000000"/>
          <w:kern w:val="0"/>
          <w:sz w:val="24"/>
        </w:rPr>
        <w:t>咨询。</w:t>
      </w:r>
    </w:p>
    <w:p w:rsidR="0092528D" w:rsidRDefault="0092528D" w:rsidP="00BE7E09">
      <w:pPr>
        <w:widowControl/>
        <w:adjustRightInd w:val="0"/>
        <w:snapToGrid w:val="0"/>
        <w:spacing w:line="276" w:lineRule="auto"/>
        <w:ind w:firstLineChars="200" w:firstLine="482"/>
        <w:contextualSpacing/>
        <w:rPr>
          <w:rFonts w:eastAsia="黑体"/>
          <w:b/>
        </w:rPr>
      </w:pPr>
      <w:r>
        <w:rPr>
          <w:rFonts w:eastAsia="黑体"/>
          <w:b/>
          <w:bCs/>
          <w:sz w:val="24"/>
        </w:rPr>
        <w:t>投资者在</w:t>
      </w:r>
      <w:r>
        <w:rPr>
          <w:rFonts w:eastAsia="黑体" w:hint="eastAsia"/>
          <w:b/>
          <w:bCs/>
          <w:sz w:val="24"/>
        </w:rPr>
        <w:t>购买</w:t>
      </w:r>
      <w:r>
        <w:rPr>
          <w:rFonts w:eastAsia="黑体"/>
          <w:b/>
          <w:bCs/>
          <w:sz w:val="24"/>
        </w:rPr>
        <w:t>理财产品前已阅读本理财产品风险</w:t>
      </w:r>
      <w:r>
        <w:rPr>
          <w:rFonts w:eastAsia="黑体" w:hint="eastAsia"/>
          <w:b/>
          <w:bCs/>
          <w:sz w:val="24"/>
        </w:rPr>
        <w:t>揭示内容</w:t>
      </w:r>
      <w:r>
        <w:rPr>
          <w:rFonts w:eastAsia="黑体"/>
          <w:b/>
          <w:bCs/>
          <w:sz w:val="24"/>
        </w:rPr>
        <w:t>，充分了解并知晓本理财产品的风险，自愿承担</w:t>
      </w:r>
      <w:r>
        <w:rPr>
          <w:rFonts w:eastAsia="黑体" w:hint="eastAsia"/>
          <w:b/>
          <w:bCs/>
          <w:sz w:val="24"/>
        </w:rPr>
        <w:t>相应</w:t>
      </w:r>
      <w:r>
        <w:rPr>
          <w:rFonts w:eastAsia="黑体"/>
          <w:b/>
          <w:bCs/>
          <w:sz w:val="24"/>
        </w:rPr>
        <w:t>风险，并授权华夏</w:t>
      </w:r>
      <w:r>
        <w:rPr>
          <w:rFonts w:eastAsia="黑体" w:hint="eastAsia"/>
          <w:b/>
          <w:bCs/>
          <w:sz w:val="24"/>
        </w:rPr>
        <w:t>理财</w:t>
      </w:r>
      <w:r>
        <w:rPr>
          <w:rFonts w:eastAsia="黑体"/>
          <w:b/>
          <w:bCs/>
          <w:sz w:val="24"/>
        </w:rPr>
        <w:t>根据本</w:t>
      </w:r>
      <w:r>
        <w:rPr>
          <w:rFonts w:eastAsia="黑体" w:hint="eastAsia"/>
          <w:b/>
          <w:bCs/>
          <w:sz w:val="24"/>
        </w:rPr>
        <w:t>产品说明书约定</w:t>
      </w:r>
      <w:r>
        <w:rPr>
          <w:rFonts w:eastAsia="黑体"/>
          <w:b/>
          <w:bCs/>
          <w:sz w:val="24"/>
        </w:rPr>
        <w:t>投资。</w:t>
      </w:r>
    </w:p>
    <w:p w:rsidR="0092528D" w:rsidRDefault="0092528D">
      <w:pPr>
        <w:pStyle w:val="Default"/>
        <w:snapToGrid w:val="0"/>
        <w:spacing w:afterLines="50" w:after="156" w:line="400" w:lineRule="exact"/>
        <w:ind w:firstLineChars="200" w:firstLine="482"/>
        <w:jc w:val="both"/>
        <w:outlineLvl w:val="0"/>
        <w:rPr>
          <w:rFonts w:ascii="Times New Roman" w:eastAsia="黑体" w:cs="Times New Roman"/>
          <w:b/>
          <w:color w:val="auto"/>
        </w:rPr>
      </w:pPr>
      <w:r>
        <w:rPr>
          <w:rFonts w:ascii="Times New Roman" w:eastAsia="黑体" w:cs="Times New Roman" w:hint="eastAsia"/>
          <w:b/>
          <w:color w:val="auto"/>
        </w:rPr>
        <w:t>十一、说明书签署及生效</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kern w:val="0"/>
          <w:sz w:val="24"/>
        </w:rPr>
      </w:pPr>
      <w:r>
        <w:rPr>
          <w:rFonts w:ascii="仿宋" w:eastAsia="仿宋" w:hAnsi="仿宋" w:cs="宋体" w:hint="eastAsia"/>
          <w:kern w:val="0"/>
          <w:sz w:val="24"/>
        </w:rPr>
        <w:t>如客户通过</w:t>
      </w:r>
      <w:bookmarkStart w:id="3" w:name="_Hlk76384810"/>
      <w:r>
        <w:rPr>
          <w:rFonts w:ascii="仿宋" w:eastAsia="仿宋" w:hAnsi="仿宋" w:cs="宋体" w:hint="eastAsia"/>
          <w:kern w:val="0"/>
          <w:sz w:val="24"/>
        </w:rPr>
        <w:t>华夏理财/代销机构</w:t>
      </w:r>
      <w:bookmarkEnd w:id="3"/>
      <w:r>
        <w:rPr>
          <w:rFonts w:ascii="仿宋" w:eastAsia="仿宋" w:hAnsi="仿宋" w:cs="宋体" w:hint="eastAsia"/>
          <w:kern w:val="0"/>
          <w:sz w:val="24"/>
        </w:rPr>
        <w:t>网点的柜面渠道购买本理财产品，本产品说明书经自然人客户签字/法人或其他组织客户的法定代表人或授权代表签章并加盖公章、成功缴纳购买资金，并经华夏理财系统确认购买份额之日起生效。</w:t>
      </w:r>
    </w:p>
    <w:p w:rsidR="0092528D" w:rsidRDefault="0092528D">
      <w:pPr>
        <w:autoSpaceDE w:val="0"/>
        <w:autoSpaceDN w:val="0"/>
        <w:adjustRightInd w:val="0"/>
        <w:snapToGrid w:val="0"/>
        <w:spacing w:line="276" w:lineRule="auto"/>
        <w:ind w:firstLineChars="200" w:firstLine="480"/>
        <w:contextualSpacing/>
        <w:rPr>
          <w:rFonts w:ascii="仿宋" w:eastAsia="仿宋" w:hAnsi="仿宋" w:cs="宋体"/>
          <w:kern w:val="0"/>
          <w:sz w:val="24"/>
        </w:rPr>
      </w:pPr>
      <w:r>
        <w:rPr>
          <w:rFonts w:ascii="仿宋" w:eastAsia="仿宋" w:hAnsi="仿宋" w:cs="宋体" w:hint="eastAsia"/>
          <w:kern w:val="0"/>
          <w:sz w:val="24"/>
        </w:rPr>
        <w:t>如客户通过华夏理财/代销机构电子渠道购买本理财产品，本产品说明书自客户通过电子渠道确认同意，完成购买资金划付，并经华夏理财系统确认购买份额之日起生效。</w:t>
      </w: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kern w:val="0"/>
          <w:sz w:val="24"/>
        </w:rPr>
      </w:pP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kern w:val="0"/>
          <w:sz w:val="24"/>
        </w:rPr>
      </w:pP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kern w:val="0"/>
          <w:sz w:val="24"/>
        </w:rPr>
      </w:pP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kern w:val="0"/>
          <w:sz w:val="24"/>
        </w:rPr>
      </w:pP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kern w:val="0"/>
          <w:sz w:val="24"/>
        </w:rPr>
      </w:pP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kern w:val="0"/>
          <w:sz w:val="24"/>
        </w:rPr>
      </w:pP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kern w:val="0"/>
          <w:sz w:val="24"/>
        </w:rPr>
      </w:pP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kern w:val="0"/>
          <w:sz w:val="24"/>
        </w:rPr>
      </w:pPr>
    </w:p>
    <w:p w:rsidR="0016688D" w:rsidRDefault="0016688D">
      <w:pPr>
        <w:autoSpaceDE w:val="0"/>
        <w:autoSpaceDN w:val="0"/>
        <w:adjustRightInd w:val="0"/>
        <w:snapToGrid w:val="0"/>
        <w:spacing w:line="276" w:lineRule="auto"/>
        <w:ind w:firstLineChars="200" w:firstLine="480"/>
        <w:contextualSpacing/>
        <w:rPr>
          <w:rFonts w:ascii="仿宋" w:eastAsia="仿宋" w:hAnsi="仿宋" w:cs="宋体" w:hint="eastAsia"/>
          <w:color w:val="000000"/>
          <w:kern w:val="0"/>
          <w:sz w:val="24"/>
        </w:rPr>
      </w:pPr>
      <w:bookmarkStart w:id="4" w:name="_GoBack"/>
      <w:bookmarkEnd w:id="4"/>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r>
        <w:rPr>
          <w:rFonts w:ascii="仿宋" w:eastAsia="仿宋" w:hAnsi="仿宋" w:cs="宋体" w:hint="eastAsia"/>
          <w:color w:val="000000"/>
          <w:kern w:val="0"/>
          <w:sz w:val="24"/>
        </w:rPr>
        <w:t>投资者自然人</w:t>
      </w:r>
      <w:r>
        <w:rPr>
          <w:rFonts w:ascii="仿宋" w:eastAsia="仿宋" w:hAnsi="仿宋" w:cs="宋体"/>
          <w:color w:val="000000"/>
          <w:kern w:val="0"/>
          <w:sz w:val="24"/>
        </w:rPr>
        <w:t>（</w:t>
      </w:r>
      <w:r>
        <w:rPr>
          <w:rFonts w:ascii="仿宋" w:eastAsia="仿宋" w:hAnsi="仿宋" w:cs="宋体" w:hint="eastAsia"/>
          <w:color w:val="000000"/>
          <w:kern w:val="0"/>
          <w:sz w:val="24"/>
        </w:rPr>
        <w:t>签字或线上确认同意</w:t>
      </w:r>
      <w:r>
        <w:rPr>
          <w:rFonts w:ascii="仿宋" w:eastAsia="仿宋" w:hAnsi="仿宋" w:cs="宋体"/>
          <w:color w:val="000000"/>
          <w:kern w:val="0"/>
          <w:sz w:val="24"/>
        </w:rPr>
        <w:t xml:space="preserve">）：   </w:t>
      </w:r>
      <w:r>
        <w:rPr>
          <w:rFonts w:ascii="仿宋" w:eastAsia="仿宋" w:hAnsi="仿宋" w:cs="宋体" w:hint="eastAsia"/>
          <w:color w:val="000000"/>
          <w:kern w:val="0"/>
          <w:sz w:val="24"/>
        </w:rPr>
        <w:t xml:space="preserve">             </w:t>
      </w:r>
    </w:p>
    <w:p w:rsidR="0092528D" w:rsidRDefault="0092528D">
      <w:pPr>
        <w:autoSpaceDE w:val="0"/>
        <w:autoSpaceDN w:val="0"/>
        <w:adjustRightInd w:val="0"/>
        <w:snapToGrid w:val="0"/>
        <w:spacing w:line="276" w:lineRule="auto"/>
        <w:ind w:firstLineChars="200" w:firstLine="480"/>
        <w:contextualSpacing/>
        <w:jc w:val="left"/>
        <w:rPr>
          <w:rFonts w:ascii="仿宋" w:eastAsia="仿宋" w:hAnsi="仿宋" w:cs="宋体"/>
          <w:color w:val="000000"/>
          <w:kern w:val="0"/>
          <w:sz w:val="24"/>
        </w:rPr>
      </w:pPr>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r>
        <w:rPr>
          <w:rFonts w:ascii="仿宋" w:eastAsia="仿宋" w:hAnsi="仿宋" w:cs="宋体" w:hint="eastAsia"/>
          <w:color w:val="000000"/>
          <w:kern w:val="0"/>
          <w:sz w:val="24"/>
        </w:rPr>
        <w:t xml:space="preserve">（或）法人或其他组织（盖章或线上确认同意）：        </w:t>
      </w:r>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r>
        <w:rPr>
          <w:rFonts w:ascii="仿宋" w:eastAsia="仿宋" w:hAnsi="仿宋" w:cs="宋体" w:hint="eastAsia"/>
          <w:color w:val="000000"/>
          <w:kern w:val="0"/>
          <w:sz w:val="24"/>
        </w:rPr>
        <w:t>法定代表人或授权代表（签章或线上确认同意）：</w:t>
      </w:r>
      <w:r>
        <w:rPr>
          <w:rFonts w:ascii="仿宋" w:eastAsia="仿宋" w:hAnsi="仿宋" w:cs="宋体"/>
          <w:color w:val="000000"/>
          <w:kern w:val="0"/>
          <w:sz w:val="24"/>
        </w:rPr>
        <w:t xml:space="preserve">   </w:t>
      </w:r>
      <w:r>
        <w:rPr>
          <w:rFonts w:ascii="仿宋" w:eastAsia="仿宋" w:hAnsi="仿宋" w:cs="宋体" w:hint="eastAsia"/>
          <w:color w:val="000000"/>
          <w:kern w:val="0"/>
          <w:sz w:val="24"/>
        </w:rPr>
        <w:t xml:space="preserve">           </w:t>
      </w:r>
    </w:p>
    <w:p w:rsidR="0092528D" w:rsidRDefault="0092528D">
      <w:pPr>
        <w:autoSpaceDE w:val="0"/>
        <w:autoSpaceDN w:val="0"/>
        <w:adjustRightInd w:val="0"/>
        <w:snapToGrid w:val="0"/>
        <w:spacing w:line="276" w:lineRule="auto"/>
        <w:ind w:firstLineChars="200" w:firstLine="480"/>
        <w:contextualSpacing/>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r>
        <w:rPr>
          <w:rFonts w:ascii="仿宋" w:eastAsia="仿宋" w:hAnsi="仿宋" w:cs="宋体"/>
          <w:color w:val="000000"/>
          <w:kern w:val="0"/>
          <w:sz w:val="24"/>
        </w:rPr>
        <w:t xml:space="preserve">               </w:t>
      </w:r>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r>
        <w:rPr>
          <w:rFonts w:ascii="仿宋" w:eastAsia="仿宋" w:hAnsi="仿宋" w:cs="宋体" w:hint="eastAsia"/>
          <w:color w:val="000000"/>
          <w:kern w:val="0"/>
          <w:sz w:val="24"/>
        </w:rPr>
        <w:t xml:space="preserve">管理人：华夏理财有限责任公司 </w:t>
      </w:r>
    </w:p>
    <w:p w:rsidR="0092528D" w:rsidRDefault="0092528D">
      <w:pPr>
        <w:autoSpaceDE w:val="0"/>
        <w:autoSpaceDN w:val="0"/>
        <w:adjustRightInd w:val="0"/>
        <w:snapToGrid w:val="0"/>
        <w:spacing w:line="276" w:lineRule="auto"/>
        <w:contextualSpacing/>
        <w:jc w:val="left"/>
        <w:rPr>
          <w:rFonts w:ascii="仿宋" w:eastAsia="仿宋" w:hAnsi="仿宋" w:cs="宋体"/>
          <w:color w:val="000000"/>
          <w:kern w:val="0"/>
          <w:sz w:val="24"/>
        </w:rPr>
      </w:pPr>
    </w:p>
    <w:p w:rsidR="0092528D" w:rsidRDefault="0092528D">
      <w:pPr>
        <w:autoSpaceDE w:val="0"/>
        <w:autoSpaceDN w:val="0"/>
        <w:adjustRightInd w:val="0"/>
        <w:snapToGrid w:val="0"/>
        <w:spacing w:line="276" w:lineRule="auto"/>
        <w:contextualSpacing/>
        <w:jc w:val="left"/>
      </w:pPr>
      <w:r>
        <w:rPr>
          <w:rFonts w:ascii="仿宋" w:eastAsia="仿宋" w:hAnsi="仿宋" w:cs="宋体" w:hint="eastAsia"/>
          <w:color w:val="000000"/>
        </w:rPr>
        <w:t xml:space="preserve">日期：  </w:t>
      </w:r>
      <w:r>
        <w:rPr>
          <w:rFonts w:ascii="仿宋" w:eastAsia="仿宋" w:hAnsi="仿宋" w:cs="宋体"/>
          <w:color w:val="000000"/>
        </w:rPr>
        <w:t xml:space="preserve">   年     月    日            </w:t>
      </w:r>
      <w:r>
        <w:rPr>
          <w:rFonts w:ascii="仿宋" w:eastAsia="仿宋" w:hAnsi="仿宋" w:cs="宋体" w:hint="eastAsia"/>
          <w:color w:val="000000"/>
          <w:kern w:val="0"/>
          <w:sz w:val="24"/>
        </w:rPr>
        <w:t xml:space="preserve">              </w:t>
      </w:r>
    </w:p>
    <w:sectPr w:rsidR="0092528D">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44F4" w:rsidRDefault="000244F4">
      <w:pPr>
        <w:spacing w:line="240" w:lineRule="auto"/>
      </w:pPr>
      <w:r>
        <w:separator/>
      </w:r>
    </w:p>
  </w:endnote>
  <w:endnote w:type="continuationSeparator" w:id="0">
    <w:p w:rsidR="000244F4" w:rsidRDefault="000244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简仿宋">
    <w:panose1 w:val="00000000000000000000"/>
    <w:charset w:val="86"/>
    <w:family w:val="auto"/>
    <w:pitch w:val="variable"/>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44F4" w:rsidRDefault="000244F4">
      <w:pPr>
        <w:spacing w:line="240" w:lineRule="auto"/>
      </w:pPr>
      <w:r>
        <w:separator/>
      </w:r>
    </w:p>
  </w:footnote>
  <w:footnote w:type="continuationSeparator" w:id="0">
    <w:p w:rsidR="000244F4" w:rsidRDefault="000244F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528D" w:rsidRDefault="0092528D">
    <w:pPr>
      <w:pStyle w:val="aa"/>
      <w:pBdr>
        <w:bottom w:val="none" w:sz="0" w:space="1" w:color="auto"/>
      </w:pBdr>
      <w:spacing w:line="360" w:lineRule="auto"/>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1F434E"/>
    <w:multiLevelType w:val="multilevel"/>
    <w:tmpl w:val="221F434E"/>
    <w:lvl w:ilvl="0">
      <w:start w:val="3"/>
      <w:numFmt w:val="bullet"/>
      <w:lvlText w:val="□"/>
      <w:lvlJc w:val="left"/>
      <w:pPr>
        <w:tabs>
          <w:tab w:val="num" w:pos="1470"/>
        </w:tabs>
        <w:ind w:left="1021" w:hanging="181"/>
      </w:pPr>
      <w:rPr>
        <w:rFonts w:ascii="仿宋" w:eastAsia="仿宋" w:hAnsi="仿宋"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319A1254"/>
    <w:multiLevelType w:val="multilevel"/>
    <w:tmpl w:val="319A1254"/>
    <w:lvl w:ilvl="0">
      <w:start w:val="3"/>
      <w:numFmt w:val="bullet"/>
      <w:lvlText w:val="□"/>
      <w:lvlJc w:val="left"/>
      <w:pPr>
        <w:tabs>
          <w:tab w:val="num" w:pos="1470"/>
        </w:tabs>
        <w:ind w:left="1021" w:hanging="181"/>
      </w:pPr>
      <w:rPr>
        <w:rFonts w:ascii="仿宋" w:eastAsia="仿宋" w:hAnsi="仿宋"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trackedChanges" w:enforcement="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1408C"/>
    <w:rsid w:val="00015F58"/>
    <w:rsid w:val="00020F81"/>
    <w:rsid w:val="000244F4"/>
    <w:rsid w:val="0004485A"/>
    <w:rsid w:val="00044B7F"/>
    <w:rsid w:val="0004783E"/>
    <w:rsid w:val="0006081B"/>
    <w:rsid w:val="00063561"/>
    <w:rsid w:val="000713E1"/>
    <w:rsid w:val="000805E4"/>
    <w:rsid w:val="00085777"/>
    <w:rsid w:val="00092E28"/>
    <w:rsid w:val="000932F8"/>
    <w:rsid w:val="000950EC"/>
    <w:rsid w:val="000973A7"/>
    <w:rsid w:val="000A2EE9"/>
    <w:rsid w:val="000A3C07"/>
    <w:rsid w:val="000B2154"/>
    <w:rsid w:val="000B32CF"/>
    <w:rsid w:val="000D002A"/>
    <w:rsid w:val="000D7DE2"/>
    <w:rsid w:val="000E195A"/>
    <w:rsid w:val="00111BDB"/>
    <w:rsid w:val="0011683A"/>
    <w:rsid w:val="001260F4"/>
    <w:rsid w:val="001318D7"/>
    <w:rsid w:val="001322B8"/>
    <w:rsid w:val="00141481"/>
    <w:rsid w:val="001423F3"/>
    <w:rsid w:val="00142652"/>
    <w:rsid w:val="00146323"/>
    <w:rsid w:val="0016688D"/>
    <w:rsid w:val="00167A6E"/>
    <w:rsid w:val="00170760"/>
    <w:rsid w:val="00172A27"/>
    <w:rsid w:val="001861EC"/>
    <w:rsid w:val="00192AD3"/>
    <w:rsid w:val="0019771D"/>
    <w:rsid w:val="001A0DF1"/>
    <w:rsid w:val="001B007A"/>
    <w:rsid w:val="001B29E5"/>
    <w:rsid w:val="001B2C46"/>
    <w:rsid w:val="001D5895"/>
    <w:rsid w:val="001E4307"/>
    <w:rsid w:val="001F21AD"/>
    <w:rsid w:val="001F4C9F"/>
    <w:rsid w:val="00203B96"/>
    <w:rsid w:val="00214B23"/>
    <w:rsid w:val="00216CAD"/>
    <w:rsid w:val="00220E75"/>
    <w:rsid w:val="00230B93"/>
    <w:rsid w:val="00244A0E"/>
    <w:rsid w:val="002473CD"/>
    <w:rsid w:val="00260FED"/>
    <w:rsid w:val="00265998"/>
    <w:rsid w:val="00277CAB"/>
    <w:rsid w:val="002814B0"/>
    <w:rsid w:val="00282724"/>
    <w:rsid w:val="00293AA7"/>
    <w:rsid w:val="00294355"/>
    <w:rsid w:val="002A2967"/>
    <w:rsid w:val="002A2FEF"/>
    <w:rsid w:val="002A73D0"/>
    <w:rsid w:val="002C7F16"/>
    <w:rsid w:val="002E5919"/>
    <w:rsid w:val="002E7F9D"/>
    <w:rsid w:val="00311DBF"/>
    <w:rsid w:val="00311EF5"/>
    <w:rsid w:val="00315EF2"/>
    <w:rsid w:val="003248AF"/>
    <w:rsid w:val="00351C38"/>
    <w:rsid w:val="003522B1"/>
    <w:rsid w:val="00362E0F"/>
    <w:rsid w:val="00365E5C"/>
    <w:rsid w:val="00367563"/>
    <w:rsid w:val="003723AE"/>
    <w:rsid w:val="00375CE6"/>
    <w:rsid w:val="0038373F"/>
    <w:rsid w:val="003923B3"/>
    <w:rsid w:val="003B43C0"/>
    <w:rsid w:val="003C0388"/>
    <w:rsid w:val="003C51E8"/>
    <w:rsid w:val="003D55AF"/>
    <w:rsid w:val="003D65A8"/>
    <w:rsid w:val="003E4BEB"/>
    <w:rsid w:val="003F1B6F"/>
    <w:rsid w:val="003F5AF4"/>
    <w:rsid w:val="003F6114"/>
    <w:rsid w:val="004021F4"/>
    <w:rsid w:val="0042748A"/>
    <w:rsid w:val="0043490E"/>
    <w:rsid w:val="00440BC3"/>
    <w:rsid w:val="0045546E"/>
    <w:rsid w:val="00462536"/>
    <w:rsid w:val="004734C8"/>
    <w:rsid w:val="00474458"/>
    <w:rsid w:val="00484075"/>
    <w:rsid w:val="0049300B"/>
    <w:rsid w:val="00494748"/>
    <w:rsid w:val="004A7A7E"/>
    <w:rsid w:val="004B06AD"/>
    <w:rsid w:val="004B07F8"/>
    <w:rsid w:val="004B2908"/>
    <w:rsid w:val="004C1CD0"/>
    <w:rsid w:val="004C4084"/>
    <w:rsid w:val="004C6D16"/>
    <w:rsid w:val="004E7D97"/>
    <w:rsid w:val="004F0884"/>
    <w:rsid w:val="004F2A31"/>
    <w:rsid w:val="004F4E81"/>
    <w:rsid w:val="004F648F"/>
    <w:rsid w:val="00501BB4"/>
    <w:rsid w:val="005114E6"/>
    <w:rsid w:val="00512B7C"/>
    <w:rsid w:val="005206CF"/>
    <w:rsid w:val="0052572E"/>
    <w:rsid w:val="00532BEE"/>
    <w:rsid w:val="00557F33"/>
    <w:rsid w:val="005604F6"/>
    <w:rsid w:val="005608FE"/>
    <w:rsid w:val="00560CC1"/>
    <w:rsid w:val="005720C6"/>
    <w:rsid w:val="005727C8"/>
    <w:rsid w:val="00576EC5"/>
    <w:rsid w:val="005835EB"/>
    <w:rsid w:val="005A6E67"/>
    <w:rsid w:val="005B536D"/>
    <w:rsid w:val="005C08EC"/>
    <w:rsid w:val="005C120E"/>
    <w:rsid w:val="005D3AAF"/>
    <w:rsid w:val="005E28E4"/>
    <w:rsid w:val="005E4DED"/>
    <w:rsid w:val="005E7E9C"/>
    <w:rsid w:val="005F45E5"/>
    <w:rsid w:val="005F66E4"/>
    <w:rsid w:val="005F7E82"/>
    <w:rsid w:val="00602ED4"/>
    <w:rsid w:val="006075D0"/>
    <w:rsid w:val="00613BD1"/>
    <w:rsid w:val="00656FE9"/>
    <w:rsid w:val="00662200"/>
    <w:rsid w:val="00670595"/>
    <w:rsid w:val="00671F31"/>
    <w:rsid w:val="00677437"/>
    <w:rsid w:val="00681E3A"/>
    <w:rsid w:val="0068328B"/>
    <w:rsid w:val="006854F9"/>
    <w:rsid w:val="006860DD"/>
    <w:rsid w:val="0069073D"/>
    <w:rsid w:val="006915E0"/>
    <w:rsid w:val="0069363A"/>
    <w:rsid w:val="006A3461"/>
    <w:rsid w:val="006A3ABB"/>
    <w:rsid w:val="006D3A14"/>
    <w:rsid w:val="006E0E9D"/>
    <w:rsid w:val="006E3A7D"/>
    <w:rsid w:val="006E711E"/>
    <w:rsid w:val="006E742E"/>
    <w:rsid w:val="006F119A"/>
    <w:rsid w:val="006F3678"/>
    <w:rsid w:val="006F50CA"/>
    <w:rsid w:val="006F7AD4"/>
    <w:rsid w:val="00703F7A"/>
    <w:rsid w:val="00712CC7"/>
    <w:rsid w:val="00734D46"/>
    <w:rsid w:val="0076606B"/>
    <w:rsid w:val="00777429"/>
    <w:rsid w:val="007815CF"/>
    <w:rsid w:val="00785CAB"/>
    <w:rsid w:val="00792744"/>
    <w:rsid w:val="007B1FB0"/>
    <w:rsid w:val="007B5822"/>
    <w:rsid w:val="007F00D6"/>
    <w:rsid w:val="007F32C1"/>
    <w:rsid w:val="00807C05"/>
    <w:rsid w:val="008137C7"/>
    <w:rsid w:val="008202B4"/>
    <w:rsid w:val="0082238D"/>
    <w:rsid w:val="00826F03"/>
    <w:rsid w:val="008277B6"/>
    <w:rsid w:val="00835BC2"/>
    <w:rsid w:val="0083661A"/>
    <w:rsid w:val="00836CF0"/>
    <w:rsid w:val="00843345"/>
    <w:rsid w:val="00846F1F"/>
    <w:rsid w:val="00846FF0"/>
    <w:rsid w:val="00852D93"/>
    <w:rsid w:val="00863612"/>
    <w:rsid w:val="00864B44"/>
    <w:rsid w:val="00866B5F"/>
    <w:rsid w:val="00870823"/>
    <w:rsid w:val="00874410"/>
    <w:rsid w:val="00887E73"/>
    <w:rsid w:val="0089364D"/>
    <w:rsid w:val="008A6248"/>
    <w:rsid w:val="008B3093"/>
    <w:rsid w:val="008D19F3"/>
    <w:rsid w:val="008D5335"/>
    <w:rsid w:val="008D5F85"/>
    <w:rsid w:val="008E0C40"/>
    <w:rsid w:val="008F6891"/>
    <w:rsid w:val="00902123"/>
    <w:rsid w:val="00916782"/>
    <w:rsid w:val="0092528D"/>
    <w:rsid w:val="009267C7"/>
    <w:rsid w:val="00953E36"/>
    <w:rsid w:val="00965372"/>
    <w:rsid w:val="00971A91"/>
    <w:rsid w:val="00972105"/>
    <w:rsid w:val="00991FA8"/>
    <w:rsid w:val="009941FD"/>
    <w:rsid w:val="009A3572"/>
    <w:rsid w:val="009A3901"/>
    <w:rsid w:val="009A5350"/>
    <w:rsid w:val="009C0A85"/>
    <w:rsid w:val="009C16E3"/>
    <w:rsid w:val="009C4B76"/>
    <w:rsid w:val="009C5840"/>
    <w:rsid w:val="009C59CA"/>
    <w:rsid w:val="009D76E2"/>
    <w:rsid w:val="009E6D89"/>
    <w:rsid w:val="009F0D25"/>
    <w:rsid w:val="009F1CB5"/>
    <w:rsid w:val="00A11668"/>
    <w:rsid w:val="00A12304"/>
    <w:rsid w:val="00A25440"/>
    <w:rsid w:val="00A33474"/>
    <w:rsid w:val="00A403DC"/>
    <w:rsid w:val="00A47351"/>
    <w:rsid w:val="00A51A90"/>
    <w:rsid w:val="00A547BE"/>
    <w:rsid w:val="00A55E93"/>
    <w:rsid w:val="00A705A2"/>
    <w:rsid w:val="00A71EF3"/>
    <w:rsid w:val="00A87692"/>
    <w:rsid w:val="00A87B04"/>
    <w:rsid w:val="00A87D42"/>
    <w:rsid w:val="00A93593"/>
    <w:rsid w:val="00A978E7"/>
    <w:rsid w:val="00AA7D8A"/>
    <w:rsid w:val="00AB4999"/>
    <w:rsid w:val="00AD7FE0"/>
    <w:rsid w:val="00AE13B1"/>
    <w:rsid w:val="00AE1B0B"/>
    <w:rsid w:val="00AF3F07"/>
    <w:rsid w:val="00B0003E"/>
    <w:rsid w:val="00B169E1"/>
    <w:rsid w:val="00B2620A"/>
    <w:rsid w:val="00B27136"/>
    <w:rsid w:val="00B27633"/>
    <w:rsid w:val="00B36EED"/>
    <w:rsid w:val="00B47C68"/>
    <w:rsid w:val="00B5695A"/>
    <w:rsid w:val="00B72B76"/>
    <w:rsid w:val="00B91ACC"/>
    <w:rsid w:val="00BA7546"/>
    <w:rsid w:val="00BA77A8"/>
    <w:rsid w:val="00BB4269"/>
    <w:rsid w:val="00BC4B7F"/>
    <w:rsid w:val="00BE076D"/>
    <w:rsid w:val="00BE1EBE"/>
    <w:rsid w:val="00BE4A47"/>
    <w:rsid w:val="00BE68E0"/>
    <w:rsid w:val="00BE7E09"/>
    <w:rsid w:val="00BF19EC"/>
    <w:rsid w:val="00BF3BE3"/>
    <w:rsid w:val="00C21069"/>
    <w:rsid w:val="00C33E4C"/>
    <w:rsid w:val="00C34069"/>
    <w:rsid w:val="00C61C44"/>
    <w:rsid w:val="00C747FC"/>
    <w:rsid w:val="00C83009"/>
    <w:rsid w:val="00C841D0"/>
    <w:rsid w:val="00C97A50"/>
    <w:rsid w:val="00CA25C5"/>
    <w:rsid w:val="00CC1EEF"/>
    <w:rsid w:val="00CD2B51"/>
    <w:rsid w:val="00CF69E2"/>
    <w:rsid w:val="00CF6CE2"/>
    <w:rsid w:val="00D04582"/>
    <w:rsid w:val="00D06C20"/>
    <w:rsid w:val="00D06F7A"/>
    <w:rsid w:val="00D31F9E"/>
    <w:rsid w:val="00D3392B"/>
    <w:rsid w:val="00D34745"/>
    <w:rsid w:val="00D65353"/>
    <w:rsid w:val="00D65F44"/>
    <w:rsid w:val="00D76E1C"/>
    <w:rsid w:val="00D808E5"/>
    <w:rsid w:val="00D87E03"/>
    <w:rsid w:val="00D919BF"/>
    <w:rsid w:val="00DA36BD"/>
    <w:rsid w:val="00DA511D"/>
    <w:rsid w:val="00DC3F67"/>
    <w:rsid w:val="00DC602D"/>
    <w:rsid w:val="00DE1921"/>
    <w:rsid w:val="00DE2987"/>
    <w:rsid w:val="00DE2BB4"/>
    <w:rsid w:val="00DE74AD"/>
    <w:rsid w:val="00DF0967"/>
    <w:rsid w:val="00E0553B"/>
    <w:rsid w:val="00E31438"/>
    <w:rsid w:val="00E44569"/>
    <w:rsid w:val="00E46D53"/>
    <w:rsid w:val="00E64B82"/>
    <w:rsid w:val="00E816F5"/>
    <w:rsid w:val="00E879FF"/>
    <w:rsid w:val="00E95A0F"/>
    <w:rsid w:val="00EB07F6"/>
    <w:rsid w:val="00EE1D7F"/>
    <w:rsid w:val="00EE7A2F"/>
    <w:rsid w:val="00EF50CA"/>
    <w:rsid w:val="00F1550F"/>
    <w:rsid w:val="00F15940"/>
    <w:rsid w:val="00F36652"/>
    <w:rsid w:val="00F37C88"/>
    <w:rsid w:val="00F444A8"/>
    <w:rsid w:val="00F56D69"/>
    <w:rsid w:val="00F748C7"/>
    <w:rsid w:val="00F93D60"/>
    <w:rsid w:val="00F9415B"/>
    <w:rsid w:val="00F96177"/>
    <w:rsid w:val="00FB342E"/>
    <w:rsid w:val="00FB52C5"/>
    <w:rsid w:val="00FC1677"/>
    <w:rsid w:val="00FD2903"/>
    <w:rsid w:val="00FE1291"/>
    <w:rsid w:val="00FE482B"/>
    <w:rsid w:val="00FF56AD"/>
    <w:rsid w:val="018D5F51"/>
    <w:rsid w:val="01EB6FEC"/>
    <w:rsid w:val="01FE5EB7"/>
    <w:rsid w:val="02377743"/>
    <w:rsid w:val="03204429"/>
    <w:rsid w:val="03DB06FE"/>
    <w:rsid w:val="04B16B62"/>
    <w:rsid w:val="05215177"/>
    <w:rsid w:val="054A5192"/>
    <w:rsid w:val="05BB571F"/>
    <w:rsid w:val="062067C9"/>
    <w:rsid w:val="08497BE8"/>
    <w:rsid w:val="087A37FC"/>
    <w:rsid w:val="08961A5A"/>
    <w:rsid w:val="08A96CC2"/>
    <w:rsid w:val="08F619C1"/>
    <w:rsid w:val="095345F4"/>
    <w:rsid w:val="0A0F44CD"/>
    <w:rsid w:val="0A2F0E4D"/>
    <w:rsid w:val="0AA97A8C"/>
    <w:rsid w:val="0B047D48"/>
    <w:rsid w:val="0B9C5D9B"/>
    <w:rsid w:val="0BA27F6B"/>
    <w:rsid w:val="0C490CC3"/>
    <w:rsid w:val="0C510FA4"/>
    <w:rsid w:val="0C9E5955"/>
    <w:rsid w:val="0D511F69"/>
    <w:rsid w:val="0DC52C23"/>
    <w:rsid w:val="0DC653B7"/>
    <w:rsid w:val="0DF70178"/>
    <w:rsid w:val="0E247DD8"/>
    <w:rsid w:val="0E3C3C0F"/>
    <w:rsid w:val="0E8143FC"/>
    <w:rsid w:val="0EBE477B"/>
    <w:rsid w:val="0F2862EC"/>
    <w:rsid w:val="0FE53808"/>
    <w:rsid w:val="117C0D4E"/>
    <w:rsid w:val="11B162FD"/>
    <w:rsid w:val="11BB3DB9"/>
    <w:rsid w:val="11CB222C"/>
    <w:rsid w:val="11D21B30"/>
    <w:rsid w:val="121940A5"/>
    <w:rsid w:val="123B658C"/>
    <w:rsid w:val="12756877"/>
    <w:rsid w:val="12CD4972"/>
    <w:rsid w:val="12FA2A1E"/>
    <w:rsid w:val="12FB08EA"/>
    <w:rsid w:val="142741A0"/>
    <w:rsid w:val="144B618F"/>
    <w:rsid w:val="1469754C"/>
    <w:rsid w:val="149C2737"/>
    <w:rsid w:val="14F71E23"/>
    <w:rsid w:val="14FD2EFF"/>
    <w:rsid w:val="15290B88"/>
    <w:rsid w:val="152A1DB0"/>
    <w:rsid w:val="155D4436"/>
    <w:rsid w:val="16002490"/>
    <w:rsid w:val="16457F02"/>
    <w:rsid w:val="16800450"/>
    <w:rsid w:val="169510B8"/>
    <w:rsid w:val="16DD4AF1"/>
    <w:rsid w:val="170A0D35"/>
    <w:rsid w:val="17322FFC"/>
    <w:rsid w:val="174C5C47"/>
    <w:rsid w:val="178D27B4"/>
    <w:rsid w:val="182014A2"/>
    <w:rsid w:val="18294E04"/>
    <w:rsid w:val="1892050E"/>
    <w:rsid w:val="18D80C51"/>
    <w:rsid w:val="18EE0BF6"/>
    <w:rsid w:val="192B2275"/>
    <w:rsid w:val="19854B76"/>
    <w:rsid w:val="198557BA"/>
    <w:rsid w:val="19B17BB1"/>
    <w:rsid w:val="19D84AF5"/>
    <w:rsid w:val="1A0C2276"/>
    <w:rsid w:val="1A287FEA"/>
    <w:rsid w:val="1A542352"/>
    <w:rsid w:val="1A707A6D"/>
    <w:rsid w:val="1A7D6D25"/>
    <w:rsid w:val="1A816486"/>
    <w:rsid w:val="1A893942"/>
    <w:rsid w:val="1A907FA2"/>
    <w:rsid w:val="1AD533CC"/>
    <w:rsid w:val="1B2A72DF"/>
    <w:rsid w:val="1B70123A"/>
    <w:rsid w:val="1BA64FD1"/>
    <w:rsid w:val="1BBC5A18"/>
    <w:rsid w:val="1BC93F0E"/>
    <w:rsid w:val="1BE97487"/>
    <w:rsid w:val="1BF32374"/>
    <w:rsid w:val="1C0776AF"/>
    <w:rsid w:val="1C3E4461"/>
    <w:rsid w:val="1C6357AF"/>
    <w:rsid w:val="1CAC5E2B"/>
    <w:rsid w:val="1CC71CB2"/>
    <w:rsid w:val="1CDF5587"/>
    <w:rsid w:val="1D023468"/>
    <w:rsid w:val="1D795BF8"/>
    <w:rsid w:val="1D941E49"/>
    <w:rsid w:val="1D964AA9"/>
    <w:rsid w:val="1DD036B2"/>
    <w:rsid w:val="1DD4275F"/>
    <w:rsid w:val="1E356AFA"/>
    <w:rsid w:val="1E724912"/>
    <w:rsid w:val="1FC2672F"/>
    <w:rsid w:val="201D0297"/>
    <w:rsid w:val="204A0870"/>
    <w:rsid w:val="20C822D8"/>
    <w:rsid w:val="22086EAE"/>
    <w:rsid w:val="220D5EC8"/>
    <w:rsid w:val="223431B1"/>
    <w:rsid w:val="22C149FC"/>
    <w:rsid w:val="22F1518B"/>
    <w:rsid w:val="238C25BD"/>
    <w:rsid w:val="24A91031"/>
    <w:rsid w:val="24B96681"/>
    <w:rsid w:val="24BD22AA"/>
    <w:rsid w:val="25152CD3"/>
    <w:rsid w:val="25E72FA7"/>
    <w:rsid w:val="260555E3"/>
    <w:rsid w:val="26C402B0"/>
    <w:rsid w:val="26D15FFB"/>
    <w:rsid w:val="273147E4"/>
    <w:rsid w:val="27487015"/>
    <w:rsid w:val="27A84C42"/>
    <w:rsid w:val="28347384"/>
    <w:rsid w:val="287A4275"/>
    <w:rsid w:val="28B70DC9"/>
    <w:rsid w:val="29711978"/>
    <w:rsid w:val="298634AE"/>
    <w:rsid w:val="29A17B31"/>
    <w:rsid w:val="2A4B1A28"/>
    <w:rsid w:val="2A567387"/>
    <w:rsid w:val="2A66542F"/>
    <w:rsid w:val="2B3649F4"/>
    <w:rsid w:val="2B4675FA"/>
    <w:rsid w:val="2BB602C5"/>
    <w:rsid w:val="2BD85FC4"/>
    <w:rsid w:val="2BE937E9"/>
    <w:rsid w:val="2BF50AB4"/>
    <w:rsid w:val="2BFA0E70"/>
    <w:rsid w:val="2CDB7E63"/>
    <w:rsid w:val="2D434FF8"/>
    <w:rsid w:val="2DA05DCE"/>
    <w:rsid w:val="2EC208DF"/>
    <w:rsid w:val="2F223C18"/>
    <w:rsid w:val="2F401A95"/>
    <w:rsid w:val="2F517C68"/>
    <w:rsid w:val="2F854CC7"/>
    <w:rsid w:val="2F9C3AD1"/>
    <w:rsid w:val="2FDD2BC4"/>
    <w:rsid w:val="2FF679D7"/>
    <w:rsid w:val="30653C55"/>
    <w:rsid w:val="307C6D47"/>
    <w:rsid w:val="30B93C1E"/>
    <w:rsid w:val="30C952F8"/>
    <w:rsid w:val="3166520A"/>
    <w:rsid w:val="31A367EC"/>
    <w:rsid w:val="31CF5586"/>
    <w:rsid w:val="320C78A0"/>
    <w:rsid w:val="3232204B"/>
    <w:rsid w:val="323649A0"/>
    <w:rsid w:val="329A0B6A"/>
    <w:rsid w:val="32C642E9"/>
    <w:rsid w:val="332573C9"/>
    <w:rsid w:val="338406B7"/>
    <w:rsid w:val="34477241"/>
    <w:rsid w:val="34854AB1"/>
    <w:rsid w:val="34A63F82"/>
    <w:rsid w:val="350A7012"/>
    <w:rsid w:val="36003080"/>
    <w:rsid w:val="360161F0"/>
    <w:rsid w:val="36050641"/>
    <w:rsid w:val="36365F0F"/>
    <w:rsid w:val="372651A6"/>
    <w:rsid w:val="375515EF"/>
    <w:rsid w:val="37607611"/>
    <w:rsid w:val="37854D30"/>
    <w:rsid w:val="37A91B2F"/>
    <w:rsid w:val="381E7A1B"/>
    <w:rsid w:val="382265A3"/>
    <w:rsid w:val="386B45BC"/>
    <w:rsid w:val="38B20142"/>
    <w:rsid w:val="39006650"/>
    <w:rsid w:val="39223F50"/>
    <w:rsid w:val="39915230"/>
    <w:rsid w:val="39B533F4"/>
    <w:rsid w:val="3A166DB1"/>
    <w:rsid w:val="3A242CB1"/>
    <w:rsid w:val="3A3D41CD"/>
    <w:rsid w:val="3A637C30"/>
    <w:rsid w:val="3A6464DA"/>
    <w:rsid w:val="3A8D0AE7"/>
    <w:rsid w:val="3AB67D23"/>
    <w:rsid w:val="3B025489"/>
    <w:rsid w:val="3B35691C"/>
    <w:rsid w:val="3B507595"/>
    <w:rsid w:val="3B586E2D"/>
    <w:rsid w:val="3C691FB2"/>
    <w:rsid w:val="3D2A5959"/>
    <w:rsid w:val="3D3B3330"/>
    <w:rsid w:val="3F857305"/>
    <w:rsid w:val="3F9148EF"/>
    <w:rsid w:val="3F996600"/>
    <w:rsid w:val="4071483C"/>
    <w:rsid w:val="40897331"/>
    <w:rsid w:val="40A300AE"/>
    <w:rsid w:val="40DD3147"/>
    <w:rsid w:val="41450ED1"/>
    <w:rsid w:val="419803FF"/>
    <w:rsid w:val="41A75327"/>
    <w:rsid w:val="41DE07D6"/>
    <w:rsid w:val="425932C8"/>
    <w:rsid w:val="42726493"/>
    <w:rsid w:val="434F08E3"/>
    <w:rsid w:val="436469F4"/>
    <w:rsid w:val="44181054"/>
    <w:rsid w:val="44C2436C"/>
    <w:rsid w:val="44D90650"/>
    <w:rsid w:val="45225B34"/>
    <w:rsid w:val="454247FC"/>
    <w:rsid w:val="45C2437E"/>
    <w:rsid w:val="464740FB"/>
    <w:rsid w:val="46945BA3"/>
    <w:rsid w:val="469C1860"/>
    <w:rsid w:val="46EB55F0"/>
    <w:rsid w:val="47194283"/>
    <w:rsid w:val="475F6725"/>
    <w:rsid w:val="48100387"/>
    <w:rsid w:val="486C54E8"/>
    <w:rsid w:val="489F1960"/>
    <w:rsid w:val="48A26DA2"/>
    <w:rsid w:val="48A8042C"/>
    <w:rsid w:val="492F3120"/>
    <w:rsid w:val="4A646C71"/>
    <w:rsid w:val="4A974BFD"/>
    <w:rsid w:val="4AB7027F"/>
    <w:rsid w:val="4AC53274"/>
    <w:rsid w:val="4B23478E"/>
    <w:rsid w:val="4B353D3D"/>
    <w:rsid w:val="4B3D2C38"/>
    <w:rsid w:val="4B9A6CD9"/>
    <w:rsid w:val="4BCC0D7F"/>
    <w:rsid w:val="4C550775"/>
    <w:rsid w:val="4CC42E4B"/>
    <w:rsid w:val="4DA84AC9"/>
    <w:rsid w:val="4E006899"/>
    <w:rsid w:val="4E411F26"/>
    <w:rsid w:val="4E4604CC"/>
    <w:rsid w:val="4E6B607B"/>
    <w:rsid w:val="4E700033"/>
    <w:rsid w:val="4E712B50"/>
    <w:rsid w:val="4E7E67D5"/>
    <w:rsid w:val="4EE704C2"/>
    <w:rsid w:val="4F6E3CC3"/>
    <w:rsid w:val="4FAC2EBB"/>
    <w:rsid w:val="500E49CD"/>
    <w:rsid w:val="500F1CD5"/>
    <w:rsid w:val="5019557F"/>
    <w:rsid w:val="506B6199"/>
    <w:rsid w:val="50FA2C7C"/>
    <w:rsid w:val="511D25A1"/>
    <w:rsid w:val="51713776"/>
    <w:rsid w:val="51A36407"/>
    <w:rsid w:val="51C86B56"/>
    <w:rsid w:val="51D60B75"/>
    <w:rsid w:val="51D91B25"/>
    <w:rsid w:val="51FA42D4"/>
    <w:rsid w:val="5202225E"/>
    <w:rsid w:val="522A5C96"/>
    <w:rsid w:val="5286182F"/>
    <w:rsid w:val="52C77658"/>
    <w:rsid w:val="531700D4"/>
    <w:rsid w:val="53252219"/>
    <w:rsid w:val="53B84021"/>
    <w:rsid w:val="53BF0718"/>
    <w:rsid w:val="541B571E"/>
    <w:rsid w:val="542D096E"/>
    <w:rsid w:val="56306E56"/>
    <w:rsid w:val="56444969"/>
    <w:rsid w:val="56EF513F"/>
    <w:rsid w:val="57C82F28"/>
    <w:rsid w:val="57F70DED"/>
    <w:rsid w:val="58083A83"/>
    <w:rsid w:val="581B10FA"/>
    <w:rsid w:val="582156EE"/>
    <w:rsid w:val="58427747"/>
    <w:rsid w:val="584369EC"/>
    <w:rsid w:val="58BB4CDB"/>
    <w:rsid w:val="58F96B51"/>
    <w:rsid w:val="59185B61"/>
    <w:rsid w:val="596A4423"/>
    <w:rsid w:val="59AD702D"/>
    <w:rsid w:val="59D14CC4"/>
    <w:rsid w:val="59E7688C"/>
    <w:rsid w:val="59FF73A2"/>
    <w:rsid w:val="5A945937"/>
    <w:rsid w:val="5AA340C2"/>
    <w:rsid w:val="5AB6501F"/>
    <w:rsid w:val="5B9E1D5B"/>
    <w:rsid w:val="5BA64252"/>
    <w:rsid w:val="5BCB323C"/>
    <w:rsid w:val="5C7344DB"/>
    <w:rsid w:val="5D7F7D07"/>
    <w:rsid w:val="5DC63A4E"/>
    <w:rsid w:val="5DED53D1"/>
    <w:rsid w:val="5E063E78"/>
    <w:rsid w:val="5E1B7959"/>
    <w:rsid w:val="5EAD142E"/>
    <w:rsid w:val="5F3F3BFD"/>
    <w:rsid w:val="5F7071A8"/>
    <w:rsid w:val="5FF330F1"/>
    <w:rsid w:val="60F20BC5"/>
    <w:rsid w:val="610C5CC5"/>
    <w:rsid w:val="613053AA"/>
    <w:rsid w:val="6162645C"/>
    <w:rsid w:val="61A7112B"/>
    <w:rsid w:val="61F1030C"/>
    <w:rsid w:val="6210426E"/>
    <w:rsid w:val="625C0D00"/>
    <w:rsid w:val="62832265"/>
    <w:rsid w:val="62B00797"/>
    <w:rsid w:val="62CA41E4"/>
    <w:rsid w:val="63216D47"/>
    <w:rsid w:val="63510BEE"/>
    <w:rsid w:val="638119A8"/>
    <w:rsid w:val="642D51FD"/>
    <w:rsid w:val="642E3652"/>
    <w:rsid w:val="644E4B1D"/>
    <w:rsid w:val="64651B49"/>
    <w:rsid w:val="65107CC1"/>
    <w:rsid w:val="651D3A26"/>
    <w:rsid w:val="652C5EC9"/>
    <w:rsid w:val="65353764"/>
    <w:rsid w:val="65630C3D"/>
    <w:rsid w:val="656477F9"/>
    <w:rsid w:val="657C7424"/>
    <w:rsid w:val="65EC5F0A"/>
    <w:rsid w:val="665B546D"/>
    <w:rsid w:val="6666090E"/>
    <w:rsid w:val="66EC4D96"/>
    <w:rsid w:val="6736101B"/>
    <w:rsid w:val="675B739B"/>
    <w:rsid w:val="678C7FB4"/>
    <w:rsid w:val="67987A7C"/>
    <w:rsid w:val="68281E82"/>
    <w:rsid w:val="68370CCC"/>
    <w:rsid w:val="684D7DEF"/>
    <w:rsid w:val="69205264"/>
    <w:rsid w:val="695217DC"/>
    <w:rsid w:val="69C37032"/>
    <w:rsid w:val="6A6F13E3"/>
    <w:rsid w:val="6AF542A4"/>
    <w:rsid w:val="6B832B04"/>
    <w:rsid w:val="6BD916EE"/>
    <w:rsid w:val="6C194573"/>
    <w:rsid w:val="6CCA1A7F"/>
    <w:rsid w:val="6DD805CD"/>
    <w:rsid w:val="6E035291"/>
    <w:rsid w:val="6E1206A4"/>
    <w:rsid w:val="6E306FE2"/>
    <w:rsid w:val="6E5A3D7E"/>
    <w:rsid w:val="6EBA7775"/>
    <w:rsid w:val="6F795870"/>
    <w:rsid w:val="6F992C36"/>
    <w:rsid w:val="703933A1"/>
    <w:rsid w:val="704E185C"/>
    <w:rsid w:val="70AA0758"/>
    <w:rsid w:val="70B61502"/>
    <w:rsid w:val="70CE17C7"/>
    <w:rsid w:val="70E575E5"/>
    <w:rsid w:val="70F5166C"/>
    <w:rsid w:val="712B74F8"/>
    <w:rsid w:val="715C11EA"/>
    <w:rsid w:val="716176FB"/>
    <w:rsid w:val="719D02BE"/>
    <w:rsid w:val="71BE45D9"/>
    <w:rsid w:val="71EF5ACB"/>
    <w:rsid w:val="723B233B"/>
    <w:rsid w:val="724F5D5C"/>
    <w:rsid w:val="72560D51"/>
    <w:rsid w:val="7256226D"/>
    <w:rsid w:val="728E0A16"/>
    <w:rsid w:val="729371FE"/>
    <w:rsid w:val="72E929DE"/>
    <w:rsid w:val="72EF2B1D"/>
    <w:rsid w:val="734664DC"/>
    <w:rsid w:val="738D015F"/>
    <w:rsid w:val="745751F5"/>
    <w:rsid w:val="74892FD1"/>
    <w:rsid w:val="74FB18F9"/>
    <w:rsid w:val="751B2B76"/>
    <w:rsid w:val="75616560"/>
    <w:rsid w:val="75F80517"/>
    <w:rsid w:val="75F95482"/>
    <w:rsid w:val="7633094E"/>
    <w:rsid w:val="763D3893"/>
    <w:rsid w:val="766248A9"/>
    <w:rsid w:val="76C57715"/>
    <w:rsid w:val="76D0751B"/>
    <w:rsid w:val="76E27EE7"/>
    <w:rsid w:val="76E6192C"/>
    <w:rsid w:val="771479EA"/>
    <w:rsid w:val="771C35A1"/>
    <w:rsid w:val="77A03719"/>
    <w:rsid w:val="78280CD8"/>
    <w:rsid w:val="78547476"/>
    <w:rsid w:val="78A4259B"/>
    <w:rsid w:val="78BD34B1"/>
    <w:rsid w:val="78C31CAF"/>
    <w:rsid w:val="78CE6E70"/>
    <w:rsid w:val="795B3486"/>
    <w:rsid w:val="79E45FD6"/>
    <w:rsid w:val="7A7B389C"/>
    <w:rsid w:val="7A7C1996"/>
    <w:rsid w:val="7AD0105B"/>
    <w:rsid w:val="7AF64073"/>
    <w:rsid w:val="7AF92581"/>
    <w:rsid w:val="7B044A15"/>
    <w:rsid w:val="7B170E00"/>
    <w:rsid w:val="7B3057E8"/>
    <w:rsid w:val="7C157916"/>
    <w:rsid w:val="7C4B2499"/>
    <w:rsid w:val="7C691A6C"/>
    <w:rsid w:val="7C721F5F"/>
    <w:rsid w:val="7C7D36C4"/>
    <w:rsid w:val="7DAD733C"/>
    <w:rsid w:val="7E431677"/>
    <w:rsid w:val="7E5572E2"/>
    <w:rsid w:val="7E871182"/>
    <w:rsid w:val="7E9D3347"/>
    <w:rsid w:val="7ED67996"/>
    <w:rsid w:val="7EFE58EB"/>
    <w:rsid w:val="7F116F65"/>
    <w:rsid w:val="7F516160"/>
    <w:rsid w:val="7FD45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BD6255E2-3E6E-47C2-B5AD-183AB8040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lsdException w:name="footer" w:unhideWhenUsed="1"/>
    <w:lsdException w:name="caption" w:semiHidden="1" w:unhideWhenUsed="1" w:qFormat="1"/>
    <w:lsdException w:name="Title" w:qFormat="1"/>
    <w:lsdException w:name="Default Paragraph Font" w:semiHidden="1"/>
    <w:lsdException w:name="Body Text Indent" w:unhideWhenUsed="1"/>
    <w:lsdException w:name="Subtitle" w:qFormat="1"/>
    <w:lsdException w:name="Body Text Indent 2"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60" w:lineRule="exact"/>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5" w:lineRule="auto"/>
      <w:outlineLvl w:val="1"/>
    </w:pPr>
    <w:rPr>
      <w:rFonts w:ascii="Arial" w:eastAsia="黑体" w:hAnsi="Arial"/>
      <w:b/>
      <w:sz w:val="24"/>
    </w:rPr>
  </w:style>
  <w:style w:type="paragraph" w:styleId="3">
    <w:name w:val="heading 3"/>
    <w:basedOn w:val="a"/>
    <w:next w:val="a"/>
    <w:qFormat/>
    <w:pPr>
      <w:keepNext/>
      <w:keepLines/>
      <w:spacing w:before="260" w:after="260" w:line="413" w:lineRule="auto"/>
      <w:outlineLvl w:val="2"/>
    </w:pPr>
    <w:rPr>
      <w:rFonts w:ascii="Calibri" w:hAnsi="Calibri"/>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rPr>
      <w:rFonts w:ascii="微软简仿宋" w:eastAsia="微软简仿宋" w:hAnsi="微软简仿宋" w:cs="微软简仿宋" w:hint="default"/>
      <w:i w:val="0"/>
      <w:color w:val="000000"/>
      <w:sz w:val="24"/>
      <w:szCs w:val="24"/>
      <w:u w:val="none"/>
    </w:rPr>
  </w:style>
  <w:style w:type="character" w:customStyle="1" w:styleId="font01">
    <w:name w:val="font01"/>
    <w:rPr>
      <w:rFonts w:ascii="Times New Roman" w:hAnsi="Times New Roman" w:cs="Times New Roman" w:hint="default"/>
      <w:i w:val="0"/>
      <w:color w:val="000000"/>
      <w:sz w:val="24"/>
      <w:szCs w:val="24"/>
      <w:u w:val="none"/>
    </w:rPr>
  </w:style>
  <w:style w:type="character" w:customStyle="1" w:styleId="font51">
    <w:name w:val="font51"/>
    <w:rPr>
      <w:rFonts w:ascii="Times New Roman" w:hAnsi="Times New Roman" w:cs="Times New Roman" w:hint="default"/>
      <w:i w:val="0"/>
      <w:color w:val="000000"/>
      <w:sz w:val="24"/>
      <w:szCs w:val="24"/>
      <w:u w:val="none"/>
    </w:rPr>
  </w:style>
  <w:style w:type="character" w:styleId="a3">
    <w:name w:val="annotation reference"/>
    <w:rPr>
      <w:sz w:val="21"/>
      <w:szCs w:val="21"/>
    </w:rPr>
  </w:style>
  <w:style w:type="character" w:customStyle="1" w:styleId="font81">
    <w:name w:val="font81"/>
    <w:rPr>
      <w:rFonts w:ascii="微软简仿宋" w:eastAsia="微软简仿宋" w:hAnsi="微软简仿宋" w:cs="微软简仿宋" w:hint="default"/>
      <w:i w:val="0"/>
      <w:color w:val="000000"/>
      <w:sz w:val="24"/>
      <w:szCs w:val="24"/>
      <w:u w:val="none"/>
    </w:rPr>
  </w:style>
  <w:style w:type="paragraph" w:styleId="a4">
    <w:name w:val="Balloon Text"/>
    <w:basedOn w:val="a"/>
    <w:semiHidden/>
    <w:rPr>
      <w:sz w:val="18"/>
      <w:szCs w:val="18"/>
    </w:rPr>
  </w:style>
  <w:style w:type="paragraph" w:styleId="a5">
    <w:name w:val="footer"/>
    <w:basedOn w:val="a"/>
    <w:unhideWhenUsed/>
    <w:pPr>
      <w:tabs>
        <w:tab w:val="center" w:pos="4153"/>
        <w:tab w:val="right" w:pos="8306"/>
      </w:tabs>
      <w:snapToGrid w:val="0"/>
      <w:jc w:val="left"/>
    </w:pPr>
    <w:rPr>
      <w:sz w:val="18"/>
      <w:szCs w:val="20"/>
    </w:rPr>
  </w:style>
  <w:style w:type="paragraph" w:styleId="a6">
    <w:name w:val="Revision"/>
    <w:uiPriority w:val="99"/>
    <w:unhideWhenUsed/>
    <w:rPr>
      <w:kern w:val="2"/>
      <w:sz w:val="21"/>
      <w:szCs w:val="24"/>
    </w:rPr>
  </w:style>
  <w:style w:type="paragraph" w:styleId="a7">
    <w:name w:val="Body Text Indent"/>
    <w:basedOn w:val="a"/>
    <w:unhideWhenUsed/>
    <w:pPr>
      <w:ind w:firstLine="630"/>
    </w:pPr>
    <w:rPr>
      <w:kern w:val="0"/>
      <w:sz w:val="24"/>
    </w:rPr>
  </w:style>
  <w:style w:type="paragraph" w:styleId="20">
    <w:name w:val="Body Text Indent 2"/>
    <w:basedOn w:val="a"/>
    <w:unhideWhenUsed/>
    <w:pPr>
      <w:ind w:firstLine="600"/>
    </w:pPr>
    <w:rPr>
      <w:kern w:val="0"/>
      <w:sz w:val="24"/>
    </w:rPr>
  </w:style>
  <w:style w:type="paragraph" w:customStyle="1" w:styleId="A8">
    <w:name w:val="正文 A"/>
    <w:pPr>
      <w:widowControl w:val="0"/>
      <w:spacing w:line="560" w:lineRule="atLeast"/>
      <w:ind w:firstLine="640"/>
      <w:jc w:val="both"/>
    </w:pPr>
    <w:rPr>
      <w:rFonts w:ascii="Arial Unicode MS" w:hAnsi="Arial Unicode MS" w:cs="Arial Unicode MS"/>
      <w:color w:val="000000"/>
      <w:kern w:val="2"/>
      <w:sz w:val="32"/>
      <w:szCs w:val="32"/>
      <w:u w:color="000000"/>
    </w:rPr>
  </w:style>
  <w:style w:type="paragraph" w:styleId="a9">
    <w:name w:val="annotation text"/>
    <w:basedOn w:val="a"/>
    <w:pPr>
      <w:jc w:val="left"/>
    </w:pPr>
  </w:style>
  <w:style w:type="paragraph" w:customStyle="1" w:styleId="p0">
    <w:name w:val="p0"/>
    <w:basedOn w:val="a"/>
    <w:pPr>
      <w:widowControl/>
    </w:pPr>
    <w:rPr>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a">
    <w:name w:val="header"/>
    <w:basedOn w:val="a"/>
    <w:unhideWhenUsed/>
    <w:pPr>
      <w:pBdr>
        <w:bottom w:val="single" w:sz="6" w:space="1" w:color="auto"/>
      </w:pBdr>
      <w:tabs>
        <w:tab w:val="center" w:pos="4153"/>
        <w:tab w:val="right" w:pos="8306"/>
      </w:tabs>
      <w:snapToGrid w:val="0"/>
      <w:jc w:val="center"/>
    </w:pPr>
    <w:rPr>
      <w:sz w:val="18"/>
      <w:szCs w:val="20"/>
    </w:rPr>
  </w:style>
  <w:style w:type="paragraph" w:customStyle="1" w:styleId="YJH-nei">
    <w:name w:val="YJH-nei"/>
    <w:pPr>
      <w:spacing w:line="600" w:lineRule="exact"/>
      <w:ind w:firstLineChars="200" w:firstLine="200"/>
    </w:pPr>
    <w:rPr>
      <w:rFonts w:ascii="仿宋_GB2312" w:eastAsia="仿宋_GB2312" w:hAnsi="宋体"/>
      <w:sz w:val="30"/>
      <w:szCs w:val="30"/>
    </w:rPr>
  </w:style>
  <w:style w:type="table" w:styleId="ab">
    <w:name w:val="Table Grid"/>
    <w:basedOn w:val="a1"/>
    <w:unhideWhenUsed/>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2865</Words>
  <Characters>16333</Characters>
  <Application>Microsoft Office Word</Application>
  <DocSecurity>0</DocSecurity>
  <PresentationFormat/>
  <Lines>136</Lines>
  <Paragraphs>38</Paragraphs>
  <Slides>0</Slides>
  <Notes>0</Notes>
  <HiddenSlides>0</HiddenSlides>
  <MMClips>0</MMClips>
  <ScaleCrop>false</ScaleCrop>
  <Manager/>
  <Company>华夏银行总行</Company>
  <LinksUpToDate>false</LinksUpToDate>
  <CharactersWithSpaces>19160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华夏理财固定收益纯债型四个月定开</dc:title>
  <dc:subject/>
  <dc:creator>ylh</dc:creator>
  <cp:keywords>新版</cp:keywords>
  <dc:description/>
  <cp:lastModifiedBy>产品营销部</cp:lastModifiedBy>
  <cp:revision>3</cp:revision>
  <dcterms:created xsi:type="dcterms:W3CDTF">2023-02-09T02:04:00Z</dcterms:created>
  <dcterms:modified xsi:type="dcterms:W3CDTF">2023-02-09T02:05:00Z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F665AB604087427AB68C2D237E20ECB1</vt:lpwstr>
  </property>
</Properties>
</file>