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C9" w:rsidRPr="00A215C9" w:rsidRDefault="00896D1C" w:rsidP="00A215C9">
      <w:pPr>
        <w:adjustRightInd/>
        <w:snapToGrid/>
        <w:spacing w:after="0"/>
        <w:jc w:val="center"/>
        <w:rPr>
          <w:rFonts w:ascii="宋体" w:eastAsia="宋体" w:hAnsi="宋体" w:cs="宋体"/>
          <w:sz w:val="24"/>
          <w:szCs w:val="24"/>
        </w:rPr>
      </w:pPr>
      <w:r w:rsidRPr="00896D1C">
        <w:rPr>
          <w:rFonts w:ascii="宋体" w:eastAsia="宋体" w:hAnsi="宋体" w:cs="宋体" w:hint="eastAsia"/>
          <w:b/>
          <w:bCs/>
          <w:sz w:val="36"/>
        </w:rPr>
        <w:t>关于代销</w:t>
      </w:r>
      <w:r w:rsidR="00633DBB" w:rsidRPr="00633DBB">
        <w:rPr>
          <w:rFonts w:ascii="宋体" w:eastAsia="宋体" w:hAnsi="宋体" w:cs="宋体" w:hint="eastAsia"/>
          <w:b/>
          <w:bCs/>
          <w:sz w:val="36"/>
        </w:rPr>
        <w:t>华夏理财固定收益债权型封闭式理财产品</w:t>
      </w:r>
      <w:r w:rsidR="0007288B">
        <w:rPr>
          <w:rFonts w:ascii="宋体" w:eastAsia="宋体" w:hAnsi="宋体" w:cs="宋体" w:hint="eastAsia"/>
          <w:b/>
          <w:bCs/>
          <w:sz w:val="36"/>
        </w:rPr>
        <w:t>6</w:t>
      </w:r>
      <w:r w:rsidR="00634E7A">
        <w:rPr>
          <w:rFonts w:ascii="宋体" w:eastAsia="宋体" w:hAnsi="宋体" w:cs="宋体" w:hint="eastAsia"/>
          <w:b/>
          <w:bCs/>
          <w:sz w:val="36"/>
        </w:rPr>
        <w:t>7</w:t>
      </w:r>
      <w:r w:rsidR="00633DBB" w:rsidRPr="00633DBB">
        <w:rPr>
          <w:rFonts w:ascii="宋体" w:eastAsia="宋体" w:hAnsi="宋体" w:cs="宋体" w:hint="eastAsia"/>
          <w:b/>
          <w:bCs/>
          <w:sz w:val="36"/>
        </w:rPr>
        <w:t>号</w:t>
      </w:r>
      <w:r w:rsidRPr="00896D1C">
        <w:rPr>
          <w:rFonts w:ascii="宋体" w:eastAsia="宋体" w:hAnsi="宋体" w:cs="宋体" w:hint="eastAsia"/>
          <w:b/>
          <w:bCs/>
          <w:sz w:val="36"/>
        </w:rPr>
        <w:t>的通知</w:t>
      </w:r>
    </w:p>
    <w:p w:rsidR="00A372BB" w:rsidRDefault="00A372BB" w:rsidP="00A215C9">
      <w:pPr>
        <w:adjustRightInd/>
        <w:snapToGrid/>
        <w:spacing w:after="0" w:line="555" w:lineRule="atLeast"/>
        <w:rPr>
          <w:rFonts w:ascii="仿宋_GB2312" w:eastAsia="仿宋_GB2312" w:hAnsi="微软雅黑" w:cs="宋体"/>
          <w:color w:val="000000"/>
          <w:sz w:val="32"/>
          <w:szCs w:val="32"/>
        </w:rPr>
      </w:pPr>
    </w:p>
    <w:p w:rsidR="00A215C9" w:rsidRPr="00A215C9" w:rsidRDefault="00A215C9" w:rsidP="00A215C9">
      <w:pPr>
        <w:adjustRightInd/>
        <w:snapToGrid/>
        <w:spacing w:after="0"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D763B7" w:rsidRDefault="00633DBB" w:rsidP="00A215C9">
      <w:pPr>
        <w:adjustRightInd/>
        <w:snapToGrid/>
        <w:spacing w:after="0"/>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sidRPr="00EC780B">
        <w:rPr>
          <w:rFonts w:ascii="仿宋_GB2312" w:eastAsia="仿宋_GB2312" w:hAnsi="微软雅黑" w:cs="宋体" w:hint="eastAsia"/>
          <w:sz w:val="32"/>
          <w:szCs w:val="32"/>
        </w:rPr>
        <w:t>将于202</w:t>
      </w:r>
      <w:r w:rsidR="00F15448">
        <w:rPr>
          <w:rFonts w:ascii="仿宋_GB2312" w:eastAsia="仿宋_GB2312" w:hAnsi="微软雅黑" w:cs="宋体" w:hint="eastAsia"/>
          <w:sz w:val="32"/>
          <w:szCs w:val="32"/>
        </w:rPr>
        <w:t>3</w:t>
      </w:r>
      <w:r w:rsidRPr="00EC780B">
        <w:rPr>
          <w:rFonts w:ascii="仿宋_GB2312" w:eastAsia="仿宋_GB2312" w:hAnsi="微软雅黑" w:cs="宋体" w:hint="eastAsia"/>
          <w:sz w:val="32"/>
          <w:szCs w:val="32"/>
        </w:rPr>
        <w:t>年</w:t>
      </w:r>
      <w:r w:rsidR="00306FE6">
        <w:rPr>
          <w:rFonts w:ascii="仿宋_GB2312" w:eastAsia="仿宋_GB2312" w:hAnsi="微软雅黑" w:cs="宋体" w:hint="eastAsia"/>
          <w:sz w:val="32"/>
          <w:szCs w:val="32"/>
        </w:rPr>
        <w:t>2</w:t>
      </w:r>
      <w:r w:rsidRPr="00EC780B">
        <w:rPr>
          <w:rFonts w:ascii="仿宋_GB2312" w:eastAsia="仿宋_GB2312" w:hAnsi="微软雅黑" w:cs="宋体" w:hint="eastAsia"/>
          <w:sz w:val="32"/>
          <w:szCs w:val="32"/>
        </w:rPr>
        <w:t>月</w:t>
      </w:r>
      <w:r w:rsidR="00AA3456">
        <w:rPr>
          <w:rFonts w:ascii="仿宋_GB2312" w:eastAsia="仿宋_GB2312" w:hAnsi="微软雅黑" w:cs="宋体" w:hint="eastAsia"/>
          <w:sz w:val="32"/>
          <w:szCs w:val="32"/>
        </w:rPr>
        <w:t>1</w:t>
      </w:r>
      <w:r w:rsidR="00634E7A">
        <w:rPr>
          <w:rFonts w:ascii="仿宋_GB2312" w:eastAsia="仿宋_GB2312" w:hAnsi="微软雅黑" w:cs="宋体" w:hint="eastAsia"/>
          <w:sz w:val="32"/>
          <w:szCs w:val="32"/>
        </w:rPr>
        <w:t>7</w:t>
      </w:r>
      <w:r w:rsidRPr="00EC780B">
        <w:rPr>
          <w:rFonts w:ascii="仿宋_GB2312" w:eastAsia="仿宋_GB2312" w:hAnsi="微软雅黑" w:cs="宋体" w:hint="eastAsia"/>
          <w:sz w:val="32"/>
          <w:szCs w:val="32"/>
        </w:rPr>
        <w:t>日</w:t>
      </w:r>
      <w:r w:rsidRPr="00A215C9">
        <w:rPr>
          <w:rFonts w:ascii="仿宋_GB2312" w:eastAsia="仿宋_GB2312" w:hAnsi="微软雅黑" w:cs="宋体" w:hint="eastAsia"/>
          <w:color w:val="000000"/>
          <w:sz w:val="32"/>
          <w:szCs w:val="32"/>
        </w:rPr>
        <w:t>起代销</w:t>
      </w:r>
      <w:r w:rsidRPr="0006322B">
        <w:rPr>
          <w:rFonts w:ascii="仿宋_GB2312" w:eastAsia="仿宋_GB2312" w:hAnsi="微软雅黑" w:cs="宋体" w:hint="eastAsia"/>
          <w:color w:val="FF0000"/>
          <w:sz w:val="32"/>
          <w:szCs w:val="32"/>
        </w:rPr>
        <w:t>华夏理财有限责任公司</w:t>
      </w:r>
      <w:r w:rsidRPr="00A215C9">
        <w:rPr>
          <w:rFonts w:ascii="仿宋_GB2312" w:eastAsia="仿宋_GB2312" w:hAnsi="微软雅黑" w:cs="宋体" w:hint="eastAsia"/>
          <w:color w:val="000000"/>
          <w:sz w:val="32"/>
          <w:szCs w:val="32"/>
        </w:rPr>
        <w:t>发行的</w:t>
      </w:r>
      <w:r w:rsidRPr="00633DBB">
        <w:rPr>
          <w:rFonts w:ascii="仿宋_GB2312" w:eastAsia="仿宋_GB2312" w:hAnsi="微软雅黑" w:cs="宋体" w:hint="eastAsia"/>
          <w:bCs/>
          <w:sz w:val="32"/>
          <w:szCs w:val="32"/>
        </w:rPr>
        <w:t>固定收益债权型封闭式理财产品</w:t>
      </w:r>
      <w:r w:rsidR="00AA3456">
        <w:rPr>
          <w:rFonts w:ascii="仿宋_GB2312" w:eastAsia="仿宋_GB2312" w:hAnsi="微软雅黑" w:cs="宋体" w:hint="eastAsia"/>
          <w:bCs/>
          <w:sz w:val="32"/>
          <w:szCs w:val="32"/>
        </w:rPr>
        <w:t>6</w:t>
      </w:r>
      <w:r w:rsidR="00634E7A">
        <w:rPr>
          <w:rFonts w:ascii="仿宋_GB2312" w:eastAsia="仿宋_GB2312" w:hAnsi="微软雅黑" w:cs="宋体" w:hint="eastAsia"/>
          <w:bCs/>
          <w:sz w:val="32"/>
          <w:szCs w:val="32"/>
        </w:rPr>
        <w:t>7</w:t>
      </w:r>
      <w:r w:rsidRPr="00633DBB">
        <w:rPr>
          <w:rFonts w:ascii="仿宋_GB2312" w:eastAsia="仿宋_GB2312" w:hAnsi="微软雅黑" w:cs="宋体" w:hint="eastAsia"/>
          <w:bCs/>
          <w:sz w:val="32"/>
          <w:szCs w:val="32"/>
        </w:rPr>
        <w:t>号</w:t>
      </w:r>
      <w:r w:rsidRPr="0006322B">
        <w:rPr>
          <w:rFonts w:ascii="仿宋_GB2312" w:eastAsia="仿宋_GB2312" w:hAnsi="微软雅黑" w:cs="宋体" w:hint="eastAsia"/>
          <w:sz w:val="32"/>
          <w:szCs w:val="32"/>
        </w:rPr>
        <w:t>，节假日正</w:t>
      </w:r>
      <w:r w:rsidRPr="00A215C9">
        <w:rPr>
          <w:rFonts w:ascii="仿宋_GB2312" w:eastAsia="仿宋_GB2312" w:hAnsi="微软雅黑" w:cs="宋体" w:hint="eastAsia"/>
          <w:color w:val="000000"/>
          <w:sz w:val="32"/>
          <w:szCs w:val="32"/>
        </w:rPr>
        <w:t>常销售</w:t>
      </w:r>
      <w:r>
        <w:rPr>
          <w:rFonts w:ascii="仿宋_GB2312" w:eastAsia="仿宋_GB2312" w:hAnsi="微软雅黑" w:cs="宋体" w:hint="eastAsia"/>
          <w:color w:val="000000"/>
          <w:sz w:val="32"/>
          <w:szCs w:val="32"/>
        </w:rPr>
        <w:t>，目前只在</w:t>
      </w:r>
      <w:r w:rsidRPr="00F957A8">
        <w:rPr>
          <w:rFonts w:ascii="仿宋_GB2312" w:eastAsia="仿宋_GB2312" w:hAnsi="微软雅黑" w:cs="宋体" w:hint="eastAsia"/>
          <w:b/>
          <w:color w:val="FF0000"/>
          <w:sz w:val="32"/>
          <w:szCs w:val="32"/>
        </w:rPr>
        <w:t>手机银行</w:t>
      </w:r>
      <w:r>
        <w:rPr>
          <w:rFonts w:ascii="仿宋_GB2312" w:eastAsia="仿宋_GB2312" w:hAnsi="微软雅黑" w:cs="宋体" w:hint="eastAsia"/>
          <w:color w:val="000000"/>
          <w:sz w:val="32"/>
          <w:szCs w:val="32"/>
        </w:rPr>
        <w:t>销售</w:t>
      </w:r>
      <w:r w:rsidRPr="00A215C9">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r>
        <w:rPr>
          <w:rFonts w:ascii="仿宋_GB2312" w:eastAsia="仿宋_GB2312" w:hAnsi="微软雅黑" w:cs="宋体" w:hint="eastAsia"/>
          <w:color w:val="000000"/>
          <w:sz w:val="32"/>
          <w:szCs w:val="32"/>
        </w:rPr>
        <w:t>：</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30"/>
        <w:gridCol w:w="7404"/>
      </w:tblGrid>
      <w:tr w:rsidR="00634E7A" w:rsidTr="0098103E">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华夏理财固定收益债权型封闭式理财产品67号</w:t>
            </w:r>
          </w:p>
          <w:p w:rsidR="00634E7A" w:rsidRDefault="00634E7A" w:rsidP="0098103E">
            <w:pPr>
              <w:spacing w:line="300" w:lineRule="exact"/>
              <w:jc w:val="center"/>
            </w:pPr>
            <w:r>
              <w:rPr>
                <w:rFonts w:ascii="仿宋" w:eastAsia="仿宋" w:hAnsi="仿宋" w:hint="eastAsia"/>
                <w:b/>
                <w:bCs/>
                <w:szCs w:val="21"/>
              </w:rPr>
              <w:t>E份额简称：“华夏理财固收债权封闭式67号200天E”</w:t>
            </w:r>
          </w:p>
        </w:tc>
      </w:tr>
      <w:tr w:rsidR="00634E7A" w:rsidTr="0098103E">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23121067</w:t>
            </w:r>
          </w:p>
        </w:tc>
      </w:tr>
      <w:tr w:rsidR="00634E7A" w:rsidTr="0098103E">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E份额代码：23121067E</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keepNext/>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keepNext/>
              <w:spacing w:line="300" w:lineRule="exact"/>
              <w:jc w:val="center"/>
              <w:rPr>
                <w:rFonts w:ascii="仿宋" w:eastAsia="仿宋" w:hAnsi="仿宋"/>
                <w:bCs/>
                <w:szCs w:val="21"/>
              </w:rPr>
            </w:pPr>
            <w:r>
              <w:rPr>
                <w:rFonts w:ascii="仿宋" w:eastAsia="仿宋" w:hAnsi="仿宋" w:hint="eastAsia"/>
                <w:bCs/>
                <w:szCs w:val="21"/>
              </w:rPr>
              <w:t>Z7003923000067</w:t>
            </w:r>
          </w:p>
          <w:p w:rsidR="00634E7A" w:rsidRDefault="00634E7A" w:rsidP="0098103E">
            <w:pPr>
              <w:keepNext/>
              <w:spacing w:line="300" w:lineRule="exact"/>
              <w:jc w:val="center"/>
            </w:pPr>
            <w:r>
              <w:rPr>
                <w:rFonts w:ascii="仿宋" w:eastAsia="仿宋" w:hAnsi="仿宋" w:hint="eastAsia"/>
                <w:bCs/>
                <w:szCs w:val="21"/>
              </w:rPr>
              <w:t>投资者可以依据该登记编码在中国理财网（www.chinawealth.com.cn）查询产品信息</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240" w:lineRule="atLeast"/>
              <w:jc w:val="center"/>
              <w:rPr>
                <w:rFonts w:ascii="仿宋" w:eastAsia="仿宋" w:hAnsi="仿宋"/>
                <w:bCs/>
                <w:szCs w:val="21"/>
              </w:rPr>
            </w:pPr>
            <w:r>
              <w:rPr>
                <w:rFonts w:ascii="仿宋" w:eastAsia="仿宋" w:hAnsi="仿宋" w:hint="eastAsia"/>
                <w:bCs/>
                <w:szCs w:val="21"/>
              </w:rPr>
              <w:t>产品管理人</w:t>
            </w:r>
          </w:p>
          <w:p w:rsidR="00634E7A" w:rsidRDefault="00634E7A" w:rsidP="0098103E">
            <w:pPr>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240" w:lineRule="atLeast"/>
              <w:jc w:val="center"/>
            </w:pPr>
            <w:r>
              <w:rPr>
                <w:rFonts w:ascii="仿宋" w:eastAsia="仿宋" w:hAnsi="仿宋" w:hint="eastAsia"/>
                <w:bCs/>
                <w:szCs w:val="21"/>
              </w:rPr>
              <w:t>华夏理财</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公募</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封闭式净值型</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固定收益类</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非保本浮动收益</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人民币</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u w:val="single"/>
              </w:rPr>
              <w:t>PR2级（中低风险）</w:t>
            </w:r>
            <w:r>
              <w:rPr>
                <w:rFonts w:ascii="仿宋" w:eastAsia="仿宋" w:hAnsi="仿宋"/>
                <w:bCs/>
                <w:szCs w:val="21"/>
              </w:rPr>
              <w:t>理财产品。</w:t>
            </w:r>
          </w:p>
          <w:p w:rsidR="00634E7A" w:rsidRDefault="00634E7A" w:rsidP="00634E7A">
            <w:pPr>
              <w:spacing w:line="300" w:lineRule="exact"/>
              <w:ind w:firstLineChars="200" w:firstLine="44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634E7A" w:rsidRDefault="00634E7A" w:rsidP="00634E7A">
            <w:pPr>
              <w:spacing w:line="300" w:lineRule="exact"/>
              <w:ind w:firstLineChars="200" w:firstLine="442"/>
              <w:rPr>
                <w:rFonts w:ascii="仿宋" w:eastAsia="仿宋" w:hAnsi="仿宋" w:hint="eastAsia"/>
                <w:b/>
                <w:bCs/>
                <w:szCs w:val="21"/>
              </w:rPr>
            </w:pPr>
            <w:r>
              <w:rPr>
                <w:rFonts w:ascii="仿宋" w:eastAsia="仿宋" w:hAnsi="仿宋" w:hint="eastAsia"/>
                <w:b/>
                <w:bCs/>
                <w:szCs w:val="21"/>
              </w:rPr>
              <w:t>本理财产品风险评级为华夏理财自主评定，仅供参考。</w:t>
            </w:r>
          </w:p>
          <w:p w:rsidR="00634E7A" w:rsidRDefault="00634E7A" w:rsidP="00634E7A">
            <w:pPr>
              <w:spacing w:line="300" w:lineRule="exact"/>
              <w:ind w:firstLineChars="200" w:firstLine="440"/>
            </w:pPr>
            <w:r>
              <w:rPr>
                <w:rFonts w:ascii="仿宋" w:eastAsia="仿宋" w:hAnsi="仿宋" w:hint="eastAsia"/>
                <w:b/>
                <w:bCs/>
                <w:color w:val="FF0000"/>
                <w:spacing w:val="-1"/>
                <w:shd w:val="clear" w:color="auto" w:fill="FFFFFF"/>
              </w:rPr>
              <w:t>紫金农商银行对本产品的风险评级为中低风险。</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w:t>
            </w:r>
            <w:r>
              <w:rPr>
                <w:rFonts w:ascii="仿宋" w:eastAsia="仿宋" w:hAnsi="仿宋" w:hint="eastAsia"/>
                <w:szCs w:val="21"/>
              </w:rPr>
              <w:lastRenderedPageBreak/>
              <w:t>与华夏理财产品风险评级结果不一致，应当采用对应较高风险等级的评级结果</w:t>
            </w:r>
            <w:r>
              <w:rPr>
                <w:rFonts w:ascii="仿宋" w:eastAsia="仿宋" w:hAnsi="仿宋"/>
                <w:b/>
                <w:bCs/>
                <w:szCs w:val="21"/>
              </w:rPr>
              <w:t>。</w:t>
            </w:r>
          </w:p>
        </w:tc>
      </w:tr>
      <w:tr w:rsidR="00634E7A" w:rsidTr="0098103E">
        <w:trPr>
          <w:jc w:val="center"/>
        </w:trPr>
        <w:tc>
          <w:tcPr>
            <w:tcW w:w="1730" w:type="dxa"/>
            <w:tcBorders>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lastRenderedPageBreak/>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u w:val="single"/>
              </w:rPr>
              <w:t>CR2（稳健型）、CR3（平衡型）、CR4（进取型）、CR5（激进型）</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634E7A" w:rsidRDefault="00634E7A" w:rsidP="00634E7A">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634E7A" w:rsidRDefault="00634E7A" w:rsidP="00634E7A">
            <w:pPr>
              <w:spacing w:line="300" w:lineRule="exact"/>
              <w:ind w:firstLineChars="200" w:firstLine="44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634E7A" w:rsidRDefault="00634E7A" w:rsidP="00634E7A">
            <w:pPr>
              <w:spacing w:line="300" w:lineRule="exact"/>
              <w:ind w:firstLineChars="200" w:firstLine="442"/>
            </w:pPr>
            <w:r>
              <w:rPr>
                <w:rFonts w:ascii="仿宋" w:eastAsia="仿宋" w:hAnsi="仿宋" w:hint="eastAsia"/>
                <w:b/>
                <w:bCs/>
                <w:szCs w:val="21"/>
              </w:rPr>
              <w:t>华夏理财/代销机构根据</w:t>
            </w:r>
            <w:r>
              <w:rPr>
                <w:rFonts w:ascii="仿宋" w:eastAsia="仿宋" w:hAnsi="仿宋" w:hint="eastAsia"/>
                <w:b/>
                <w:bCs/>
                <w:color w:val="000000"/>
                <w:szCs w:val="21"/>
              </w:rPr>
              <w:t>非机构</w:t>
            </w:r>
            <w:r>
              <w:rPr>
                <w:rFonts w:ascii="仿宋" w:eastAsia="仿宋" w:hAnsi="仿宋" w:hint="eastAsia"/>
                <w:b/>
                <w:bCs/>
                <w:szCs w:val="21"/>
              </w:rPr>
              <w:t>投资者自身提供的信息评估</w:t>
            </w:r>
            <w:r>
              <w:rPr>
                <w:rFonts w:ascii="仿宋" w:eastAsia="仿宋" w:hAnsi="仿宋" w:hint="eastAsia"/>
                <w:b/>
                <w:bCs/>
                <w:color w:val="000000"/>
                <w:szCs w:val="21"/>
              </w:rPr>
              <w:t>非机构</w:t>
            </w:r>
            <w:r>
              <w:rPr>
                <w:rFonts w:ascii="仿宋" w:eastAsia="仿宋" w:hAnsi="仿宋" w:hint="eastAsia"/>
                <w:b/>
                <w:bCs/>
                <w:szCs w:val="21"/>
              </w:rPr>
              <w:t>投资者风险承受能力，因</w:t>
            </w:r>
            <w:r>
              <w:rPr>
                <w:rFonts w:ascii="仿宋" w:eastAsia="仿宋" w:hAnsi="仿宋" w:hint="eastAsia"/>
                <w:b/>
                <w:bCs/>
                <w:color w:val="000000"/>
                <w:szCs w:val="21"/>
              </w:rPr>
              <w:t>非机构</w:t>
            </w:r>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E份额：业绩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3.10%</w:t>
            </w:r>
            <w:r>
              <w:rPr>
                <w:rFonts w:ascii="仿宋" w:eastAsia="仿宋" w:hAnsi="仿宋" w:cs="Cambria" w:hint="eastAsia"/>
                <w:bCs/>
                <w:szCs w:val="21"/>
              </w:rPr>
              <w:t>（年化）。以产品投资利率债仓位0-10%，信用债仓位70%-90%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634E7A" w:rsidRDefault="00634E7A" w:rsidP="00634E7A">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634E7A" w:rsidRDefault="00634E7A" w:rsidP="00634E7A">
            <w:pPr>
              <w:spacing w:line="240" w:lineRule="atLeast"/>
              <w:ind w:firstLineChars="200" w:firstLine="44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634E7A" w:rsidRDefault="00634E7A" w:rsidP="00634E7A">
            <w:pPr>
              <w:spacing w:line="240" w:lineRule="atLeast"/>
              <w:ind w:firstLineChars="200" w:firstLine="44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634E7A" w:rsidRDefault="00634E7A" w:rsidP="00634E7A">
            <w:pPr>
              <w:spacing w:line="240" w:lineRule="atLeast"/>
              <w:ind w:firstLineChars="200" w:firstLine="442"/>
              <w:rPr>
                <w:rFonts w:ascii="仿宋" w:eastAsia="仿宋" w:hAnsi="仿宋"/>
                <w:b/>
                <w:bCs/>
                <w:szCs w:val="21"/>
              </w:rPr>
            </w:pPr>
            <w:r>
              <w:rPr>
                <w:rFonts w:ascii="仿宋" w:eastAsia="仿宋" w:hAnsi="仿宋" w:hint="eastAsia"/>
                <w:b/>
                <w:bCs/>
                <w:szCs w:val="21"/>
              </w:rPr>
              <w:t>2.本</w:t>
            </w:r>
            <w:r>
              <w:rPr>
                <w:rFonts w:ascii="仿宋" w:eastAsia="仿宋" w:hAnsi="仿宋" w:hint="eastAsia"/>
                <w:b/>
                <w:szCs w:val="21"/>
              </w:rPr>
              <w:t>业绩比较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634E7A" w:rsidRDefault="00634E7A" w:rsidP="00634E7A">
            <w:pPr>
              <w:spacing w:line="300" w:lineRule="exact"/>
              <w:ind w:firstLineChars="200" w:firstLine="442"/>
            </w:pPr>
            <w:r>
              <w:rPr>
                <w:rFonts w:ascii="仿宋" w:eastAsia="仿宋" w:hAnsi="仿宋" w:hint="eastAsia"/>
                <w:b/>
                <w:bCs/>
                <w:szCs w:val="21"/>
              </w:rPr>
              <w:t>3.理财产品过往业绩不代表其未来表现，不等于理财产品实际收益，投资须谨慎。</w:t>
            </w:r>
          </w:p>
        </w:tc>
      </w:tr>
      <w:tr w:rsidR="00634E7A" w:rsidTr="0098103E">
        <w:trPr>
          <w:trHeight w:val="1258"/>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pPr>
            <w:r>
              <w:rPr>
                <w:rFonts w:ascii="仿宋" w:eastAsia="仿宋" w:hAnsi="仿宋" w:hint="eastAsia"/>
                <w:bCs/>
                <w:szCs w:val="21"/>
              </w:rPr>
              <w:t>2023年2月17日</w:t>
            </w:r>
            <w:r>
              <w:rPr>
                <w:rFonts w:ascii="仿宋" w:eastAsia="仿宋" w:hAnsi="仿宋"/>
                <w:bCs/>
                <w:szCs w:val="21"/>
              </w:rPr>
              <w:t>－</w:t>
            </w:r>
            <w:r>
              <w:rPr>
                <w:rFonts w:ascii="仿宋" w:eastAsia="仿宋" w:hAnsi="仿宋" w:hint="eastAsia"/>
                <w:bCs/>
                <w:szCs w:val="21"/>
              </w:rPr>
              <w:t>2023年2月23日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pPr>
            <w:r>
              <w:rPr>
                <w:rFonts w:ascii="仿宋" w:eastAsia="仿宋" w:hAnsi="仿宋" w:hint="eastAsia"/>
                <w:bCs/>
                <w:szCs w:val="21"/>
              </w:rPr>
              <w:t>2023年2月24日</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lastRenderedPageBreak/>
              <w:t>期限</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pPr>
            <w:r>
              <w:rPr>
                <w:rFonts w:ascii="仿宋" w:eastAsia="仿宋" w:hAnsi="仿宋"/>
                <w:bCs/>
                <w:szCs w:val="21"/>
              </w:rPr>
              <w:t>20</w:t>
            </w:r>
            <w:r>
              <w:rPr>
                <w:rFonts w:ascii="仿宋" w:eastAsia="仿宋" w:hAnsi="仿宋" w:hint="eastAsia"/>
                <w:bCs/>
                <w:szCs w:val="21"/>
              </w:rPr>
              <w:t>0天</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pPr>
            <w:r>
              <w:rPr>
                <w:rFonts w:ascii="仿宋" w:eastAsia="仿宋" w:hAnsi="仿宋" w:hint="eastAsia"/>
                <w:bCs/>
                <w:szCs w:val="21"/>
              </w:rPr>
              <w:t>2023年9月12</w:t>
            </w:r>
            <w:bookmarkStart w:id="0" w:name="_GoBack"/>
            <w:bookmarkEnd w:id="0"/>
            <w:r>
              <w:rPr>
                <w:rFonts w:ascii="仿宋" w:eastAsia="仿宋" w:hAnsi="仿宋" w:hint="eastAsia"/>
                <w:bCs/>
                <w:szCs w:val="21"/>
              </w:rPr>
              <w:t>日理财产品正常到期，到期日如为非工作日，则顺延至下一工作日。如理财产品因故提前或延迟到期的，则终止日以华夏理财发布的公告为准。</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634E7A" w:rsidRDefault="00634E7A" w:rsidP="00634E7A">
            <w:pPr>
              <w:spacing w:line="300" w:lineRule="exact"/>
              <w:ind w:firstLineChars="200" w:firstLine="44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r>
              <w:rPr>
                <w:rFonts w:ascii="仿宋" w:eastAsia="仿宋" w:hAnsi="仿宋" w:hint="eastAsia"/>
                <w:bCs/>
                <w:szCs w:val="21"/>
              </w:rPr>
              <w:t>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634E7A" w:rsidRDefault="00634E7A" w:rsidP="00634E7A">
            <w:pPr>
              <w:spacing w:line="300" w:lineRule="exact"/>
              <w:ind w:firstLineChars="200" w:firstLine="44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color w:val="000000"/>
                <w:szCs w:val="21"/>
              </w:rPr>
              <w:t>面向全国发行</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pPr>
            <w:r>
              <w:rPr>
                <w:rFonts w:ascii="仿宋" w:eastAsia="仿宋" w:hAnsi="仿宋" w:hint="eastAsia"/>
                <w:bCs/>
                <w:szCs w:val="21"/>
              </w:rPr>
              <w:t>本产品</w:t>
            </w:r>
            <w:r>
              <w:rPr>
                <w:rFonts w:ascii="仿宋" w:eastAsia="仿宋" w:hAnsi="仿宋"/>
                <w:bCs/>
                <w:szCs w:val="21"/>
              </w:rPr>
              <w:t>计划发行规模上限为50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634E7A" w:rsidTr="0098103E">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634E7A" w:rsidRDefault="00634E7A" w:rsidP="00634E7A">
            <w:pPr>
              <w:spacing w:line="300" w:lineRule="exact"/>
              <w:ind w:firstLineChars="200" w:firstLine="44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300" w:lineRule="exact"/>
              <w:ind w:firstLineChars="200" w:firstLine="440"/>
              <w:rPr>
                <w:rFonts w:ascii="仿宋" w:eastAsia="仿宋" w:hAnsi="仿宋"/>
                <w:bCs/>
                <w:szCs w:val="21"/>
              </w:rPr>
            </w:pPr>
            <w:r>
              <w:rPr>
                <w:rFonts w:ascii="仿宋" w:eastAsia="仿宋" w:hAnsi="仿宋" w:cs="Cambria" w:hint="eastAsia"/>
                <w:bCs/>
                <w:szCs w:val="21"/>
              </w:rPr>
              <w:t>E份额：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634E7A" w:rsidRDefault="00634E7A" w:rsidP="0098103E">
            <w:pPr>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634E7A" w:rsidRDefault="00634E7A" w:rsidP="00634E7A">
            <w:pPr>
              <w:spacing w:line="240" w:lineRule="atLeast"/>
              <w:ind w:firstLineChars="200" w:firstLine="440"/>
            </w:pPr>
            <w:r>
              <w:rPr>
                <w:rFonts w:ascii="仿宋" w:eastAsia="仿宋" w:hAnsi="仿宋" w:hint="eastAsia"/>
                <w:bCs/>
                <w:szCs w:val="21"/>
              </w:rPr>
              <w:t>具体详见“五、认购”。</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634E7A">
            <w:pPr>
              <w:spacing w:line="240" w:lineRule="atLeast"/>
              <w:ind w:firstLineChars="200" w:firstLine="440"/>
              <w:rPr>
                <w:rFonts w:ascii="仿宋" w:eastAsia="仿宋" w:hAnsi="仿宋"/>
              </w:rPr>
            </w:pPr>
            <w:r>
              <w:rPr>
                <w:rFonts w:ascii="仿宋" w:eastAsia="仿宋" w:hAnsi="仿宋" w:hint="eastAsia"/>
              </w:rPr>
              <w:t>最高持有限额要求：本理财产品单一投资者持有本产品份额数不得超过产品份额总数的50%。</w:t>
            </w:r>
          </w:p>
          <w:p w:rsidR="00634E7A" w:rsidRDefault="00634E7A" w:rsidP="00634E7A">
            <w:pPr>
              <w:spacing w:line="240" w:lineRule="atLeast"/>
              <w:ind w:firstLineChars="200" w:firstLine="44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634E7A" w:rsidTr="0098103E">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bCs/>
                <w:szCs w:val="21"/>
              </w:rPr>
              <w:lastRenderedPageBreak/>
              <w:t>追加</w:t>
            </w:r>
            <w:r>
              <w:rPr>
                <w:rFonts w:ascii="仿宋" w:eastAsia="仿宋" w:hAnsi="仿宋" w:hint="eastAsia"/>
                <w:bCs/>
                <w:szCs w:val="21"/>
              </w:rPr>
              <w:t>认</w:t>
            </w:r>
            <w:r>
              <w:rPr>
                <w:rFonts w:ascii="仿宋" w:eastAsia="仿宋" w:hAnsi="仿宋"/>
                <w:bCs/>
                <w:szCs w:val="21"/>
              </w:rPr>
              <w:t>购最低金额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元的整数倍追加</w:t>
            </w:r>
            <w:r>
              <w:rPr>
                <w:rFonts w:ascii="仿宋" w:eastAsia="仿宋" w:hAnsi="仿宋" w:hint="eastAsia"/>
                <w:bCs/>
                <w:szCs w:val="21"/>
              </w:rPr>
              <w:t>。</w:t>
            </w:r>
          </w:p>
          <w:p w:rsidR="00634E7A" w:rsidRDefault="00634E7A" w:rsidP="0098103E">
            <w:pPr>
              <w:spacing w:line="240" w:lineRule="atLeast"/>
              <w:ind w:firstLine="420"/>
            </w:pPr>
            <w:r>
              <w:rPr>
                <w:rFonts w:ascii="仿宋" w:eastAsia="仿宋" w:hAnsi="仿宋" w:hint="eastAsia"/>
              </w:rPr>
              <w:t>如代销机构规定与本规则不一致，则以各代销机构规定为准，但不得低于本追加起点金额。</w:t>
            </w:r>
          </w:p>
        </w:tc>
      </w:tr>
      <w:tr w:rsidR="00634E7A" w:rsidTr="0098103E">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634E7A" w:rsidRDefault="00634E7A" w:rsidP="0098103E">
            <w:pPr>
              <w:spacing w:line="240" w:lineRule="atLeast"/>
              <w:ind w:firstLine="420"/>
            </w:pPr>
            <w:r>
              <w:rPr>
                <w:rFonts w:ascii="仿宋" w:eastAsia="仿宋" w:hAnsi="仿宋" w:hint="eastAsia"/>
                <w:bCs/>
                <w:szCs w:val="21"/>
              </w:rPr>
              <w:t>认购份额=认购金额/1元。</w:t>
            </w:r>
          </w:p>
        </w:tc>
      </w:tr>
    </w:tbl>
    <w:p w:rsidR="0006322B" w:rsidRDefault="00610019" w:rsidP="001A556D">
      <w:pPr>
        <w:adjustRightInd/>
        <w:snapToGrid/>
        <w:spacing w:after="0"/>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A215C9" w:rsidRPr="00A215C9" w:rsidRDefault="00A215C9" w:rsidP="00867E9B">
      <w:pPr>
        <w:adjustRightInd/>
        <w:snapToGrid/>
        <w:spacing w:after="0"/>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sidR="001A556D">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sidR="001A556D">
        <w:rPr>
          <w:rFonts w:ascii="仿宋_GB2312" w:eastAsia="仿宋_GB2312" w:hAnsi="微软雅黑" w:cs="宋体" w:hint="eastAsia"/>
          <w:color w:val="000000"/>
          <w:sz w:val="32"/>
          <w:szCs w:val="32"/>
        </w:rPr>
        <w:t>.</w:t>
      </w:r>
      <w:r w:rsidR="00E05633">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CD328F" w:rsidRDefault="00CD328F" w:rsidP="00867E9B">
      <w:pPr>
        <w:adjustRightInd/>
        <w:snapToGrid/>
        <w:spacing w:after="0"/>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1A556D">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如有其他未尽事宜以私人银行部解释</w:t>
      </w:r>
      <w:r w:rsidR="00C15704">
        <w:rPr>
          <w:rFonts w:ascii="仿宋_GB2312" w:eastAsia="仿宋_GB2312" w:hAnsi="微软雅黑" w:cs="宋体" w:hint="eastAsia"/>
          <w:color w:val="000000"/>
          <w:sz w:val="32"/>
          <w:szCs w:val="32"/>
        </w:rPr>
        <w:t>为准。</w:t>
      </w:r>
    </w:p>
    <w:p w:rsidR="001A556D" w:rsidRPr="00867E9B" w:rsidRDefault="001A556D" w:rsidP="00A215C9">
      <w:pPr>
        <w:adjustRightInd/>
        <w:snapToGrid/>
        <w:spacing w:after="0"/>
        <w:rPr>
          <w:rFonts w:ascii="微软雅黑" w:hAnsi="微软雅黑" w:cs="宋体"/>
          <w:color w:val="000000"/>
          <w:sz w:val="30"/>
          <w:szCs w:val="30"/>
        </w:rPr>
      </w:pPr>
    </w:p>
    <w:p w:rsidR="001A556D" w:rsidRDefault="001A556D" w:rsidP="001A556D">
      <w:pPr>
        <w:adjustRightInd/>
        <w:snapToGrid/>
        <w:spacing w:after="0"/>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附件：1.</w:t>
      </w:r>
      <w:r w:rsidR="00633DBB" w:rsidRPr="00633DBB">
        <w:rPr>
          <w:rFonts w:hint="eastAsia"/>
        </w:rPr>
        <w:t xml:space="preserve"> </w:t>
      </w:r>
      <w:r w:rsidR="00633DBB" w:rsidRPr="00633DBB">
        <w:rPr>
          <w:rFonts w:ascii="仿宋_GB2312" w:eastAsia="仿宋_GB2312" w:hAnsi="微软雅黑" w:cs="宋体" w:hint="eastAsia"/>
          <w:color w:val="000000"/>
          <w:sz w:val="32"/>
          <w:szCs w:val="32"/>
        </w:rPr>
        <w:t>华夏理财固定收益债权型封闭式理财产品</w:t>
      </w:r>
      <w:r w:rsidR="00277AC0">
        <w:rPr>
          <w:rFonts w:ascii="仿宋_GB2312" w:eastAsia="仿宋_GB2312" w:hAnsi="微软雅黑" w:cs="宋体" w:hint="eastAsia"/>
          <w:color w:val="000000"/>
          <w:sz w:val="32"/>
          <w:szCs w:val="32"/>
        </w:rPr>
        <w:t>6</w:t>
      </w:r>
      <w:r w:rsidR="00634E7A">
        <w:rPr>
          <w:rFonts w:ascii="仿宋_GB2312" w:eastAsia="仿宋_GB2312" w:hAnsi="微软雅黑" w:cs="宋体" w:hint="eastAsia"/>
          <w:color w:val="000000"/>
          <w:sz w:val="32"/>
          <w:szCs w:val="32"/>
        </w:rPr>
        <w:t>7</w:t>
      </w:r>
      <w:r w:rsidR="00633DBB" w:rsidRPr="00633DBB">
        <w:rPr>
          <w:rFonts w:ascii="仿宋_GB2312" w:eastAsia="仿宋_GB2312" w:hAnsi="微软雅黑" w:cs="宋体" w:hint="eastAsia"/>
          <w:color w:val="000000"/>
          <w:sz w:val="32"/>
          <w:szCs w:val="32"/>
        </w:rPr>
        <w:t>号</w:t>
      </w:r>
      <w:r w:rsidR="00633DBB">
        <w:rPr>
          <w:rFonts w:ascii="仿宋_GB2312" w:eastAsia="仿宋_GB2312" w:hAnsi="微软雅黑" w:cs="宋体" w:hint="eastAsia"/>
          <w:color w:val="000000"/>
          <w:sz w:val="32"/>
          <w:szCs w:val="32"/>
        </w:rPr>
        <w:t>说明书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2.华夏理财有限责任公司个人理财产品风险揭示书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3.华夏理财有限责任公司个人理财产品投资者权益须知</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4.华夏理财有限责任公司理财产品销售协议书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5.华夏理财有限责任公司理财产品投资协议书</w:t>
      </w:r>
    </w:p>
    <w:p w:rsidR="00A215C9" w:rsidRDefault="00A215C9" w:rsidP="00A215C9">
      <w:pPr>
        <w:adjustRightInd/>
        <w:snapToGrid/>
        <w:spacing w:after="0"/>
        <w:ind w:firstLine="645"/>
        <w:rPr>
          <w:rFonts w:ascii="微软雅黑" w:hAnsi="微软雅黑" w:cs="宋体"/>
          <w:color w:val="000000"/>
          <w:sz w:val="30"/>
          <w:szCs w:val="30"/>
        </w:rPr>
      </w:pPr>
    </w:p>
    <w:p w:rsidR="001A556D" w:rsidRDefault="001A556D" w:rsidP="00A215C9">
      <w:pPr>
        <w:adjustRightInd/>
        <w:snapToGrid/>
        <w:spacing w:after="0"/>
        <w:ind w:firstLine="645"/>
        <w:rPr>
          <w:rFonts w:ascii="微软雅黑" w:hAnsi="微软雅黑" w:cs="宋体"/>
          <w:color w:val="000000"/>
          <w:sz w:val="30"/>
          <w:szCs w:val="30"/>
        </w:rPr>
      </w:pPr>
    </w:p>
    <w:p w:rsidR="001A556D" w:rsidRPr="001A556D" w:rsidRDefault="001A556D"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576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4358AB" w:rsidRDefault="0070239F" w:rsidP="002777A1">
      <w:pPr>
        <w:adjustRightInd/>
        <w:snapToGrid/>
        <w:spacing w:after="0"/>
        <w:ind w:firstLine="5445"/>
      </w:pPr>
      <w:r>
        <w:rPr>
          <w:rFonts w:ascii="仿宋_GB2312" w:eastAsia="仿宋_GB2312" w:hAnsi="微软雅黑" w:cs="宋体" w:hint="eastAsia"/>
          <w:color w:val="000000"/>
          <w:sz w:val="32"/>
          <w:szCs w:val="32"/>
        </w:rPr>
        <w:t>20</w:t>
      </w:r>
      <w:r w:rsidR="00607EC0">
        <w:rPr>
          <w:rFonts w:ascii="仿宋_GB2312" w:eastAsia="仿宋_GB2312" w:hAnsi="微软雅黑" w:cs="宋体" w:hint="eastAsia"/>
          <w:color w:val="000000"/>
          <w:sz w:val="32"/>
          <w:szCs w:val="32"/>
        </w:rPr>
        <w:t>2</w:t>
      </w:r>
      <w:r w:rsidR="00C031DA">
        <w:rPr>
          <w:rFonts w:ascii="仿宋_GB2312" w:eastAsia="仿宋_GB2312" w:hAnsi="微软雅黑" w:cs="宋体" w:hint="eastAsia"/>
          <w:color w:val="000000"/>
          <w:sz w:val="32"/>
          <w:szCs w:val="32"/>
        </w:rPr>
        <w:t>3</w:t>
      </w:r>
      <w:r w:rsidR="00A215C9" w:rsidRPr="00A215C9">
        <w:rPr>
          <w:rFonts w:ascii="仿宋_GB2312" w:eastAsia="仿宋_GB2312" w:hAnsi="微软雅黑" w:cs="宋体" w:hint="eastAsia"/>
          <w:color w:val="000000"/>
          <w:sz w:val="32"/>
          <w:szCs w:val="32"/>
        </w:rPr>
        <w:t>年</w:t>
      </w:r>
      <w:r w:rsidR="00932126">
        <w:rPr>
          <w:rFonts w:ascii="仿宋_GB2312" w:eastAsia="仿宋_GB2312" w:hAnsi="微软雅黑" w:cs="宋体" w:hint="eastAsia"/>
          <w:color w:val="000000"/>
          <w:sz w:val="32"/>
          <w:szCs w:val="32"/>
        </w:rPr>
        <w:t>2</w:t>
      </w:r>
      <w:r w:rsidR="00A215C9" w:rsidRPr="00A215C9">
        <w:rPr>
          <w:rFonts w:ascii="仿宋_GB2312" w:eastAsia="仿宋_GB2312" w:hAnsi="微软雅黑" w:cs="宋体" w:hint="eastAsia"/>
          <w:color w:val="000000"/>
          <w:sz w:val="32"/>
          <w:szCs w:val="32"/>
        </w:rPr>
        <w:t>月</w:t>
      </w:r>
      <w:r w:rsidR="00634E7A">
        <w:rPr>
          <w:rFonts w:ascii="仿宋_GB2312" w:eastAsia="仿宋_GB2312" w:hAnsi="微软雅黑" w:cs="宋体" w:hint="eastAsia"/>
          <w:color w:val="000000"/>
          <w:sz w:val="32"/>
          <w:szCs w:val="32"/>
        </w:rPr>
        <w:t>13</w:t>
      </w:r>
      <w:r w:rsidR="00A215C9" w:rsidRPr="00A215C9">
        <w:rPr>
          <w:rFonts w:ascii="仿宋_GB2312" w:eastAsia="仿宋_GB2312" w:hAnsi="微软雅黑" w:cs="宋体" w:hint="eastAsia"/>
          <w:color w:val="000000"/>
          <w:sz w:val="32"/>
          <w:szCs w:val="32"/>
        </w:rPr>
        <w:t>日</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0B7" w:rsidRDefault="000510B7" w:rsidP="00A215C9">
      <w:pPr>
        <w:spacing w:after="0"/>
      </w:pPr>
      <w:r>
        <w:separator/>
      </w:r>
    </w:p>
  </w:endnote>
  <w:endnote w:type="continuationSeparator" w:id="1">
    <w:p w:rsidR="000510B7" w:rsidRDefault="000510B7" w:rsidP="00A215C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0B7" w:rsidRDefault="000510B7" w:rsidP="00A215C9">
      <w:pPr>
        <w:spacing w:after="0"/>
      </w:pPr>
      <w:r>
        <w:separator/>
      </w:r>
    </w:p>
  </w:footnote>
  <w:footnote w:type="continuationSeparator" w:id="1">
    <w:p w:rsidR="000510B7" w:rsidRDefault="000510B7" w:rsidP="00A215C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D31D50"/>
    <w:rsid w:val="00002FD3"/>
    <w:rsid w:val="000108F3"/>
    <w:rsid w:val="00010C68"/>
    <w:rsid w:val="00012652"/>
    <w:rsid w:val="0002233E"/>
    <w:rsid w:val="00023665"/>
    <w:rsid w:val="000263A0"/>
    <w:rsid w:val="000430CA"/>
    <w:rsid w:val="00050465"/>
    <w:rsid w:val="000510B7"/>
    <w:rsid w:val="000547BB"/>
    <w:rsid w:val="000571BC"/>
    <w:rsid w:val="000609B0"/>
    <w:rsid w:val="0006322B"/>
    <w:rsid w:val="00067DDC"/>
    <w:rsid w:val="0007288B"/>
    <w:rsid w:val="000729EB"/>
    <w:rsid w:val="000812F4"/>
    <w:rsid w:val="000936F7"/>
    <w:rsid w:val="000957AC"/>
    <w:rsid w:val="000A5028"/>
    <w:rsid w:val="000D32F4"/>
    <w:rsid w:val="000E18A2"/>
    <w:rsid w:val="000E1B34"/>
    <w:rsid w:val="000E1FA9"/>
    <w:rsid w:val="000E7543"/>
    <w:rsid w:val="001005C6"/>
    <w:rsid w:val="0010440D"/>
    <w:rsid w:val="0012192B"/>
    <w:rsid w:val="001225F8"/>
    <w:rsid w:val="0013066D"/>
    <w:rsid w:val="00131A96"/>
    <w:rsid w:val="0013501E"/>
    <w:rsid w:val="00144E0E"/>
    <w:rsid w:val="00152FB9"/>
    <w:rsid w:val="00157799"/>
    <w:rsid w:val="001642B1"/>
    <w:rsid w:val="001646F7"/>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77AC0"/>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40741"/>
    <w:rsid w:val="00347193"/>
    <w:rsid w:val="00353BA9"/>
    <w:rsid w:val="003720A3"/>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B5827"/>
    <w:rsid w:val="004C175A"/>
    <w:rsid w:val="004C7210"/>
    <w:rsid w:val="005100BA"/>
    <w:rsid w:val="005168C5"/>
    <w:rsid w:val="005218F6"/>
    <w:rsid w:val="00522DB4"/>
    <w:rsid w:val="00523BDD"/>
    <w:rsid w:val="00536DF2"/>
    <w:rsid w:val="00543782"/>
    <w:rsid w:val="00556398"/>
    <w:rsid w:val="005B45CF"/>
    <w:rsid w:val="005B4703"/>
    <w:rsid w:val="005B4D07"/>
    <w:rsid w:val="005C31E9"/>
    <w:rsid w:val="005C3BAB"/>
    <w:rsid w:val="005C59D9"/>
    <w:rsid w:val="005D072F"/>
    <w:rsid w:val="005D1CEE"/>
    <w:rsid w:val="005D3ACB"/>
    <w:rsid w:val="005F28C4"/>
    <w:rsid w:val="005F2B78"/>
    <w:rsid w:val="00606205"/>
    <w:rsid w:val="00607EC0"/>
    <w:rsid w:val="00610019"/>
    <w:rsid w:val="006110FC"/>
    <w:rsid w:val="00611544"/>
    <w:rsid w:val="006148C9"/>
    <w:rsid w:val="0061606F"/>
    <w:rsid w:val="006214F4"/>
    <w:rsid w:val="00633DBB"/>
    <w:rsid w:val="00634E7A"/>
    <w:rsid w:val="00656C6E"/>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B320A"/>
    <w:rsid w:val="007C4E2D"/>
    <w:rsid w:val="007D35F2"/>
    <w:rsid w:val="007D71A4"/>
    <w:rsid w:val="00812FBA"/>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45"/>
    <w:rsid w:val="008B4334"/>
    <w:rsid w:val="008B6523"/>
    <w:rsid w:val="008B7726"/>
    <w:rsid w:val="008D6E85"/>
    <w:rsid w:val="008F2B7A"/>
    <w:rsid w:val="008F7CA5"/>
    <w:rsid w:val="00903E35"/>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2786"/>
    <w:rsid w:val="009E16F2"/>
    <w:rsid w:val="009F3DF4"/>
    <w:rsid w:val="00A04EFB"/>
    <w:rsid w:val="00A12119"/>
    <w:rsid w:val="00A212F3"/>
    <w:rsid w:val="00A215C9"/>
    <w:rsid w:val="00A30CF8"/>
    <w:rsid w:val="00A33F3D"/>
    <w:rsid w:val="00A372BB"/>
    <w:rsid w:val="00A40C60"/>
    <w:rsid w:val="00A46439"/>
    <w:rsid w:val="00A6466C"/>
    <w:rsid w:val="00A656CD"/>
    <w:rsid w:val="00A6775F"/>
    <w:rsid w:val="00A726ED"/>
    <w:rsid w:val="00A838DC"/>
    <w:rsid w:val="00A84AE0"/>
    <w:rsid w:val="00A9135E"/>
    <w:rsid w:val="00AA23FA"/>
    <w:rsid w:val="00AA3456"/>
    <w:rsid w:val="00AB6BA4"/>
    <w:rsid w:val="00AC6774"/>
    <w:rsid w:val="00AD4C9C"/>
    <w:rsid w:val="00AE6487"/>
    <w:rsid w:val="00AE6C64"/>
    <w:rsid w:val="00AF5B7D"/>
    <w:rsid w:val="00B01B88"/>
    <w:rsid w:val="00B100EF"/>
    <w:rsid w:val="00B11389"/>
    <w:rsid w:val="00B12517"/>
    <w:rsid w:val="00B126A7"/>
    <w:rsid w:val="00B22801"/>
    <w:rsid w:val="00B24A4C"/>
    <w:rsid w:val="00B27E33"/>
    <w:rsid w:val="00B4326E"/>
    <w:rsid w:val="00B6677A"/>
    <w:rsid w:val="00B73A10"/>
    <w:rsid w:val="00B73AC3"/>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79DB"/>
    <w:rsid w:val="00E774C6"/>
    <w:rsid w:val="00E807D3"/>
    <w:rsid w:val="00EA1489"/>
    <w:rsid w:val="00EB4102"/>
    <w:rsid w:val="00EB4E98"/>
    <w:rsid w:val="00EC780B"/>
    <w:rsid w:val="00EC7A9C"/>
    <w:rsid w:val="00EE2BF0"/>
    <w:rsid w:val="00EE50F7"/>
    <w:rsid w:val="00F01F77"/>
    <w:rsid w:val="00F02F9C"/>
    <w:rsid w:val="00F04234"/>
    <w:rsid w:val="00F15448"/>
    <w:rsid w:val="00F21AAA"/>
    <w:rsid w:val="00F340F3"/>
    <w:rsid w:val="00F535DE"/>
    <w:rsid w:val="00F56107"/>
    <w:rsid w:val="00F634A7"/>
    <w:rsid w:val="00F805F0"/>
    <w:rsid w:val="00F957A8"/>
    <w:rsid w:val="00FA233C"/>
    <w:rsid w:val="00FC73A4"/>
    <w:rsid w:val="00FD35EB"/>
    <w:rsid w:val="00FE0475"/>
    <w:rsid w:val="00FE272F"/>
    <w:rsid w:val="00FF20E5"/>
    <w:rsid w:val="00FF3E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15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215C9"/>
    <w:rPr>
      <w:rFonts w:ascii="Tahoma" w:hAnsi="Tahoma"/>
      <w:sz w:val="18"/>
      <w:szCs w:val="18"/>
    </w:rPr>
  </w:style>
  <w:style w:type="paragraph" w:styleId="a4">
    <w:name w:val="footer"/>
    <w:basedOn w:val="a"/>
    <w:link w:val="Char0"/>
    <w:uiPriority w:val="99"/>
    <w:unhideWhenUsed/>
    <w:rsid w:val="00A215C9"/>
    <w:pPr>
      <w:tabs>
        <w:tab w:val="center" w:pos="4153"/>
        <w:tab w:val="right" w:pos="8306"/>
      </w:tabs>
    </w:pPr>
    <w:rPr>
      <w:sz w:val="18"/>
      <w:szCs w:val="18"/>
    </w:rPr>
  </w:style>
  <w:style w:type="character" w:customStyle="1" w:styleId="Char0">
    <w:name w:val="页脚 Char"/>
    <w:basedOn w:val="a0"/>
    <w:link w:val="a4"/>
    <w:uiPriority w:val="99"/>
    <w:rsid w:val="00A215C9"/>
    <w:rPr>
      <w:rFonts w:ascii="Tahoma" w:hAnsi="Tahoma"/>
      <w:sz w:val="18"/>
      <w:szCs w:val="18"/>
    </w:rPr>
  </w:style>
  <w:style w:type="character" w:styleId="a5">
    <w:name w:val="Strong"/>
    <w:basedOn w:val="a0"/>
    <w:uiPriority w:val="22"/>
    <w:qFormat/>
    <w:rsid w:val="00A215C9"/>
    <w:rPr>
      <w:b/>
      <w:bCs/>
    </w:rPr>
  </w:style>
  <w:style w:type="character" w:customStyle="1" w:styleId="apple-converted-space">
    <w:name w:val="apple-converted-space"/>
    <w:basedOn w:val="a0"/>
    <w:rsid w:val="00A215C9"/>
  </w:style>
  <w:style w:type="character" w:styleId="a6">
    <w:name w:val="Hyperlink"/>
    <w:basedOn w:val="a0"/>
    <w:uiPriority w:val="99"/>
    <w:semiHidden/>
    <w:unhideWhenUsed/>
    <w:rsid w:val="00A215C9"/>
    <w:rPr>
      <w:color w:val="0000FF"/>
      <w:u w:val="single"/>
    </w:rPr>
  </w:style>
  <w:style w:type="paragraph" w:styleId="a7">
    <w:name w:val="Normal (Web)"/>
    <w:basedOn w:val="a"/>
    <w:uiPriority w:val="99"/>
    <w:unhideWhenUsed/>
    <w:rsid w:val="00A215C9"/>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1"/>
    <w:uiPriority w:val="99"/>
    <w:semiHidden/>
    <w:unhideWhenUsed/>
    <w:rsid w:val="002235BC"/>
    <w:pPr>
      <w:spacing w:after="0"/>
    </w:pPr>
    <w:rPr>
      <w:sz w:val="18"/>
      <w:szCs w:val="18"/>
    </w:rPr>
  </w:style>
  <w:style w:type="character" w:customStyle="1" w:styleId="Char1">
    <w:name w:val="批注框文本 Char"/>
    <w:basedOn w:val="a0"/>
    <w:link w:val="a8"/>
    <w:uiPriority w:val="99"/>
    <w:semiHidden/>
    <w:rsid w:val="002235BC"/>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734467">
      <w:bodyDiv w:val="1"/>
      <w:marLeft w:val="0"/>
      <w:marRight w:val="0"/>
      <w:marTop w:val="0"/>
      <w:marBottom w:val="0"/>
      <w:divBdr>
        <w:top w:val="none" w:sz="0" w:space="0" w:color="auto"/>
        <w:left w:val="none" w:sz="0" w:space="0" w:color="auto"/>
        <w:bottom w:val="none" w:sz="0" w:space="0" w:color="auto"/>
        <w:right w:val="none" w:sz="0" w:space="0" w:color="auto"/>
      </w:divBdr>
      <w:divsChild>
        <w:div w:id="767775471">
          <w:marLeft w:val="0"/>
          <w:marRight w:val="0"/>
          <w:marTop w:val="0"/>
          <w:marBottom w:val="0"/>
          <w:divBdr>
            <w:top w:val="none" w:sz="0" w:space="0" w:color="auto"/>
            <w:left w:val="none" w:sz="0" w:space="0" w:color="auto"/>
            <w:bottom w:val="none" w:sz="0" w:space="0" w:color="auto"/>
            <w:right w:val="none" w:sz="0" w:space="0" w:color="auto"/>
          </w:divBdr>
        </w:div>
        <w:div w:id="715815241">
          <w:marLeft w:val="0"/>
          <w:marRight w:val="0"/>
          <w:marTop w:val="0"/>
          <w:marBottom w:val="0"/>
          <w:divBdr>
            <w:top w:val="none" w:sz="0" w:space="0" w:color="auto"/>
            <w:left w:val="none" w:sz="0" w:space="0" w:color="auto"/>
            <w:bottom w:val="none" w:sz="0" w:space="0" w:color="auto"/>
            <w:right w:val="none" w:sz="0" w:space="0" w:color="auto"/>
          </w:divBdr>
        </w:div>
        <w:div w:id="359168449">
          <w:marLeft w:val="0"/>
          <w:marRight w:val="0"/>
          <w:marTop w:val="0"/>
          <w:marBottom w:val="0"/>
          <w:divBdr>
            <w:top w:val="none" w:sz="0" w:space="0" w:color="auto"/>
            <w:left w:val="none" w:sz="0" w:space="0" w:color="auto"/>
            <w:bottom w:val="none" w:sz="0" w:space="0" w:color="auto"/>
            <w:right w:val="none" w:sz="0" w:space="0" w:color="auto"/>
          </w:divBdr>
        </w:div>
        <w:div w:id="2072342718">
          <w:marLeft w:val="0"/>
          <w:marRight w:val="0"/>
          <w:marTop w:val="0"/>
          <w:marBottom w:val="0"/>
          <w:divBdr>
            <w:top w:val="none" w:sz="0" w:space="0" w:color="auto"/>
            <w:left w:val="none" w:sz="0" w:space="0" w:color="auto"/>
            <w:bottom w:val="none" w:sz="0" w:space="0" w:color="auto"/>
            <w:right w:val="none" w:sz="0" w:space="0" w:color="auto"/>
          </w:divBdr>
        </w:div>
        <w:div w:id="1136487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4</Pages>
  <Words>421</Words>
  <Characters>2401</Characters>
  <Application>Microsoft Office Word</Application>
  <DocSecurity>0</DocSecurity>
  <Lines>20</Lines>
  <Paragraphs>5</Paragraphs>
  <ScaleCrop>false</ScaleCrop>
  <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166</cp:revision>
  <cp:lastPrinted>2022-09-15T07:23:00Z</cp:lastPrinted>
  <dcterms:created xsi:type="dcterms:W3CDTF">2008-09-11T17:20:00Z</dcterms:created>
  <dcterms:modified xsi:type="dcterms:W3CDTF">2023-02-13T08:35:00Z</dcterms:modified>
</cp:coreProperties>
</file>