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60A" w:rsidRPr="003800A9" w:rsidRDefault="0048060A" w:rsidP="0048060A">
      <w:pPr>
        <w:pStyle w:val="a5"/>
        <w:rPr>
          <w:sz w:val="30"/>
          <w:szCs w:val="30"/>
          <w:lang w:eastAsia="zh-CN"/>
        </w:rPr>
      </w:pPr>
      <w:r w:rsidRPr="003800A9">
        <w:rPr>
          <w:w w:val="102"/>
          <w:sz w:val="30"/>
          <w:szCs w:val="30"/>
          <w:lang w:eastAsia="zh-CN"/>
        </w:rPr>
        <w:t>客户权益须知</w:t>
      </w:r>
    </w:p>
    <w:p w:rsidR="0048060A" w:rsidRPr="00FA79AB" w:rsidRDefault="0048060A" w:rsidP="0048060A">
      <w:pPr>
        <w:spacing w:before="5"/>
        <w:ind w:firstLineChars="200" w:firstLine="341"/>
        <w:rPr>
          <w:rFonts w:ascii="宋体" w:hAnsi="宋体"/>
          <w:b/>
          <w:spacing w:val="10"/>
          <w:sz w:val="15"/>
          <w:szCs w:val="15"/>
        </w:rPr>
      </w:pPr>
      <w:r w:rsidRPr="00FA79AB">
        <w:rPr>
          <w:rFonts w:ascii="宋体" w:hAnsi="宋体" w:hint="eastAsia"/>
          <w:b/>
          <w:spacing w:val="10"/>
          <w:sz w:val="15"/>
          <w:szCs w:val="15"/>
        </w:rPr>
        <w:t>尊敬的投资者：</w:t>
      </w:r>
    </w:p>
    <w:p w:rsidR="0048060A" w:rsidRPr="00FA79AB" w:rsidRDefault="0048060A" w:rsidP="0048060A">
      <w:pPr>
        <w:jc w:val="center"/>
        <w:rPr>
          <w:rFonts w:ascii="宋体" w:hAnsi="宋体"/>
          <w:b/>
          <w:spacing w:val="10"/>
          <w:sz w:val="15"/>
          <w:szCs w:val="15"/>
        </w:rPr>
      </w:pPr>
      <w:r w:rsidRPr="00FA79AB">
        <w:rPr>
          <w:rFonts w:ascii="宋体" w:hAnsi="宋体" w:hint="eastAsia"/>
          <w:b/>
          <w:spacing w:val="10"/>
          <w:sz w:val="15"/>
          <w:szCs w:val="15"/>
        </w:rPr>
        <w:t>为更好的保障您的合法权益，熟悉</w:t>
      </w:r>
      <w:r>
        <w:rPr>
          <w:rFonts w:ascii="宋体" w:hAnsi="宋体" w:hint="eastAsia"/>
          <w:b/>
          <w:spacing w:val="10"/>
          <w:sz w:val="15"/>
          <w:szCs w:val="15"/>
        </w:rPr>
        <w:t>结构性存款</w:t>
      </w:r>
      <w:r w:rsidRPr="00FA79AB">
        <w:rPr>
          <w:rFonts w:ascii="宋体" w:hAnsi="宋体" w:hint="eastAsia"/>
          <w:b/>
          <w:spacing w:val="10"/>
          <w:sz w:val="15"/>
          <w:szCs w:val="15"/>
        </w:rPr>
        <w:t>购买流程，敬请阅读客户权益须知</w:t>
      </w:r>
    </w:p>
    <w:p w:rsidR="0048060A" w:rsidRPr="00FA79AB" w:rsidRDefault="0048060A" w:rsidP="0048060A">
      <w:pPr>
        <w:ind w:firstLineChars="200" w:firstLine="301"/>
        <w:rPr>
          <w:rFonts w:ascii="仿宋_GB2312"/>
          <w:b/>
          <w:sz w:val="15"/>
          <w:szCs w:val="15"/>
        </w:rPr>
      </w:pPr>
      <w:r w:rsidRPr="00FA79AB">
        <w:rPr>
          <w:rFonts w:ascii="仿宋_GB2312" w:hint="eastAsia"/>
          <w:b/>
          <w:sz w:val="15"/>
          <w:szCs w:val="15"/>
        </w:rPr>
        <w:t>1</w:t>
      </w:r>
      <w:r w:rsidR="00357845">
        <w:rPr>
          <w:rFonts w:ascii="仿宋_GB2312" w:hint="eastAsia"/>
          <w:b/>
          <w:sz w:val="15"/>
          <w:szCs w:val="15"/>
        </w:rPr>
        <w:t>、</w:t>
      </w:r>
      <w:r w:rsidR="001B3112">
        <w:rPr>
          <w:rFonts w:ascii="仿宋_GB2312" w:hint="eastAsia"/>
          <w:b/>
          <w:sz w:val="15"/>
          <w:szCs w:val="15"/>
        </w:rPr>
        <w:t>结构性存款</w:t>
      </w:r>
      <w:r w:rsidR="00357845">
        <w:rPr>
          <w:rFonts w:ascii="仿宋_GB2312" w:hint="eastAsia"/>
          <w:b/>
          <w:sz w:val="15"/>
          <w:szCs w:val="15"/>
        </w:rPr>
        <w:t>认购兑付流程</w:t>
      </w:r>
    </w:p>
    <w:p w:rsidR="0048060A" w:rsidRPr="00FA79AB" w:rsidRDefault="0048060A" w:rsidP="0048060A">
      <w:pPr>
        <w:ind w:firstLineChars="199" w:firstLine="298"/>
        <w:rPr>
          <w:rFonts w:ascii="仿宋_GB2312"/>
          <w:sz w:val="15"/>
          <w:szCs w:val="15"/>
        </w:rPr>
      </w:pPr>
      <w:r w:rsidRPr="00FA79AB">
        <w:rPr>
          <w:rFonts w:ascii="仿宋_GB2312" w:hint="eastAsia"/>
          <w:sz w:val="15"/>
          <w:szCs w:val="15"/>
        </w:rPr>
        <w:t>（</w:t>
      </w:r>
      <w:r w:rsidRPr="00FA79AB">
        <w:rPr>
          <w:rFonts w:ascii="仿宋_GB2312" w:hint="eastAsia"/>
          <w:sz w:val="15"/>
          <w:szCs w:val="15"/>
        </w:rPr>
        <w:t>1</w:t>
      </w:r>
      <w:r w:rsidRPr="00FA79AB">
        <w:rPr>
          <w:rFonts w:ascii="仿宋_GB2312" w:hint="eastAsia"/>
          <w:sz w:val="15"/>
          <w:szCs w:val="15"/>
        </w:rPr>
        <w:t>）产品认购：</w:t>
      </w:r>
    </w:p>
    <w:p w:rsidR="0048060A" w:rsidRPr="00FA79AB" w:rsidRDefault="0048060A" w:rsidP="0048060A">
      <w:pPr>
        <w:ind w:firstLineChars="199" w:firstLine="298"/>
        <w:rPr>
          <w:rFonts w:ascii="仿宋_GB2312"/>
          <w:sz w:val="15"/>
          <w:szCs w:val="15"/>
        </w:rPr>
      </w:pPr>
      <w:r w:rsidRPr="00FA79AB">
        <w:rPr>
          <w:rFonts w:ascii="仿宋_GB2312" w:hint="eastAsia"/>
          <w:sz w:val="15"/>
          <w:szCs w:val="15"/>
        </w:rPr>
        <w:t>您只可在</w:t>
      </w:r>
      <w:r>
        <w:rPr>
          <w:rFonts w:ascii="仿宋_GB2312" w:hint="eastAsia"/>
          <w:sz w:val="15"/>
          <w:szCs w:val="15"/>
        </w:rPr>
        <w:t>结构性存款</w:t>
      </w:r>
      <w:r w:rsidRPr="00FA79AB">
        <w:rPr>
          <w:rFonts w:ascii="仿宋_GB2312" w:hint="eastAsia"/>
          <w:sz w:val="15"/>
          <w:szCs w:val="15"/>
        </w:rPr>
        <w:t>产品发行期内认购，将足额认购款存入“授权指定账户”，在认购日（含）至发行期结束日（含）期间（下称“认购资金锁定期”），您认购款项按照活期储蓄利率计付利息。您在发行期内认购本</w:t>
      </w:r>
      <w:r>
        <w:rPr>
          <w:rFonts w:ascii="仿宋_GB2312" w:hint="eastAsia"/>
          <w:sz w:val="15"/>
          <w:szCs w:val="15"/>
        </w:rPr>
        <w:t>结构性存款</w:t>
      </w:r>
      <w:r w:rsidRPr="00FA79AB">
        <w:rPr>
          <w:rFonts w:ascii="仿宋_GB2312" w:hint="eastAsia"/>
          <w:sz w:val="15"/>
          <w:szCs w:val="15"/>
        </w:rPr>
        <w:t>产品时，我行将在发行期结束后将您“授权指定账户”内的认购金额划至我行指定账户。</w:t>
      </w:r>
    </w:p>
    <w:p w:rsidR="0048060A" w:rsidRPr="00FA79AB" w:rsidRDefault="0048060A" w:rsidP="0048060A">
      <w:pPr>
        <w:ind w:firstLineChars="199" w:firstLine="298"/>
        <w:rPr>
          <w:rFonts w:ascii="仿宋_GB2312"/>
          <w:sz w:val="15"/>
          <w:szCs w:val="15"/>
        </w:rPr>
      </w:pPr>
      <w:r w:rsidRPr="00FA79AB">
        <w:rPr>
          <w:rFonts w:ascii="仿宋_GB2312" w:hint="eastAsia"/>
          <w:sz w:val="15"/>
          <w:szCs w:val="15"/>
        </w:rPr>
        <w:t>（</w:t>
      </w:r>
      <w:r w:rsidRPr="00FA79AB">
        <w:rPr>
          <w:rFonts w:ascii="仿宋_GB2312" w:hint="eastAsia"/>
          <w:sz w:val="15"/>
          <w:szCs w:val="15"/>
        </w:rPr>
        <w:t>2</w:t>
      </w:r>
      <w:r w:rsidRPr="00FA79AB">
        <w:rPr>
          <w:rFonts w:ascii="仿宋_GB2312" w:hint="eastAsia"/>
          <w:sz w:val="15"/>
          <w:szCs w:val="15"/>
        </w:rPr>
        <w:t>）认购取消申请：</w:t>
      </w:r>
    </w:p>
    <w:p w:rsidR="0048060A" w:rsidRPr="00FA79AB" w:rsidRDefault="0048060A" w:rsidP="0048060A">
      <w:pPr>
        <w:ind w:firstLineChars="199" w:firstLine="298"/>
        <w:rPr>
          <w:rFonts w:ascii="仿宋_GB2312"/>
          <w:sz w:val="15"/>
          <w:szCs w:val="15"/>
        </w:rPr>
      </w:pPr>
      <w:r w:rsidRPr="00FA79AB">
        <w:rPr>
          <w:rFonts w:ascii="仿宋_GB2312" w:hint="eastAsia"/>
          <w:sz w:val="15"/>
          <w:szCs w:val="15"/>
        </w:rPr>
        <w:t>您可在本</w:t>
      </w:r>
      <w:r>
        <w:rPr>
          <w:rFonts w:ascii="仿宋_GB2312" w:hint="eastAsia"/>
          <w:sz w:val="15"/>
          <w:szCs w:val="15"/>
        </w:rPr>
        <w:t>结构性存款</w:t>
      </w:r>
      <w:r w:rsidRPr="00FA79AB">
        <w:rPr>
          <w:rFonts w:ascii="仿宋_GB2312" w:hint="eastAsia"/>
          <w:sz w:val="15"/>
          <w:szCs w:val="15"/>
        </w:rPr>
        <w:t>产品发行期内（营业时间）申请取消认购，发行期结束（含）以后，我行不再受理认购取消申请。</w:t>
      </w:r>
    </w:p>
    <w:p w:rsidR="0048060A" w:rsidRPr="00FA79AB" w:rsidRDefault="0048060A" w:rsidP="0048060A">
      <w:pPr>
        <w:ind w:firstLineChars="199" w:firstLine="298"/>
        <w:rPr>
          <w:rFonts w:ascii="仿宋_GB2312"/>
          <w:sz w:val="15"/>
          <w:szCs w:val="15"/>
        </w:rPr>
      </w:pPr>
      <w:r w:rsidRPr="00FA79AB">
        <w:rPr>
          <w:rFonts w:ascii="仿宋_GB2312" w:hint="eastAsia"/>
          <w:sz w:val="15"/>
          <w:szCs w:val="15"/>
        </w:rPr>
        <w:t>（</w:t>
      </w:r>
      <w:r w:rsidRPr="00FA79AB">
        <w:rPr>
          <w:rFonts w:ascii="仿宋_GB2312" w:hint="eastAsia"/>
          <w:sz w:val="15"/>
          <w:szCs w:val="15"/>
        </w:rPr>
        <w:t>3</w:t>
      </w:r>
      <w:r w:rsidRPr="00FA79AB">
        <w:rPr>
          <w:rFonts w:ascii="仿宋_GB2312" w:hint="eastAsia"/>
          <w:sz w:val="15"/>
          <w:szCs w:val="15"/>
        </w:rPr>
        <w:t>）产品不成立：</w:t>
      </w:r>
    </w:p>
    <w:p w:rsidR="0048060A" w:rsidRPr="00FA79AB" w:rsidRDefault="0048060A" w:rsidP="0048060A">
      <w:pPr>
        <w:ind w:firstLineChars="199" w:firstLine="298"/>
        <w:rPr>
          <w:rFonts w:ascii="仿宋_GB2312"/>
          <w:sz w:val="15"/>
          <w:szCs w:val="15"/>
        </w:rPr>
      </w:pPr>
      <w:r w:rsidRPr="00FA79AB">
        <w:rPr>
          <w:rFonts w:ascii="仿宋_GB2312" w:hint="eastAsia"/>
          <w:sz w:val="15"/>
          <w:szCs w:val="15"/>
        </w:rPr>
        <w:t>①若在认购锁定期内市场出现剧烈波动，可能对</w:t>
      </w:r>
      <w:r>
        <w:rPr>
          <w:rFonts w:ascii="仿宋_GB2312" w:hint="eastAsia"/>
          <w:sz w:val="15"/>
          <w:szCs w:val="15"/>
        </w:rPr>
        <w:t>结构性存款</w:t>
      </w:r>
      <w:r w:rsidRPr="00FA79AB">
        <w:rPr>
          <w:rFonts w:ascii="仿宋_GB2312" w:hint="eastAsia"/>
          <w:sz w:val="15"/>
          <w:szCs w:val="15"/>
        </w:rPr>
        <w:t>产品的预期投资收益带来严重影响时，我行有权宣布本</w:t>
      </w:r>
      <w:r>
        <w:rPr>
          <w:rFonts w:ascii="仿宋_GB2312" w:hint="eastAsia"/>
          <w:sz w:val="15"/>
          <w:szCs w:val="15"/>
        </w:rPr>
        <w:t>结构性存款</w:t>
      </w:r>
      <w:r w:rsidRPr="00FA79AB">
        <w:rPr>
          <w:rFonts w:ascii="仿宋_GB2312" w:hint="eastAsia"/>
          <w:sz w:val="15"/>
          <w:szCs w:val="15"/>
        </w:rPr>
        <w:t>产品不成立，同时我行将于发行期结束后</w:t>
      </w:r>
      <w:r w:rsidRPr="00FA79AB">
        <w:rPr>
          <w:rFonts w:ascii="仿宋_GB2312" w:hint="eastAsia"/>
          <w:sz w:val="15"/>
          <w:szCs w:val="15"/>
        </w:rPr>
        <w:t>2</w:t>
      </w:r>
      <w:r w:rsidRPr="00FA79AB">
        <w:rPr>
          <w:rFonts w:ascii="仿宋_GB2312" w:hint="eastAsia"/>
          <w:sz w:val="15"/>
          <w:szCs w:val="15"/>
        </w:rPr>
        <w:t>个工作日内通过我行官方网站或营业网点向您进行公告，并且</w:t>
      </w:r>
      <w:r>
        <w:rPr>
          <w:rFonts w:ascii="仿宋_GB2312" w:hint="eastAsia"/>
          <w:sz w:val="15"/>
          <w:szCs w:val="15"/>
        </w:rPr>
        <w:t>结构性存款</w:t>
      </w:r>
      <w:r w:rsidRPr="00FA79AB">
        <w:rPr>
          <w:rFonts w:ascii="仿宋_GB2312" w:hint="eastAsia"/>
          <w:sz w:val="15"/>
          <w:szCs w:val="15"/>
        </w:rPr>
        <w:t>本金将会在发行期结束后</w:t>
      </w:r>
      <w:r w:rsidR="005E4CE5">
        <w:rPr>
          <w:rFonts w:ascii="仿宋_GB2312" w:hint="eastAsia"/>
          <w:sz w:val="15"/>
          <w:szCs w:val="15"/>
        </w:rPr>
        <w:t>3</w:t>
      </w:r>
      <w:r w:rsidRPr="00FA79AB">
        <w:rPr>
          <w:rFonts w:ascii="仿宋_GB2312" w:hint="eastAsia"/>
          <w:sz w:val="15"/>
          <w:szCs w:val="15"/>
        </w:rPr>
        <w:t>个工作日内划回到您的授权指定账户内，利息按活期存款利率计算。</w:t>
      </w:r>
    </w:p>
    <w:p w:rsidR="0048060A" w:rsidRPr="00FA79AB" w:rsidRDefault="0048060A" w:rsidP="0048060A">
      <w:pPr>
        <w:ind w:firstLineChars="199" w:firstLine="298"/>
        <w:rPr>
          <w:rFonts w:ascii="仿宋_GB2312"/>
          <w:sz w:val="15"/>
          <w:szCs w:val="15"/>
        </w:rPr>
      </w:pPr>
      <w:r w:rsidRPr="00FA79AB">
        <w:rPr>
          <w:rFonts w:ascii="仿宋_GB2312" w:hint="eastAsia"/>
          <w:sz w:val="15"/>
          <w:szCs w:val="15"/>
        </w:rPr>
        <w:t>②若在发行期结束日，本</w:t>
      </w:r>
      <w:r>
        <w:rPr>
          <w:rFonts w:ascii="仿宋_GB2312" w:hint="eastAsia"/>
          <w:sz w:val="15"/>
          <w:szCs w:val="15"/>
        </w:rPr>
        <w:t>结构性存款</w:t>
      </w:r>
      <w:r w:rsidRPr="00FA79AB">
        <w:rPr>
          <w:rFonts w:ascii="仿宋_GB2312" w:hint="eastAsia"/>
          <w:sz w:val="15"/>
          <w:szCs w:val="15"/>
        </w:rPr>
        <w:t>产品发行规模未能达到产品说明书规定的要求，则本</w:t>
      </w:r>
      <w:r>
        <w:rPr>
          <w:rFonts w:ascii="仿宋_GB2312" w:hint="eastAsia"/>
          <w:sz w:val="15"/>
          <w:szCs w:val="15"/>
        </w:rPr>
        <w:t>结构性存款</w:t>
      </w:r>
      <w:r w:rsidRPr="00FA79AB">
        <w:rPr>
          <w:rFonts w:ascii="仿宋_GB2312" w:hint="eastAsia"/>
          <w:sz w:val="15"/>
          <w:szCs w:val="15"/>
        </w:rPr>
        <w:t>产品不成立，我行将按照本条前款规定进行公告以及划回款项。</w:t>
      </w:r>
    </w:p>
    <w:p w:rsidR="0048060A" w:rsidRPr="00FA79AB" w:rsidRDefault="0048060A" w:rsidP="0048060A">
      <w:pPr>
        <w:ind w:firstLineChars="199" w:firstLine="298"/>
        <w:rPr>
          <w:rFonts w:ascii="仿宋_GB2312"/>
          <w:sz w:val="15"/>
          <w:szCs w:val="15"/>
        </w:rPr>
      </w:pPr>
      <w:r w:rsidRPr="00FA79AB">
        <w:rPr>
          <w:rFonts w:ascii="仿宋_GB2312" w:hint="eastAsia"/>
          <w:sz w:val="15"/>
          <w:szCs w:val="15"/>
        </w:rPr>
        <w:t>（</w:t>
      </w:r>
      <w:r w:rsidRPr="00FA79AB">
        <w:rPr>
          <w:rFonts w:ascii="仿宋_GB2312" w:hint="eastAsia"/>
          <w:sz w:val="15"/>
          <w:szCs w:val="15"/>
        </w:rPr>
        <w:t>4</w:t>
      </w:r>
      <w:r w:rsidRPr="00FA79AB">
        <w:rPr>
          <w:rFonts w:ascii="仿宋_GB2312" w:hint="eastAsia"/>
          <w:sz w:val="15"/>
          <w:szCs w:val="15"/>
        </w:rPr>
        <w:t>）产品兑付：</w:t>
      </w:r>
    </w:p>
    <w:p w:rsidR="0048060A" w:rsidRPr="00FA79AB" w:rsidRDefault="0048060A" w:rsidP="0048060A">
      <w:pPr>
        <w:ind w:firstLineChars="199" w:firstLine="298"/>
        <w:rPr>
          <w:rFonts w:ascii="仿宋_GB2312"/>
          <w:sz w:val="15"/>
          <w:szCs w:val="15"/>
        </w:rPr>
      </w:pPr>
      <w:r w:rsidRPr="00FA79AB">
        <w:rPr>
          <w:rFonts w:ascii="仿宋_GB2312" w:hint="eastAsia"/>
          <w:sz w:val="15"/>
          <w:szCs w:val="15"/>
        </w:rPr>
        <w:t>我行将于实际到期日后</w:t>
      </w:r>
      <w:r w:rsidRPr="00FA79AB">
        <w:rPr>
          <w:rFonts w:ascii="仿宋_GB2312" w:hint="eastAsia"/>
          <w:sz w:val="15"/>
          <w:szCs w:val="15"/>
        </w:rPr>
        <w:t>2</w:t>
      </w:r>
      <w:r w:rsidRPr="00FA79AB">
        <w:rPr>
          <w:rFonts w:ascii="仿宋_GB2312" w:hint="eastAsia"/>
          <w:sz w:val="15"/>
          <w:szCs w:val="15"/>
        </w:rPr>
        <w:t>个工作日内（遇法定假日顺延），将到期可兑付款项划入投资者授权指定账户。产品实际到期日至资金到账日之间为到期清算期，到期清算期不计付利息。</w:t>
      </w:r>
    </w:p>
    <w:p w:rsidR="0048060A" w:rsidRPr="00FA79AB" w:rsidRDefault="00995166" w:rsidP="0048060A">
      <w:pPr>
        <w:ind w:firstLineChars="199" w:firstLine="298"/>
        <w:rPr>
          <w:rFonts w:ascii="仿宋_GB2312"/>
          <w:b/>
          <w:sz w:val="15"/>
          <w:szCs w:val="15"/>
        </w:rPr>
      </w:pPr>
      <w:r w:rsidRPr="00995166">
        <w:rPr>
          <w:rFonts w:ascii="仿宋_GB2312" w:eastAsia="仿宋_GB2312" w:hAnsi="宋体" w:cs="Times New Roman"/>
          <w:sz w:val="15"/>
          <w:szCs w:val="15"/>
        </w:rPr>
        <w:pict>
          <v:shapetype id="_x0000_t202" coordsize="21600,21600" o:spt="202" path="m,l,21600r21600,l21600,xe">
            <v:stroke joinstyle="miter"/>
            <v:path gradientshapeok="t" o:connecttype="rect"/>
          </v:shapetype>
          <v:shape id="文本框 2" o:spid="_x0000_s2050" type="#_x0000_t202" style="position:absolute;left:0;text-align:left;margin-left:416.3pt;margin-top:4.85pt;width:20.7pt;height:133.2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JYnrDw5AgAATwQAAA4AAAAAAAAAAAAA&#10;AAAALgIAAGRycy9lMm9Eb2MueG1sUEsBAi0AFAAGAAgAAAAhAP0vMtbbAAAABQEAAA8AAAAAAAAA&#10;AAAAAAAAkwQAAGRycy9kb3ducmV2LnhtbFBLBQYAAAAABAAEAPMAAACbBQAAAAA=&#10;" fillcolor="white [3212]" strokecolor="white [3212]" strokeweight="0">
            <v:fill opacity="0"/>
            <v:textbox inset="2.5mm">
              <w:txbxContent>
                <w:p w:rsidR="0048060A" w:rsidRPr="003800A9" w:rsidRDefault="0048060A" w:rsidP="0048060A">
                  <w:pPr>
                    <w:spacing w:line="360" w:lineRule="auto"/>
                    <w:rPr>
                      <w:rFonts w:ascii="仿宋_GB2312" w:eastAsia="仿宋_GB2312" w:hAnsi="宋体" w:cs="Times New Roman"/>
                      <w:sz w:val="15"/>
                      <w:szCs w:val="15"/>
                    </w:rPr>
                  </w:pPr>
                </w:p>
              </w:txbxContent>
            </v:textbox>
          </v:shape>
        </w:pict>
      </w:r>
      <w:r w:rsidR="0048060A" w:rsidRPr="00FA79AB">
        <w:rPr>
          <w:rFonts w:ascii="仿宋_GB2312" w:hint="eastAsia"/>
          <w:b/>
          <w:sz w:val="15"/>
          <w:szCs w:val="15"/>
        </w:rPr>
        <w:t>2</w:t>
      </w:r>
      <w:r w:rsidR="0048060A" w:rsidRPr="00FA79AB">
        <w:rPr>
          <w:rFonts w:ascii="仿宋_GB2312" w:hint="eastAsia"/>
          <w:b/>
          <w:sz w:val="15"/>
          <w:szCs w:val="15"/>
        </w:rPr>
        <w:t>、客户风险承受能力评估流程</w:t>
      </w:r>
    </w:p>
    <w:p w:rsidR="0048060A" w:rsidRPr="00FA79AB" w:rsidRDefault="00357845" w:rsidP="00357845">
      <w:pPr>
        <w:ind w:firstLineChars="199" w:firstLine="298"/>
        <w:rPr>
          <w:rFonts w:ascii="仿宋_GB2312"/>
          <w:sz w:val="15"/>
          <w:szCs w:val="15"/>
        </w:rPr>
      </w:pPr>
      <w:r w:rsidRPr="00357845">
        <w:rPr>
          <w:rFonts w:ascii="仿宋_GB2312" w:hint="eastAsia"/>
          <w:sz w:val="15"/>
          <w:szCs w:val="15"/>
        </w:rPr>
        <w:t>客户须自主进行风险承受能力评估，</w:t>
      </w:r>
      <w:r w:rsidRPr="00FA79AB">
        <w:rPr>
          <w:rFonts w:ascii="仿宋_GB2312" w:hint="eastAsia"/>
          <w:sz w:val="15"/>
          <w:szCs w:val="15"/>
        </w:rPr>
        <w:t>填写《紫金农商银行客户风险承受能力评估表》，</w:t>
      </w:r>
      <w:r w:rsidRPr="00357845">
        <w:rPr>
          <w:rFonts w:ascii="仿宋_GB2312" w:hint="eastAsia"/>
          <w:sz w:val="15"/>
          <w:szCs w:val="15"/>
        </w:rPr>
        <w:t>通过风险承受能力评估，客户可以清楚了解自身的风险承受能力和可购买的产品风险等级。</w:t>
      </w:r>
      <w:r w:rsidR="0048060A" w:rsidRPr="00FA79AB">
        <w:rPr>
          <w:rFonts w:ascii="仿宋_GB2312" w:hint="eastAsia"/>
          <w:sz w:val="15"/>
          <w:szCs w:val="15"/>
        </w:rPr>
        <w:t>风险属性测试的有效期为一年，如果您的风险承受能力的因素发生变化，请及时向</w:t>
      </w:r>
      <w:r w:rsidR="0048060A">
        <w:rPr>
          <w:rFonts w:ascii="仿宋_GB2312" w:hint="eastAsia"/>
          <w:sz w:val="15"/>
          <w:szCs w:val="15"/>
        </w:rPr>
        <w:t>结构性存款</w:t>
      </w:r>
      <w:r w:rsidR="0048060A" w:rsidRPr="00FA79AB">
        <w:rPr>
          <w:rFonts w:ascii="仿宋_GB2312" w:hint="eastAsia"/>
          <w:sz w:val="15"/>
          <w:szCs w:val="15"/>
        </w:rPr>
        <w:t>销售人员说明，并重新完成风险承受能力评估。</w:t>
      </w:r>
    </w:p>
    <w:p w:rsidR="0048060A" w:rsidRPr="00F46ACC" w:rsidRDefault="0048060A" w:rsidP="0048060A">
      <w:pPr>
        <w:ind w:firstLineChars="199" w:firstLine="298"/>
        <w:rPr>
          <w:rFonts w:ascii="仿宋_GB2312" w:eastAsia="仿宋_GB2312" w:hAnsi="宋体" w:cs="Times New Roman"/>
          <w:sz w:val="15"/>
          <w:szCs w:val="15"/>
        </w:rPr>
      </w:pPr>
      <w:r w:rsidRPr="00FA79AB">
        <w:rPr>
          <w:rFonts w:ascii="仿宋_GB2312" w:hint="eastAsia"/>
          <w:sz w:val="15"/>
          <w:szCs w:val="15"/>
        </w:rPr>
        <w:t>根据客户不同情况，我行将客户风险属性分为低、中低、中等、中高、高五个等级，与此同时，根据银行理财产品投资范围、风险收益特点、流动性等不同因素，我行理财产品分为低、中低、中等、中高、高风险五个等</w:t>
      </w:r>
      <w:bookmarkStart w:id="0" w:name="_GoBack"/>
      <w:bookmarkEnd w:id="0"/>
      <w:r w:rsidRPr="00FA79AB">
        <w:rPr>
          <w:rFonts w:ascii="仿宋_GB2312" w:hint="eastAsia"/>
          <w:sz w:val="15"/>
          <w:szCs w:val="15"/>
        </w:rPr>
        <w:t>级。我行根据风险匹配原则，在客户风险属性和产品风险等级建立如下对应关系，建议您根据自身情况，选择合适自己风险属性的理财产品，详见下表：</w:t>
      </w:r>
    </w:p>
    <w:p w:rsidR="0048060A" w:rsidRPr="00560E1F" w:rsidRDefault="0048060A" w:rsidP="0048060A">
      <w:pPr>
        <w:spacing w:before="10" w:line="90" w:lineRule="exact"/>
        <w:rPr>
          <w:rFonts w:ascii="仿宋_GB2312" w:eastAsia="仿宋_GB2312" w:hAnsi="宋体" w:cs="Times New Roman"/>
          <w:sz w:val="15"/>
          <w:szCs w:val="15"/>
        </w:rPr>
      </w:pPr>
    </w:p>
    <w:tbl>
      <w:tblPr>
        <w:tblW w:w="7655" w:type="dxa"/>
        <w:jc w:val="center"/>
        <w:tblLayout w:type="fixed"/>
        <w:tblCellMar>
          <w:left w:w="0" w:type="dxa"/>
          <w:right w:w="0" w:type="dxa"/>
        </w:tblCellMar>
        <w:tblLook w:val="01E0"/>
      </w:tblPr>
      <w:tblGrid>
        <w:gridCol w:w="1132"/>
        <w:gridCol w:w="4963"/>
        <w:gridCol w:w="1560"/>
      </w:tblGrid>
      <w:tr w:rsidR="0048060A" w:rsidRPr="00560E1F" w:rsidTr="00FF07DD">
        <w:trPr>
          <w:trHeight w:hRule="exact" w:val="518"/>
          <w:jc w:val="center"/>
        </w:trPr>
        <w:tc>
          <w:tcPr>
            <w:tcW w:w="1132" w:type="dxa"/>
            <w:tcBorders>
              <w:top w:val="single" w:sz="6" w:space="0" w:color="000000"/>
              <w:left w:val="single" w:sz="6" w:space="0" w:color="000000"/>
              <w:bottom w:val="single" w:sz="2" w:space="0" w:color="000000"/>
              <w:right w:val="single" w:sz="2" w:space="0" w:color="000000"/>
            </w:tcBorders>
          </w:tcPr>
          <w:p w:rsidR="0048060A" w:rsidRPr="00560E1F" w:rsidRDefault="0048060A" w:rsidP="00FF07DD">
            <w:pPr>
              <w:spacing w:line="325" w:lineRule="exact"/>
              <w:ind w:left="204" w:right="-20"/>
              <w:rPr>
                <w:rFonts w:ascii="仿宋_GB2312" w:eastAsia="仿宋_GB2312" w:hAnsi="宋体" w:cs="Times New Roman"/>
                <w:sz w:val="15"/>
                <w:szCs w:val="15"/>
              </w:rPr>
            </w:pPr>
            <w:r w:rsidRPr="00560E1F">
              <w:rPr>
                <w:rFonts w:ascii="仿宋_GB2312" w:eastAsia="仿宋_GB2312" w:hAnsi="宋体" w:cs="Times New Roman"/>
                <w:sz w:val="15"/>
                <w:szCs w:val="15"/>
              </w:rPr>
              <w:t>客户类型</w:t>
            </w:r>
          </w:p>
        </w:tc>
        <w:tc>
          <w:tcPr>
            <w:tcW w:w="4963" w:type="dxa"/>
            <w:tcBorders>
              <w:top w:val="single" w:sz="6" w:space="0" w:color="000000"/>
              <w:left w:val="single" w:sz="2" w:space="0" w:color="000000"/>
              <w:bottom w:val="single" w:sz="2" w:space="0" w:color="000000"/>
              <w:right w:val="single" w:sz="2" w:space="0" w:color="000000"/>
            </w:tcBorders>
            <w:vAlign w:val="center"/>
          </w:tcPr>
          <w:p w:rsidR="0048060A" w:rsidRPr="00560E1F" w:rsidRDefault="0048060A" w:rsidP="00FF07DD">
            <w:pPr>
              <w:spacing w:line="325" w:lineRule="exact"/>
              <w:ind w:left="204" w:right="-20"/>
              <w:jc w:val="center"/>
              <w:rPr>
                <w:rFonts w:ascii="仿宋_GB2312" w:eastAsia="仿宋_GB2312" w:hAnsi="宋体" w:cs="Times New Roman"/>
                <w:sz w:val="15"/>
                <w:szCs w:val="15"/>
              </w:rPr>
            </w:pPr>
            <w:r>
              <w:rPr>
                <w:rFonts w:ascii="仿宋_GB2312" w:eastAsia="仿宋_GB2312" w:hAnsi="宋体" w:cs="Times New Roman" w:hint="eastAsia"/>
                <w:sz w:val="15"/>
                <w:szCs w:val="15"/>
              </w:rPr>
              <w:t>风险特征描述</w:t>
            </w:r>
          </w:p>
        </w:tc>
        <w:tc>
          <w:tcPr>
            <w:tcW w:w="1560" w:type="dxa"/>
            <w:tcBorders>
              <w:top w:val="single" w:sz="6" w:space="0" w:color="000000"/>
              <w:left w:val="single" w:sz="2" w:space="0" w:color="000000"/>
              <w:bottom w:val="single" w:sz="2" w:space="0" w:color="000000"/>
              <w:right w:val="single" w:sz="6" w:space="0" w:color="000000"/>
            </w:tcBorders>
            <w:vAlign w:val="center"/>
          </w:tcPr>
          <w:p w:rsidR="0048060A" w:rsidRPr="00560E1F" w:rsidRDefault="0048060A" w:rsidP="00FF07DD">
            <w:pPr>
              <w:spacing w:line="325" w:lineRule="exact"/>
              <w:ind w:left="208" w:right="-20"/>
              <w:rPr>
                <w:rFonts w:ascii="仿宋_GB2312" w:eastAsia="仿宋_GB2312" w:hAnsi="宋体" w:cs="Times New Roman"/>
                <w:sz w:val="15"/>
                <w:szCs w:val="15"/>
              </w:rPr>
            </w:pPr>
            <w:r w:rsidRPr="00560E1F">
              <w:rPr>
                <w:rFonts w:ascii="仿宋_GB2312" w:eastAsia="仿宋_GB2312" w:hAnsi="宋体" w:cs="Times New Roman"/>
                <w:sz w:val="15"/>
                <w:szCs w:val="15"/>
              </w:rPr>
              <w:t>适合产品类型</w:t>
            </w:r>
          </w:p>
        </w:tc>
      </w:tr>
      <w:tr w:rsidR="0048060A" w:rsidRPr="00560E1F" w:rsidTr="00FF07DD">
        <w:trPr>
          <w:trHeight w:hRule="exact" w:val="686"/>
          <w:jc w:val="center"/>
        </w:trPr>
        <w:tc>
          <w:tcPr>
            <w:tcW w:w="1132" w:type="dxa"/>
            <w:tcBorders>
              <w:top w:val="single" w:sz="2" w:space="0" w:color="000000"/>
              <w:left w:val="single" w:sz="6" w:space="0" w:color="000000"/>
              <w:bottom w:val="single" w:sz="2" w:space="0" w:color="000000"/>
              <w:right w:val="single" w:sz="2" w:space="0" w:color="000000"/>
            </w:tcBorders>
            <w:vAlign w:val="center"/>
          </w:tcPr>
          <w:p w:rsidR="0048060A" w:rsidRPr="00560E1F" w:rsidRDefault="0048060A" w:rsidP="00FF07DD">
            <w:pPr>
              <w:ind w:left="309" w:right="-20"/>
              <w:rPr>
                <w:rFonts w:ascii="仿宋_GB2312" w:eastAsia="仿宋_GB2312" w:hAnsi="宋体" w:cs="Times New Roman"/>
                <w:sz w:val="15"/>
                <w:szCs w:val="15"/>
              </w:rPr>
            </w:pPr>
            <w:r w:rsidRPr="00560E1F">
              <w:rPr>
                <w:rFonts w:ascii="仿宋_GB2312" w:eastAsia="仿宋_GB2312" w:hAnsi="宋体" w:cs="Times New Roman"/>
                <w:sz w:val="15"/>
                <w:szCs w:val="15"/>
              </w:rPr>
              <w:t>低风险</w:t>
            </w:r>
          </w:p>
        </w:tc>
        <w:tc>
          <w:tcPr>
            <w:tcW w:w="4963" w:type="dxa"/>
            <w:tcBorders>
              <w:top w:val="single" w:sz="2" w:space="0" w:color="000000"/>
              <w:left w:val="single" w:sz="2" w:space="0" w:color="000000"/>
              <w:bottom w:val="single" w:sz="2" w:space="0" w:color="000000"/>
              <w:right w:val="single" w:sz="2" w:space="0" w:color="000000"/>
            </w:tcBorders>
            <w:vAlign w:val="center"/>
          </w:tcPr>
          <w:p w:rsidR="0048060A" w:rsidRPr="00560E1F" w:rsidRDefault="0048060A" w:rsidP="00FF07DD">
            <w:pPr>
              <w:spacing w:line="280" w:lineRule="exact"/>
              <w:ind w:left="103" w:right="138"/>
              <w:rPr>
                <w:rFonts w:ascii="仿宋_GB2312" w:eastAsia="仿宋_GB2312" w:hAnsi="宋体" w:cs="Times New Roman"/>
                <w:sz w:val="15"/>
                <w:szCs w:val="15"/>
              </w:rPr>
            </w:pPr>
            <w:r w:rsidRPr="00560E1F">
              <w:rPr>
                <w:rFonts w:ascii="仿宋_GB2312" w:eastAsia="仿宋_GB2312" w:hAnsi="宋体" w:cs="Times New Roman"/>
                <w:sz w:val="15"/>
                <w:szCs w:val="15"/>
              </w:rPr>
              <w:t>您属于可以承担低风险而作风谨慎类型的投资者，适合投资以保本为主的投资工具，但您因此会牺牲资本升值的机会</w:t>
            </w:r>
          </w:p>
        </w:tc>
        <w:tc>
          <w:tcPr>
            <w:tcW w:w="1560" w:type="dxa"/>
            <w:tcBorders>
              <w:top w:val="single" w:sz="2" w:space="0" w:color="000000"/>
              <w:left w:val="single" w:sz="2" w:space="0" w:color="000000"/>
              <w:bottom w:val="single" w:sz="2" w:space="0" w:color="000000"/>
              <w:right w:val="single" w:sz="6" w:space="0" w:color="000000"/>
            </w:tcBorders>
            <w:vAlign w:val="center"/>
          </w:tcPr>
          <w:p w:rsidR="0048060A" w:rsidRPr="00560E1F" w:rsidRDefault="0048060A" w:rsidP="00FF07DD">
            <w:pPr>
              <w:ind w:left="313" w:right="-20"/>
              <w:rPr>
                <w:rFonts w:ascii="仿宋_GB2312" w:eastAsia="仿宋_GB2312" w:hAnsi="宋体" w:cs="Times New Roman"/>
                <w:sz w:val="15"/>
                <w:szCs w:val="15"/>
              </w:rPr>
            </w:pPr>
            <w:r w:rsidRPr="00560E1F">
              <w:rPr>
                <w:rFonts w:ascii="仿宋_GB2312" w:eastAsia="仿宋_GB2312" w:hAnsi="宋体" w:cs="Times New Roman"/>
                <w:sz w:val="15"/>
                <w:szCs w:val="15"/>
              </w:rPr>
              <w:t>低风险产品</w:t>
            </w:r>
          </w:p>
        </w:tc>
      </w:tr>
      <w:tr w:rsidR="0048060A" w:rsidRPr="00560E1F" w:rsidTr="00FF07DD">
        <w:trPr>
          <w:trHeight w:hRule="exact" w:val="862"/>
          <w:jc w:val="center"/>
        </w:trPr>
        <w:tc>
          <w:tcPr>
            <w:tcW w:w="1132" w:type="dxa"/>
            <w:tcBorders>
              <w:top w:val="single" w:sz="2" w:space="0" w:color="000000"/>
              <w:left w:val="single" w:sz="6" w:space="0" w:color="000000"/>
              <w:bottom w:val="single" w:sz="2" w:space="0" w:color="000000"/>
              <w:right w:val="single" w:sz="2" w:space="0" w:color="000000"/>
            </w:tcBorders>
            <w:vAlign w:val="center"/>
          </w:tcPr>
          <w:p w:rsidR="0048060A" w:rsidRPr="00560E1F" w:rsidRDefault="0048060A" w:rsidP="00FF07DD">
            <w:pPr>
              <w:ind w:left="204" w:right="-20"/>
              <w:rPr>
                <w:rFonts w:ascii="仿宋_GB2312" w:eastAsia="仿宋_GB2312" w:hAnsi="宋体" w:cs="Times New Roman"/>
                <w:sz w:val="15"/>
                <w:szCs w:val="15"/>
              </w:rPr>
            </w:pPr>
            <w:r w:rsidRPr="00560E1F">
              <w:rPr>
                <w:rFonts w:ascii="仿宋_GB2312" w:eastAsia="仿宋_GB2312" w:hAnsi="宋体" w:cs="Times New Roman"/>
                <w:sz w:val="15"/>
                <w:szCs w:val="15"/>
              </w:rPr>
              <w:t>中低风险</w:t>
            </w:r>
          </w:p>
        </w:tc>
        <w:tc>
          <w:tcPr>
            <w:tcW w:w="4963" w:type="dxa"/>
            <w:tcBorders>
              <w:top w:val="single" w:sz="2" w:space="0" w:color="000000"/>
              <w:left w:val="single" w:sz="2" w:space="0" w:color="000000"/>
              <w:bottom w:val="single" w:sz="2" w:space="0" w:color="000000"/>
              <w:right w:val="single" w:sz="2" w:space="0" w:color="000000"/>
            </w:tcBorders>
            <w:vAlign w:val="center"/>
          </w:tcPr>
          <w:p w:rsidR="0048060A" w:rsidRPr="00560E1F" w:rsidRDefault="0048060A" w:rsidP="00FF07DD">
            <w:pPr>
              <w:spacing w:line="280" w:lineRule="exact"/>
              <w:ind w:left="103" w:right="138"/>
              <w:rPr>
                <w:rFonts w:ascii="仿宋_GB2312" w:eastAsia="仿宋_GB2312" w:hAnsi="宋体" w:cs="Times New Roman"/>
                <w:sz w:val="15"/>
                <w:szCs w:val="15"/>
              </w:rPr>
            </w:pPr>
            <w:r w:rsidRPr="00560E1F">
              <w:rPr>
                <w:rFonts w:ascii="仿宋_GB2312" w:eastAsia="仿宋_GB2312" w:hAnsi="宋体" w:cs="Times New Roman"/>
                <w:sz w:val="15"/>
                <w:szCs w:val="15"/>
              </w:rPr>
              <w:t>您属于可以承担较低及以下风险类型的投资者，适合投资于能权衡保本而亦有若干升值能力的投资工具</w:t>
            </w:r>
          </w:p>
        </w:tc>
        <w:tc>
          <w:tcPr>
            <w:tcW w:w="1560" w:type="dxa"/>
            <w:tcBorders>
              <w:top w:val="single" w:sz="2" w:space="0" w:color="000000"/>
              <w:left w:val="single" w:sz="2" w:space="0" w:color="000000"/>
              <w:bottom w:val="single" w:sz="2" w:space="0" w:color="000000"/>
              <w:right w:val="single" w:sz="6" w:space="0" w:color="000000"/>
            </w:tcBorders>
            <w:vAlign w:val="center"/>
          </w:tcPr>
          <w:p w:rsidR="0048060A" w:rsidRDefault="0048060A" w:rsidP="00FF07DD">
            <w:pPr>
              <w:spacing w:line="280" w:lineRule="exact"/>
              <w:ind w:left="313" w:right="238" w:hanging="105"/>
              <w:jc w:val="center"/>
              <w:rPr>
                <w:rFonts w:ascii="仿宋_GB2312" w:eastAsia="仿宋_GB2312" w:hAnsi="宋体" w:cs="Times New Roman"/>
                <w:sz w:val="15"/>
                <w:szCs w:val="15"/>
              </w:rPr>
            </w:pPr>
            <w:r w:rsidRPr="00560E1F">
              <w:rPr>
                <w:rFonts w:ascii="仿宋_GB2312" w:eastAsia="仿宋_GB2312" w:hAnsi="宋体" w:cs="Times New Roman"/>
                <w:sz w:val="15"/>
                <w:szCs w:val="15"/>
              </w:rPr>
              <w:t>中低风险产品</w:t>
            </w:r>
          </w:p>
          <w:p w:rsidR="0048060A" w:rsidRPr="00560E1F" w:rsidRDefault="0048060A" w:rsidP="00FF07DD">
            <w:pPr>
              <w:spacing w:line="280" w:lineRule="exact"/>
              <w:ind w:left="313" w:right="238" w:hanging="105"/>
              <w:jc w:val="center"/>
              <w:rPr>
                <w:rFonts w:ascii="仿宋_GB2312" w:eastAsia="仿宋_GB2312" w:hAnsi="宋体" w:cs="Times New Roman"/>
                <w:sz w:val="15"/>
                <w:szCs w:val="15"/>
              </w:rPr>
            </w:pPr>
            <w:r w:rsidRPr="00560E1F">
              <w:rPr>
                <w:rFonts w:ascii="仿宋_GB2312" w:eastAsia="仿宋_GB2312" w:hAnsi="宋体" w:cs="Times New Roman"/>
                <w:sz w:val="15"/>
                <w:szCs w:val="15"/>
              </w:rPr>
              <w:t>低风险产品</w:t>
            </w:r>
          </w:p>
        </w:tc>
      </w:tr>
      <w:tr w:rsidR="0048060A" w:rsidRPr="00560E1F" w:rsidTr="00FF07DD">
        <w:trPr>
          <w:trHeight w:hRule="exact" w:val="862"/>
          <w:jc w:val="center"/>
        </w:trPr>
        <w:tc>
          <w:tcPr>
            <w:tcW w:w="1132" w:type="dxa"/>
            <w:tcBorders>
              <w:top w:val="single" w:sz="2" w:space="0" w:color="000000"/>
              <w:left w:val="single" w:sz="6" w:space="0" w:color="000000"/>
              <w:bottom w:val="single" w:sz="2" w:space="0" w:color="000000"/>
              <w:right w:val="single" w:sz="2" w:space="0" w:color="000000"/>
            </w:tcBorders>
            <w:vAlign w:val="center"/>
          </w:tcPr>
          <w:p w:rsidR="0048060A" w:rsidRPr="00560E1F" w:rsidRDefault="0048060A" w:rsidP="00FF07DD">
            <w:pPr>
              <w:ind w:left="309" w:right="-20"/>
              <w:rPr>
                <w:rFonts w:ascii="仿宋_GB2312" w:eastAsia="仿宋_GB2312" w:hAnsi="宋体" w:cs="Times New Roman"/>
                <w:sz w:val="15"/>
                <w:szCs w:val="15"/>
              </w:rPr>
            </w:pPr>
            <w:r w:rsidRPr="00560E1F">
              <w:rPr>
                <w:rFonts w:ascii="仿宋_GB2312" w:eastAsia="仿宋_GB2312" w:hAnsi="宋体" w:cs="Times New Roman"/>
                <w:sz w:val="15"/>
                <w:szCs w:val="15"/>
              </w:rPr>
              <w:t>中风险</w:t>
            </w:r>
          </w:p>
        </w:tc>
        <w:tc>
          <w:tcPr>
            <w:tcW w:w="4963" w:type="dxa"/>
            <w:tcBorders>
              <w:top w:val="single" w:sz="2" w:space="0" w:color="000000"/>
              <w:left w:val="single" w:sz="2" w:space="0" w:color="000000"/>
              <w:bottom w:val="single" w:sz="2" w:space="0" w:color="000000"/>
              <w:right w:val="single" w:sz="2" w:space="0" w:color="000000"/>
            </w:tcBorders>
            <w:vAlign w:val="center"/>
          </w:tcPr>
          <w:p w:rsidR="0048060A" w:rsidRPr="00560E1F" w:rsidRDefault="0048060A" w:rsidP="00FF07DD">
            <w:pPr>
              <w:spacing w:line="280" w:lineRule="exact"/>
              <w:ind w:left="103" w:right="138"/>
              <w:rPr>
                <w:rFonts w:ascii="仿宋_GB2312" w:eastAsia="仿宋_GB2312" w:hAnsi="宋体" w:cs="Times New Roman"/>
                <w:sz w:val="15"/>
                <w:szCs w:val="15"/>
              </w:rPr>
            </w:pPr>
            <w:r w:rsidRPr="00560E1F">
              <w:rPr>
                <w:rFonts w:ascii="仿宋_GB2312" w:eastAsia="仿宋_GB2312" w:hAnsi="宋体" w:cs="Times New Roman"/>
                <w:sz w:val="15"/>
                <w:szCs w:val="15"/>
              </w:rPr>
              <w:t>您属于可以承担中等及以下风险类型的投资者，适合投资于能够为您提供温和升值能力，而投资价值有温和波动的投资工具</w:t>
            </w:r>
          </w:p>
        </w:tc>
        <w:tc>
          <w:tcPr>
            <w:tcW w:w="1560" w:type="dxa"/>
            <w:tcBorders>
              <w:top w:val="single" w:sz="2" w:space="0" w:color="000000"/>
              <w:left w:val="single" w:sz="2" w:space="0" w:color="000000"/>
              <w:bottom w:val="single" w:sz="2" w:space="0" w:color="000000"/>
              <w:right w:val="single" w:sz="6" w:space="0" w:color="000000"/>
            </w:tcBorders>
            <w:vAlign w:val="center"/>
          </w:tcPr>
          <w:p w:rsidR="0048060A" w:rsidRPr="00560E1F" w:rsidRDefault="0048060A" w:rsidP="00FF07DD">
            <w:pPr>
              <w:spacing w:before="20"/>
              <w:ind w:left="278" w:right="359"/>
              <w:jc w:val="center"/>
              <w:rPr>
                <w:rFonts w:ascii="仿宋_GB2312" w:eastAsia="仿宋_GB2312" w:hAnsi="宋体" w:cs="Times New Roman"/>
                <w:sz w:val="15"/>
                <w:szCs w:val="15"/>
              </w:rPr>
            </w:pPr>
            <w:r w:rsidRPr="00560E1F">
              <w:rPr>
                <w:rFonts w:ascii="仿宋_GB2312" w:eastAsia="仿宋_GB2312" w:hAnsi="宋体" w:cs="Times New Roman"/>
                <w:sz w:val="15"/>
                <w:szCs w:val="15"/>
              </w:rPr>
              <w:t>中风险产品</w:t>
            </w:r>
          </w:p>
          <w:p w:rsidR="0048060A" w:rsidRDefault="0048060A" w:rsidP="00FF07DD">
            <w:pPr>
              <w:spacing w:before="4" w:line="280" w:lineRule="exact"/>
              <w:ind w:left="182" w:right="264"/>
              <w:jc w:val="center"/>
              <w:rPr>
                <w:rFonts w:ascii="仿宋_GB2312" w:eastAsia="仿宋_GB2312" w:hAnsi="宋体" w:cs="Times New Roman"/>
                <w:sz w:val="15"/>
                <w:szCs w:val="15"/>
              </w:rPr>
            </w:pPr>
            <w:r w:rsidRPr="00560E1F">
              <w:rPr>
                <w:rFonts w:ascii="仿宋_GB2312" w:eastAsia="仿宋_GB2312" w:hAnsi="宋体" w:cs="Times New Roman"/>
                <w:sz w:val="15"/>
                <w:szCs w:val="15"/>
              </w:rPr>
              <w:t>中低风险产品</w:t>
            </w:r>
          </w:p>
          <w:p w:rsidR="0048060A" w:rsidRPr="00560E1F" w:rsidRDefault="0048060A" w:rsidP="00FF07DD">
            <w:pPr>
              <w:spacing w:before="4" w:line="280" w:lineRule="exact"/>
              <w:ind w:left="182" w:right="264"/>
              <w:jc w:val="center"/>
              <w:rPr>
                <w:rFonts w:ascii="仿宋_GB2312" w:eastAsia="仿宋_GB2312" w:hAnsi="宋体" w:cs="Times New Roman"/>
                <w:sz w:val="15"/>
                <w:szCs w:val="15"/>
              </w:rPr>
            </w:pPr>
            <w:r w:rsidRPr="00560E1F">
              <w:rPr>
                <w:rFonts w:ascii="仿宋_GB2312" w:eastAsia="仿宋_GB2312" w:hAnsi="宋体" w:cs="Times New Roman"/>
                <w:sz w:val="15"/>
                <w:szCs w:val="15"/>
              </w:rPr>
              <w:t>低风险产品</w:t>
            </w:r>
          </w:p>
        </w:tc>
      </w:tr>
      <w:tr w:rsidR="0048060A" w:rsidRPr="00560E1F" w:rsidTr="00FF07DD">
        <w:trPr>
          <w:trHeight w:val="963"/>
          <w:jc w:val="center"/>
        </w:trPr>
        <w:tc>
          <w:tcPr>
            <w:tcW w:w="1132" w:type="dxa"/>
            <w:tcBorders>
              <w:top w:val="single" w:sz="2" w:space="0" w:color="000000"/>
              <w:left w:val="single" w:sz="6" w:space="0" w:color="000000"/>
              <w:bottom w:val="single" w:sz="2" w:space="0" w:color="000000"/>
              <w:right w:val="single" w:sz="2" w:space="0" w:color="000000"/>
            </w:tcBorders>
            <w:vAlign w:val="center"/>
          </w:tcPr>
          <w:p w:rsidR="0048060A" w:rsidRPr="00560E1F" w:rsidRDefault="0048060A" w:rsidP="00FF07DD">
            <w:pPr>
              <w:ind w:left="204" w:right="-20"/>
              <w:rPr>
                <w:rFonts w:ascii="仿宋_GB2312" w:eastAsia="仿宋_GB2312" w:hAnsi="宋体" w:cs="Times New Roman"/>
                <w:sz w:val="15"/>
                <w:szCs w:val="15"/>
              </w:rPr>
            </w:pPr>
            <w:r w:rsidRPr="00560E1F">
              <w:rPr>
                <w:rFonts w:ascii="仿宋_GB2312" w:eastAsia="仿宋_GB2312" w:hAnsi="宋体" w:cs="Times New Roman"/>
                <w:sz w:val="15"/>
                <w:szCs w:val="15"/>
              </w:rPr>
              <w:t>中高风险</w:t>
            </w:r>
          </w:p>
        </w:tc>
        <w:tc>
          <w:tcPr>
            <w:tcW w:w="4963" w:type="dxa"/>
            <w:tcBorders>
              <w:top w:val="single" w:sz="2" w:space="0" w:color="000000"/>
              <w:left w:val="single" w:sz="2" w:space="0" w:color="000000"/>
              <w:bottom w:val="single" w:sz="2" w:space="0" w:color="000000"/>
              <w:right w:val="single" w:sz="2" w:space="0" w:color="000000"/>
            </w:tcBorders>
            <w:vAlign w:val="center"/>
          </w:tcPr>
          <w:p w:rsidR="0048060A" w:rsidRPr="00560E1F" w:rsidRDefault="0048060A" w:rsidP="00FF07DD">
            <w:pPr>
              <w:spacing w:line="280" w:lineRule="exact"/>
              <w:ind w:left="103" w:right="138"/>
              <w:rPr>
                <w:rFonts w:ascii="仿宋_GB2312" w:eastAsia="仿宋_GB2312" w:hAnsi="宋体" w:cs="Times New Roman"/>
                <w:sz w:val="15"/>
                <w:szCs w:val="15"/>
              </w:rPr>
            </w:pPr>
            <w:r w:rsidRPr="00560E1F">
              <w:rPr>
                <w:rFonts w:ascii="仿宋_GB2312" w:eastAsia="仿宋_GB2312" w:hAnsi="宋体" w:cs="Times New Roman"/>
                <w:sz w:val="15"/>
                <w:szCs w:val="15"/>
              </w:rPr>
              <w:t>您属于可以承担较高及以下风险类型的投资者，适合投资于能够为您提供升值能力，而投资价值有波动的投资工具</w:t>
            </w:r>
          </w:p>
        </w:tc>
        <w:tc>
          <w:tcPr>
            <w:tcW w:w="1560" w:type="dxa"/>
            <w:tcBorders>
              <w:top w:val="single" w:sz="2" w:space="0" w:color="000000"/>
              <w:left w:val="single" w:sz="2" w:space="0" w:color="000000"/>
              <w:bottom w:val="single" w:sz="2" w:space="0" w:color="000000"/>
              <w:right w:val="single" w:sz="6" w:space="0" w:color="000000"/>
            </w:tcBorders>
            <w:vAlign w:val="center"/>
          </w:tcPr>
          <w:p w:rsidR="0048060A" w:rsidRDefault="0048060A" w:rsidP="00FF07DD">
            <w:pPr>
              <w:spacing w:before="20"/>
              <w:ind w:left="278" w:right="359"/>
              <w:jc w:val="center"/>
              <w:rPr>
                <w:rFonts w:ascii="仿宋_GB2312" w:eastAsia="仿宋_GB2312" w:hAnsi="宋体" w:cs="Times New Roman"/>
                <w:sz w:val="15"/>
                <w:szCs w:val="15"/>
              </w:rPr>
            </w:pPr>
            <w:r w:rsidRPr="00240E71">
              <w:rPr>
                <w:rFonts w:ascii="仿宋_GB2312" w:eastAsia="仿宋_GB2312" w:hAnsi="宋体" w:cs="Times New Roman"/>
                <w:sz w:val="15"/>
                <w:szCs w:val="15"/>
              </w:rPr>
              <w:t>中高风险</w:t>
            </w:r>
            <w:r>
              <w:rPr>
                <w:rFonts w:ascii="仿宋_GB2312" w:eastAsia="仿宋_GB2312" w:hAnsi="宋体" w:cs="Times New Roman" w:hint="eastAsia"/>
                <w:sz w:val="15"/>
                <w:szCs w:val="15"/>
              </w:rPr>
              <w:t>产品</w:t>
            </w:r>
          </w:p>
          <w:p w:rsidR="0048060A" w:rsidRDefault="0048060A" w:rsidP="00FF07DD">
            <w:pPr>
              <w:spacing w:before="20"/>
              <w:ind w:left="278" w:right="359"/>
              <w:jc w:val="center"/>
              <w:rPr>
                <w:rFonts w:ascii="仿宋_GB2312" w:eastAsia="仿宋_GB2312" w:hAnsi="宋体" w:cs="Times New Roman"/>
                <w:sz w:val="15"/>
                <w:szCs w:val="15"/>
              </w:rPr>
            </w:pPr>
            <w:r w:rsidRPr="00240E71">
              <w:rPr>
                <w:rFonts w:ascii="仿宋_GB2312" w:eastAsia="仿宋_GB2312" w:hAnsi="宋体" w:cs="Times New Roman"/>
                <w:sz w:val="15"/>
                <w:szCs w:val="15"/>
              </w:rPr>
              <w:t>中风险产品</w:t>
            </w:r>
          </w:p>
          <w:p w:rsidR="0048060A" w:rsidRDefault="0048060A" w:rsidP="00FF07DD">
            <w:pPr>
              <w:spacing w:before="20"/>
              <w:ind w:left="278" w:right="359"/>
              <w:jc w:val="center"/>
              <w:rPr>
                <w:rFonts w:ascii="仿宋_GB2312" w:eastAsia="仿宋_GB2312" w:hAnsi="宋体" w:cs="Times New Roman"/>
                <w:sz w:val="15"/>
                <w:szCs w:val="15"/>
              </w:rPr>
            </w:pPr>
            <w:r w:rsidRPr="00560E1F">
              <w:rPr>
                <w:rFonts w:ascii="仿宋_GB2312" w:eastAsia="仿宋_GB2312" w:hAnsi="宋体" w:cs="Times New Roman"/>
                <w:sz w:val="15"/>
                <w:szCs w:val="15"/>
              </w:rPr>
              <w:t>中低风险产品</w:t>
            </w:r>
          </w:p>
          <w:p w:rsidR="0048060A" w:rsidRPr="00560E1F" w:rsidRDefault="0048060A" w:rsidP="00FF07DD">
            <w:pPr>
              <w:spacing w:before="20"/>
              <w:ind w:left="278" w:right="359"/>
              <w:jc w:val="center"/>
              <w:rPr>
                <w:rFonts w:ascii="仿宋_GB2312" w:eastAsia="仿宋_GB2312" w:hAnsi="宋体" w:cs="Times New Roman"/>
                <w:sz w:val="15"/>
                <w:szCs w:val="15"/>
              </w:rPr>
            </w:pPr>
            <w:r w:rsidRPr="00560E1F">
              <w:rPr>
                <w:rFonts w:ascii="仿宋_GB2312" w:eastAsia="仿宋_GB2312" w:hAnsi="宋体" w:cs="Times New Roman"/>
                <w:sz w:val="15"/>
                <w:szCs w:val="15"/>
              </w:rPr>
              <w:t>低风险产品</w:t>
            </w:r>
          </w:p>
        </w:tc>
      </w:tr>
      <w:tr w:rsidR="0048060A" w:rsidRPr="00560E1F" w:rsidTr="00A30997">
        <w:trPr>
          <w:trHeight w:hRule="exact" w:val="1423"/>
          <w:jc w:val="center"/>
        </w:trPr>
        <w:tc>
          <w:tcPr>
            <w:tcW w:w="1132" w:type="dxa"/>
            <w:tcBorders>
              <w:top w:val="single" w:sz="2" w:space="0" w:color="000000"/>
              <w:left w:val="single" w:sz="6" w:space="0" w:color="000000"/>
              <w:bottom w:val="single" w:sz="6" w:space="0" w:color="000000"/>
              <w:right w:val="single" w:sz="2" w:space="0" w:color="000000"/>
            </w:tcBorders>
            <w:vAlign w:val="center"/>
          </w:tcPr>
          <w:p w:rsidR="0048060A" w:rsidRPr="00560E1F" w:rsidRDefault="0048060A" w:rsidP="00FF07DD">
            <w:pPr>
              <w:ind w:left="309" w:right="-20"/>
              <w:rPr>
                <w:rFonts w:ascii="仿宋_GB2312" w:eastAsia="仿宋_GB2312" w:hAnsi="宋体" w:cs="Times New Roman"/>
                <w:sz w:val="15"/>
                <w:szCs w:val="15"/>
              </w:rPr>
            </w:pPr>
            <w:r w:rsidRPr="00560E1F">
              <w:rPr>
                <w:rFonts w:ascii="仿宋_GB2312" w:eastAsia="仿宋_GB2312" w:hAnsi="宋体" w:cs="Times New Roman"/>
                <w:sz w:val="15"/>
                <w:szCs w:val="15"/>
              </w:rPr>
              <w:lastRenderedPageBreak/>
              <w:t>高风险</w:t>
            </w:r>
          </w:p>
        </w:tc>
        <w:tc>
          <w:tcPr>
            <w:tcW w:w="4963" w:type="dxa"/>
            <w:tcBorders>
              <w:top w:val="single" w:sz="2" w:space="0" w:color="000000"/>
              <w:left w:val="single" w:sz="2" w:space="0" w:color="000000"/>
              <w:bottom w:val="single" w:sz="6" w:space="0" w:color="000000"/>
              <w:right w:val="single" w:sz="2" w:space="0" w:color="000000"/>
            </w:tcBorders>
            <w:vAlign w:val="center"/>
          </w:tcPr>
          <w:p w:rsidR="0048060A" w:rsidRPr="00560E1F" w:rsidRDefault="0048060A" w:rsidP="00FF07DD">
            <w:pPr>
              <w:spacing w:line="280" w:lineRule="exact"/>
              <w:ind w:left="103" w:right="138"/>
              <w:rPr>
                <w:rFonts w:ascii="仿宋_GB2312" w:eastAsia="仿宋_GB2312" w:hAnsi="宋体" w:cs="Times New Roman"/>
                <w:sz w:val="15"/>
                <w:szCs w:val="15"/>
              </w:rPr>
            </w:pPr>
            <w:r w:rsidRPr="00560E1F">
              <w:rPr>
                <w:rFonts w:ascii="仿宋_GB2312" w:eastAsia="仿宋_GB2312" w:hAnsi="宋体" w:cs="Times New Roman"/>
                <w:sz w:val="15"/>
                <w:szCs w:val="15"/>
              </w:rPr>
              <w:t>您属于可以承受高及以下风险类型的投资者，适合投资于能够为您提供高升值能力而投资价值波动大的投资工具。最坏的情况下，您可能失去全部投资本金并需对您投资所导致的任何亏损承担责任。</w:t>
            </w:r>
          </w:p>
        </w:tc>
        <w:tc>
          <w:tcPr>
            <w:tcW w:w="1560" w:type="dxa"/>
            <w:tcBorders>
              <w:top w:val="single" w:sz="2" w:space="0" w:color="000000"/>
              <w:left w:val="single" w:sz="2" w:space="0" w:color="000000"/>
              <w:bottom w:val="single" w:sz="6" w:space="0" w:color="000000"/>
              <w:right w:val="single" w:sz="6" w:space="0" w:color="000000"/>
            </w:tcBorders>
            <w:vAlign w:val="center"/>
          </w:tcPr>
          <w:p w:rsidR="0048060A" w:rsidRPr="00560E1F" w:rsidRDefault="0048060A" w:rsidP="00FF07DD">
            <w:pPr>
              <w:spacing w:before="20"/>
              <w:ind w:left="278" w:right="359"/>
              <w:jc w:val="center"/>
              <w:rPr>
                <w:rFonts w:ascii="仿宋_GB2312" w:eastAsia="仿宋_GB2312" w:hAnsi="宋体" w:cs="Times New Roman"/>
                <w:sz w:val="15"/>
                <w:szCs w:val="15"/>
              </w:rPr>
            </w:pPr>
            <w:r w:rsidRPr="00560E1F">
              <w:rPr>
                <w:rFonts w:ascii="仿宋_GB2312" w:eastAsia="仿宋_GB2312" w:hAnsi="宋体" w:cs="Times New Roman"/>
                <w:sz w:val="15"/>
                <w:szCs w:val="15"/>
              </w:rPr>
              <w:t>高风险</w:t>
            </w:r>
            <w:r>
              <w:rPr>
                <w:rFonts w:ascii="仿宋_GB2312" w:eastAsia="仿宋_GB2312" w:hAnsi="宋体" w:cs="Times New Roman" w:hint="eastAsia"/>
                <w:sz w:val="15"/>
                <w:szCs w:val="15"/>
              </w:rPr>
              <w:t>产品</w:t>
            </w:r>
          </w:p>
          <w:p w:rsidR="0048060A" w:rsidRPr="00560E1F" w:rsidRDefault="0048060A" w:rsidP="00FF07DD">
            <w:pPr>
              <w:spacing w:before="20"/>
              <w:ind w:left="278" w:right="359"/>
              <w:jc w:val="center"/>
              <w:rPr>
                <w:rFonts w:ascii="仿宋_GB2312" w:eastAsia="仿宋_GB2312" w:hAnsi="宋体" w:cs="Times New Roman"/>
                <w:sz w:val="15"/>
                <w:szCs w:val="15"/>
              </w:rPr>
            </w:pPr>
            <w:r>
              <w:rPr>
                <w:rFonts w:ascii="仿宋_GB2312" w:eastAsia="仿宋_GB2312" w:hAnsi="宋体" w:cs="Times New Roman"/>
                <w:sz w:val="15"/>
                <w:szCs w:val="15"/>
              </w:rPr>
              <w:t>中高</w:t>
            </w:r>
            <w:r>
              <w:rPr>
                <w:rFonts w:ascii="仿宋_GB2312" w:eastAsia="仿宋_GB2312" w:hAnsi="宋体" w:cs="Times New Roman" w:hint="eastAsia"/>
                <w:sz w:val="15"/>
                <w:szCs w:val="15"/>
              </w:rPr>
              <w:t>风险产品</w:t>
            </w:r>
          </w:p>
          <w:p w:rsidR="0048060A" w:rsidRPr="00560E1F" w:rsidRDefault="0048060A" w:rsidP="00FF07DD">
            <w:pPr>
              <w:spacing w:before="20"/>
              <w:ind w:left="278" w:right="359"/>
              <w:jc w:val="center"/>
              <w:rPr>
                <w:rFonts w:ascii="仿宋_GB2312" w:eastAsia="仿宋_GB2312" w:hAnsi="宋体" w:cs="Times New Roman"/>
                <w:sz w:val="15"/>
                <w:szCs w:val="15"/>
              </w:rPr>
            </w:pPr>
            <w:r w:rsidRPr="00560E1F">
              <w:rPr>
                <w:rFonts w:ascii="仿宋_GB2312" w:eastAsia="仿宋_GB2312" w:hAnsi="宋体" w:cs="Times New Roman"/>
                <w:sz w:val="15"/>
                <w:szCs w:val="15"/>
              </w:rPr>
              <w:t>中风险产品</w:t>
            </w:r>
          </w:p>
          <w:p w:rsidR="0048060A" w:rsidRPr="00560E1F" w:rsidRDefault="0048060A" w:rsidP="00FF07DD">
            <w:pPr>
              <w:spacing w:before="20"/>
              <w:ind w:left="278" w:right="359"/>
              <w:jc w:val="center"/>
              <w:rPr>
                <w:rFonts w:ascii="仿宋_GB2312" w:eastAsia="仿宋_GB2312" w:hAnsi="宋体" w:cs="Times New Roman"/>
                <w:sz w:val="15"/>
                <w:szCs w:val="15"/>
              </w:rPr>
            </w:pPr>
            <w:r w:rsidRPr="00560E1F">
              <w:rPr>
                <w:rFonts w:ascii="仿宋_GB2312" w:eastAsia="仿宋_GB2312" w:hAnsi="宋体" w:cs="Times New Roman"/>
                <w:sz w:val="15"/>
                <w:szCs w:val="15"/>
              </w:rPr>
              <w:t>中低风险产品低风险产品</w:t>
            </w:r>
          </w:p>
        </w:tc>
      </w:tr>
    </w:tbl>
    <w:p w:rsidR="0048060A" w:rsidRDefault="0048060A" w:rsidP="0048060A">
      <w:pPr>
        <w:rPr>
          <w:rFonts w:ascii="仿宋_GB2312" w:eastAsia="仿宋_GB2312" w:hAnsi="宋体" w:cs="Times New Roman"/>
          <w:sz w:val="15"/>
          <w:szCs w:val="15"/>
        </w:rPr>
      </w:pPr>
    </w:p>
    <w:p w:rsidR="0048060A" w:rsidRPr="00357845" w:rsidRDefault="0048060A" w:rsidP="00357845">
      <w:pPr>
        <w:ind w:firstLineChars="200" w:firstLine="301"/>
        <w:rPr>
          <w:rFonts w:ascii="仿宋_GB2312"/>
          <w:b/>
          <w:sz w:val="15"/>
          <w:szCs w:val="15"/>
        </w:rPr>
      </w:pPr>
      <w:r w:rsidRPr="00357845">
        <w:rPr>
          <w:rFonts w:ascii="仿宋_GB2312" w:hint="eastAsia"/>
          <w:b/>
          <w:sz w:val="15"/>
          <w:szCs w:val="15"/>
        </w:rPr>
        <w:t>3</w:t>
      </w:r>
      <w:r w:rsidRPr="00357845">
        <w:rPr>
          <w:rFonts w:ascii="仿宋_GB2312" w:hint="eastAsia"/>
          <w:b/>
          <w:sz w:val="15"/>
          <w:szCs w:val="15"/>
        </w:rPr>
        <w:t>、信息披露</w:t>
      </w:r>
    </w:p>
    <w:p w:rsidR="00357845" w:rsidRPr="00357845" w:rsidRDefault="00357845" w:rsidP="00357845">
      <w:pPr>
        <w:ind w:firstLineChars="199" w:firstLine="298"/>
        <w:rPr>
          <w:rFonts w:ascii="仿宋_GB2312"/>
          <w:sz w:val="15"/>
          <w:szCs w:val="15"/>
        </w:rPr>
      </w:pPr>
      <w:r w:rsidRPr="00357845">
        <w:rPr>
          <w:rFonts w:ascii="仿宋_GB2312" w:hint="eastAsia"/>
          <w:sz w:val="15"/>
          <w:szCs w:val="15"/>
        </w:rPr>
        <w:t>银行按照产品销售文件约定披露产品信息，客户可通过以上渠道及时查询，如果因客户未及时查询导致其未能了解银行披露的产品相关信息，因此而产生的责任和风险由客户自行承担。</w:t>
      </w:r>
    </w:p>
    <w:p w:rsidR="0048060A" w:rsidRPr="00357845" w:rsidRDefault="0048060A" w:rsidP="00357845">
      <w:pPr>
        <w:ind w:firstLineChars="199" w:firstLine="298"/>
        <w:rPr>
          <w:rFonts w:ascii="仿宋_GB2312"/>
          <w:sz w:val="15"/>
          <w:szCs w:val="15"/>
        </w:rPr>
      </w:pPr>
      <w:r w:rsidRPr="00357845">
        <w:rPr>
          <w:rFonts w:ascii="仿宋_GB2312" w:hint="eastAsia"/>
          <w:sz w:val="15"/>
          <w:szCs w:val="15"/>
        </w:rPr>
        <w:t>投资人因自身原因或不可抗力导致未及时获知本理财产品的运作或收益分配情况，银行不承担任何责任。</w:t>
      </w:r>
    </w:p>
    <w:p w:rsidR="0048060A" w:rsidRPr="00357845" w:rsidRDefault="0048060A" w:rsidP="00357845">
      <w:pPr>
        <w:ind w:firstLineChars="200" w:firstLine="301"/>
        <w:rPr>
          <w:rFonts w:ascii="仿宋_GB2312"/>
          <w:b/>
          <w:sz w:val="15"/>
          <w:szCs w:val="15"/>
        </w:rPr>
      </w:pPr>
      <w:r w:rsidRPr="00357845">
        <w:rPr>
          <w:rFonts w:ascii="仿宋_GB2312" w:hint="eastAsia"/>
          <w:b/>
          <w:sz w:val="15"/>
          <w:szCs w:val="15"/>
        </w:rPr>
        <w:t>4</w:t>
      </w:r>
      <w:r w:rsidRPr="00357845">
        <w:rPr>
          <w:rFonts w:ascii="仿宋_GB2312" w:hint="eastAsia"/>
          <w:b/>
          <w:sz w:val="15"/>
          <w:szCs w:val="15"/>
        </w:rPr>
        <w:t>、投诉方式</w:t>
      </w:r>
    </w:p>
    <w:p w:rsidR="0048060A" w:rsidRPr="00357845" w:rsidRDefault="0048060A" w:rsidP="00357845">
      <w:pPr>
        <w:ind w:firstLineChars="199" w:firstLine="298"/>
        <w:rPr>
          <w:rFonts w:ascii="仿宋_GB2312"/>
          <w:sz w:val="15"/>
          <w:szCs w:val="15"/>
        </w:rPr>
      </w:pPr>
      <w:r w:rsidRPr="00357845">
        <w:rPr>
          <w:rFonts w:ascii="仿宋_GB2312" w:hint="eastAsia"/>
          <w:sz w:val="15"/>
          <w:szCs w:val="15"/>
        </w:rPr>
        <w:t>我行各支行及营业网点均作为理财投诉渠道，我行</w:t>
      </w:r>
      <w:r w:rsidRPr="00357845">
        <w:rPr>
          <w:rFonts w:ascii="仿宋_GB2312" w:hint="eastAsia"/>
          <w:sz w:val="15"/>
          <w:szCs w:val="15"/>
        </w:rPr>
        <w:t>025-88866634</w:t>
      </w:r>
      <w:r w:rsidRPr="00357845">
        <w:rPr>
          <w:rFonts w:ascii="仿宋_GB2312" w:hint="eastAsia"/>
          <w:sz w:val="15"/>
          <w:szCs w:val="15"/>
        </w:rPr>
        <w:t>同时作咨询及受理投诉电话。</w:t>
      </w:r>
    </w:p>
    <w:p w:rsidR="009C79DB" w:rsidRPr="00357845" w:rsidRDefault="00357845" w:rsidP="00357845">
      <w:pPr>
        <w:ind w:firstLineChars="200" w:firstLine="301"/>
        <w:rPr>
          <w:rFonts w:ascii="仿宋_GB2312"/>
          <w:b/>
          <w:sz w:val="15"/>
          <w:szCs w:val="15"/>
        </w:rPr>
      </w:pPr>
      <w:r w:rsidRPr="00357845">
        <w:rPr>
          <w:rFonts w:ascii="仿宋_GB2312" w:hint="eastAsia"/>
          <w:b/>
          <w:sz w:val="15"/>
          <w:szCs w:val="15"/>
        </w:rPr>
        <w:t>5</w:t>
      </w:r>
      <w:r w:rsidRPr="00357845">
        <w:rPr>
          <w:rFonts w:ascii="仿宋_GB2312" w:hint="eastAsia"/>
          <w:b/>
          <w:sz w:val="15"/>
          <w:szCs w:val="15"/>
        </w:rPr>
        <w:t>、</w:t>
      </w:r>
      <w:r w:rsidR="009C79DB" w:rsidRPr="00357845">
        <w:rPr>
          <w:rFonts w:ascii="仿宋_GB2312" w:hint="eastAsia"/>
          <w:b/>
          <w:sz w:val="15"/>
          <w:szCs w:val="15"/>
        </w:rPr>
        <w:t>反洗钱条款</w:t>
      </w:r>
    </w:p>
    <w:p w:rsidR="00357845" w:rsidRPr="00357845" w:rsidRDefault="009C79DB" w:rsidP="00357845">
      <w:pPr>
        <w:ind w:firstLineChars="199" w:firstLine="298"/>
        <w:rPr>
          <w:rFonts w:ascii="仿宋_GB2312"/>
          <w:sz w:val="15"/>
          <w:szCs w:val="15"/>
        </w:rPr>
      </w:pPr>
      <w:r w:rsidRPr="00357845">
        <w:rPr>
          <w:rFonts w:ascii="仿宋_GB2312" w:hint="eastAsia"/>
          <w:sz w:val="15"/>
          <w:szCs w:val="15"/>
        </w:rPr>
        <w:t>银行将根据反洗钱法律法规及相关监管的要求，识别</w:t>
      </w:r>
      <w:r w:rsidR="004B6F49" w:rsidRPr="00357845">
        <w:rPr>
          <w:rFonts w:ascii="仿宋_GB2312" w:hint="eastAsia"/>
          <w:sz w:val="15"/>
          <w:szCs w:val="15"/>
        </w:rPr>
        <w:t>客户</w:t>
      </w:r>
      <w:r w:rsidRPr="00357845">
        <w:rPr>
          <w:rFonts w:ascii="仿宋_GB2312" w:hint="eastAsia"/>
          <w:sz w:val="15"/>
          <w:szCs w:val="15"/>
        </w:rPr>
        <w:t>身份、记录保存</w:t>
      </w:r>
      <w:r w:rsidR="004B6F49" w:rsidRPr="00357845">
        <w:rPr>
          <w:rFonts w:ascii="仿宋_GB2312" w:hint="eastAsia"/>
          <w:sz w:val="15"/>
          <w:szCs w:val="15"/>
        </w:rPr>
        <w:t>客户</w:t>
      </w:r>
      <w:r w:rsidRPr="00357845">
        <w:rPr>
          <w:rFonts w:ascii="仿宋_GB2312" w:hint="eastAsia"/>
          <w:sz w:val="15"/>
          <w:szCs w:val="15"/>
        </w:rPr>
        <w:t>身份资料和交易，识别和报送大额和可疑交易等情况。</w:t>
      </w:r>
    </w:p>
    <w:p w:rsidR="00357845" w:rsidRPr="00357845" w:rsidRDefault="009C79DB" w:rsidP="00357845">
      <w:pPr>
        <w:ind w:firstLineChars="199" w:firstLine="298"/>
        <w:rPr>
          <w:rFonts w:ascii="仿宋_GB2312"/>
          <w:sz w:val="15"/>
          <w:szCs w:val="15"/>
        </w:rPr>
      </w:pPr>
      <w:r w:rsidRPr="00357845">
        <w:rPr>
          <w:rFonts w:ascii="仿宋_GB2312" w:hint="eastAsia"/>
          <w:sz w:val="15"/>
          <w:szCs w:val="15"/>
        </w:rPr>
        <w:t>若</w:t>
      </w:r>
      <w:r w:rsidR="004B6F49" w:rsidRPr="00357845">
        <w:rPr>
          <w:rFonts w:ascii="仿宋_GB2312" w:hint="eastAsia"/>
          <w:sz w:val="15"/>
          <w:szCs w:val="15"/>
        </w:rPr>
        <w:t>客户</w:t>
      </w:r>
      <w:r w:rsidRPr="00357845">
        <w:rPr>
          <w:rFonts w:ascii="仿宋_GB2312" w:hint="eastAsia"/>
          <w:sz w:val="15"/>
          <w:szCs w:val="15"/>
        </w:rPr>
        <w:t>身份不明，银行将拒绝提供服务或进行交易。</w:t>
      </w:r>
    </w:p>
    <w:p w:rsidR="009C79DB" w:rsidRPr="00357845" w:rsidRDefault="004B6F49" w:rsidP="00357845">
      <w:pPr>
        <w:ind w:firstLineChars="199" w:firstLine="298"/>
        <w:rPr>
          <w:rFonts w:ascii="仿宋_GB2312"/>
          <w:sz w:val="15"/>
          <w:szCs w:val="15"/>
        </w:rPr>
      </w:pPr>
      <w:r w:rsidRPr="00357845">
        <w:rPr>
          <w:rFonts w:ascii="仿宋_GB2312" w:hint="eastAsia"/>
          <w:sz w:val="15"/>
          <w:szCs w:val="15"/>
        </w:rPr>
        <w:t>客户</w:t>
      </w:r>
      <w:r w:rsidR="009C79DB" w:rsidRPr="00357845">
        <w:rPr>
          <w:rFonts w:ascii="仿宋_GB2312" w:hint="eastAsia"/>
          <w:sz w:val="15"/>
          <w:szCs w:val="15"/>
        </w:rPr>
        <w:t>应协助配合银行对大额和可疑交易进行调查。</w:t>
      </w:r>
    </w:p>
    <w:p w:rsidR="006F58F6" w:rsidRPr="00357845" w:rsidRDefault="006F58F6" w:rsidP="00357845">
      <w:pPr>
        <w:ind w:firstLineChars="199" w:firstLine="298"/>
        <w:rPr>
          <w:rFonts w:ascii="仿宋_GB2312" w:eastAsia="仿宋_GB2312" w:hAnsi="宋体" w:cs="Times New Roman"/>
          <w:sz w:val="15"/>
          <w:szCs w:val="15"/>
        </w:rPr>
      </w:pPr>
    </w:p>
    <w:sectPr w:rsidR="006F58F6" w:rsidRPr="00357845" w:rsidSect="006F58F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0AA" w:rsidRDefault="008A60AA" w:rsidP="009C79DB">
      <w:r>
        <w:separator/>
      </w:r>
    </w:p>
  </w:endnote>
  <w:endnote w:type="continuationSeparator" w:id="1">
    <w:p w:rsidR="008A60AA" w:rsidRDefault="008A60AA" w:rsidP="009C79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705407"/>
      <w:docPartObj>
        <w:docPartGallery w:val="Page Numbers (Bottom of Page)"/>
        <w:docPartUnique/>
      </w:docPartObj>
    </w:sdtPr>
    <w:sdtContent>
      <w:p w:rsidR="007C2925" w:rsidRDefault="007C2925">
        <w:pPr>
          <w:pStyle w:val="a4"/>
          <w:jc w:val="center"/>
        </w:pPr>
        <w:fldSimple w:instr=" PAGE   \* MERGEFORMAT ">
          <w:r w:rsidRPr="007C2925">
            <w:rPr>
              <w:noProof/>
              <w:lang w:val="zh-CN"/>
            </w:rPr>
            <w:t>2</w:t>
          </w:r>
        </w:fldSimple>
      </w:p>
    </w:sdtContent>
  </w:sdt>
  <w:p w:rsidR="007C2925" w:rsidRDefault="007C292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0AA" w:rsidRDefault="008A60AA" w:rsidP="009C79DB">
      <w:r>
        <w:separator/>
      </w:r>
    </w:p>
  </w:footnote>
  <w:footnote w:type="continuationSeparator" w:id="1">
    <w:p w:rsidR="008A60AA" w:rsidRDefault="008A60AA" w:rsidP="009C79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79DB"/>
    <w:rsid w:val="0013785B"/>
    <w:rsid w:val="00172E18"/>
    <w:rsid w:val="001B3112"/>
    <w:rsid w:val="00213281"/>
    <w:rsid w:val="00357845"/>
    <w:rsid w:val="0048060A"/>
    <w:rsid w:val="004B6F49"/>
    <w:rsid w:val="004E2DAE"/>
    <w:rsid w:val="005E4CE5"/>
    <w:rsid w:val="006F58F6"/>
    <w:rsid w:val="007633E6"/>
    <w:rsid w:val="007C2925"/>
    <w:rsid w:val="007C7278"/>
    <w:rsid w:val="00857F40"/>
    <w:rsid w:val="00896E22"/>
    <w:rsid w:val="008A60AA"/>
    <w:rsid w:val="009504DE"/>
    <w:rsid w:val="00995166"/>
    <w:rsid w:val="009C79DB"/>
    <w:rsid w:val="00A21A3A"/>
    <w:rsid w:val="00A278D8"/>
    <w:rsid w:val="00A30997"/>
    <w:rsid w:val="00B25AA2"/>
    <w:rsid w:val="00E44F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8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79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79DB"/>
    <w:rPr>
      <w:sz w:val="18"/>
      <w:szCs w:val="18"/>
    </w:rPr>
  </w:style>
  <w:style w:type="paragraph" w:styleId="a4">
    <w:name w:val="footer"/>
    <w:basedOn w:val="a"/>
    <w:link w:val="Char0"/>
    <w:uiPriority w:val="99"/>
    <w:unhideWhenUsed/>
    <w:rsid w:val="009C79DB"/>
    <w:pPr>
      <w:tabs>
        <w:tab w:val="center" w:pos="4153"/>
        <w:tab w:val="right" w:pos="8306"/>
      </w:tabs>
      <w:snapToGrid w:val="0"/>
      <w:jc w:val="left"/>
    </w:pPr>
    <w:rPr>
      <w:sz w:val="18"/>
      <w:szCs w:val="18"/>
    </w:rPr>
  </w:style>
  <w:style w:type="character" w:customStyle="1" w:styleId="Char0">
    <w:name w:val="页脚 Char"/>
    <w:basedOn w:val="a0"/>
    <w:link w:val="a4"/>
    <w:uiPriority w:val="99"/>
    <w:rsid w:val="009C79DB"/>
    <w:rPr>
      <w:sz w:val="18"/>
      <w:szCs w:val="18"/>
    </w:rPr>
  </w:style>
  <w:style w:type="paragraph" w:styleId="a5">
    <w:name w:val="Title"/>
    <w:basedOn w:val="a"/>
    <w:next w:val="a"/>
    <w:link w:val="Char1"/>
    <w:uiPriority w:val="10"/>
    <w:qFormat/>
    <w:rsid w:val="0048060A"/>
    <w:pPr>
      <w:spacing w:before="240" w:after="60" w:line="276" w:lineRule="auto"/>
      <w:jc w:val="center"/>
      <w:outlineLvl w:val="0"/>
    </w:pPr>
    <w:rPr>
      <w:rFonts w:asciiTheme="majorHAnsi" w:eastAsia="宋体" w:hAnsiTheme="majorHAnsi" w:cstheme="majorBidi"/>
      <w:b/>
      <w:bCs/>
      <w:kern w:val="0"/>
      <w:sz w:val="32"/>
      <w:szCs w:val="32"/>
      <w:lang w:eastAsia="en-US"/>
    </w:rPr>
  </w:style>
  <w:style w:type="character" w:customStyle="1" w:styleId="Char1">
    <w:name w:val="标题 Char"/>
    <w:basedOn w:val="a0"/>
    <w:link w:val="a5"/>
    <w:uiPriority w:val="10"/>
    <w:rsid w:val="0048060A"/>
    <w:rPr>
      <w:rFonts w:asciiTheme="majorHAnsi" w:eastAsia="宋体" w:hAnsiTheme="majorHAnsi" w:cstheme="majorBidi"/>
      <w:b/>
      <w:bCs/>
      <w:kern w:val="0"/>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248</Words>
  <Characters>1414</Characters>
  <Application>Microsoft Office Word</Application>
  <DocSecurity>0</DocSecurity>
  <Lines>11</Lines>
  <Paragraphs>3</Paragraphs>
  <ScaleCrop>false</ScaleCrop>
  <Company>微软中国</Company>
  <LinksUpToDate>false</LinksUpToDate>
  <CharactersWithSpaces>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10</cp:revision>
  <dcterms:created xsi:type="dcterms:W3CDTF">2019-01-14T01:02:00Z</dcterms:created>
  <dcterms:modified xsi:type="dcterms:W3CDTF">2021-10-29T06:52:00Z</dcterms:modified>
</cp:coreProperties>
</file>