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1A7D" w:rsidRDefault="006F09C1">
      <w:pPr>
        <w:pStyle w:val="Default"/>
        <w:spacing w:line="400" w:lineRule="exact"/>
        <w:jc w:val="center"/>
        <w:rPr>
          <w:rFonts w:ascii="黑体" w:eastAsia="黑体" w:hAnsi="黑体" w:cs="黑体"/>
          <w:b/>
          <w:bCs/>
          <w:color w:val="auto"/>
          <w:kern w:val="2"/>
          <w:sz w:val="32"/>
          <w:szCs w:val="32"/>
        </w:rPr>
      </w:pPr>
      <w:r>
        <w:rPr>
          <w:rFonts w:ascii="黑体" w:eastAsia="黑体" w:hAnsi="黑体" w:cs="黑体" w:hint="eastAsia"/>
          <w:b/>
          <w:bCs/>
          <w:color w:val="auto"/>
          <w:kern w:val="2"/>
          <w:sz w:val="32"/>
          <w:szCs w:val="32"/>
        </w:rPr>
        <w:t>金农商银行个人结构性存款</w:t>
      </w:r>
      <w:r w:rsidR="00EE48D1">
        <w:rPr>
          <w:rFonts w:ascii="黑体" w:eastAsia="黑体" w:hAnsi="黑体" w:cs="黑体" w:hint="eastAsia"/>
          <w:b/>
          <w:bCs/>
          <w:color w:val="auto"/>
          <w:kern w:val="2"/>
          <w:sz w:val="32"/>
          <w:szCs w:val="32"/>
        </w:rPr>
        <w:t>2025034</w:t>
      </w:r>
      <w:r>
        <w:rPr>
          <w:rFonts w:ascii="黑体" w:eastAsia="黑体" w:hAnsi="黑体" w:cs="黑体" w:hint="eastAsia"/>
          <w:b/>
          <w:bCs/>
          <w:color w:val="auto"/>
          <w:kern w:val="2"/>
          <w:sz w:val="32"/>
          <w:szCs w:val="32"/>
        </w:rPr>
        <w:t>期产品说明书</w:t>
      </w:r>
    </w:p>
    <w:p w:rsidR="00301A7D" w:rsidRDefault="006F09C1" w:rsidP="00EE48D1">
      <w:pPr>
        <w:spacing w:beforeLines="50" w:line="320" w:lineRule="exact"/>
        <w:rPr>
          <w:rFonts w:ascii="黑体" w:eastAsia="黑体" w:hAnsi="宋体"/>
          <w:b/>
          <w:bCs/>
          <w:sz w:val="24"/>
        </w:rPr>
      </w:pPr>
      <w:r>
        <w:rPr>
          <w:rFonts w:ascii="黑体" w:eastAsia="黑体" w:hAnsi="宋体" w:hint="eastAsia"/>
          <w:b/>
          <w:bCs/>
          <w:sz w:val="24"/>
        </w:rPr>
        <w:t>重要须知：</w:t>
      </w:r>
    </w:p>
    <w:p w:rsidR="00301A7D" w:rsidRDefault="006F09C1">
      <w:pPr>
        <w:rPr>
          <w:rFonts w:ascii="黑体" w:eastAsia="黑体" w:hAnsi="黑体" w:cs="黑体"/>
          <w:b/>
          <w:bCs/>
          <w:szCs w:val="21"/>
        </w:rPr>
      </w:pPr>
      <w:r>
        <w:rPr>
          <w:rFonts w:ascii="黑体" w:eastAsia="黑体" w:hAnsi="黑体" w:cs="黑体" w:hint="eastAsia"/>
          <w:b/>
          <w:bCs/>
          <w:sz w:val="15"/>
          <w:szCs w:val="15"/>
        </w:rPr>
        <w:t>●</w:t>
      </w:r>
      <w:r>
        <w:rPr>
          <w:rFonts w:ascii="黑体" w:eastAsia="黑体" w:hAnsi="黑体" w:cs="黑体" w:hint="eastAsia"/>
          <w:b/>
          <w:bCs/>
          <w:sz w:val="15"/>
          <w:szCs w:val="15"/>
        </w:rPr>
        <w:t xml:space="preserve">  </w:t>
      </w:r>
      <w:r>
        <w:rPr>
          <w:rFonts w:ascii="黑体" w:eastAsia="黑体" w:hAnsi="黑体" w:cs="黑体" w:hint="eastAsia"/>
          <w:b/>
          <w:bCs/>
          <w:szCs w:val="21"/>
        </w:rPr>
        <w:t>紫金农商银行，全称“江苏紫金农村商业银行股份有限公司”。</w:t>
      </w:r>
    </w:p>
    <w:p w:rsidR="00301A7D" w:rsidRDefault="006F09C1">
      <w:pPr>
        <w:rPr>
          <w:rFonts w:ascii="黑体" w:eastAsia="黑体" w:hAnsi="黑体" w:cs="黑体"/>
          <w:b/>
          <w:bCs/>
          <w:szCs w:val="21"/>
        </w:rPr>
      </w:pPr>
      <w:r>
        <w:rPr>
          <w:rFonts w:ascii="黑体" w:eastAsia="黑体" w:hAnsi="黑体" w:cs="黑体" w:hint="eastAsia"/>
          <w:b/>
          <w:bCs/>
          <w:sz w:val="15"/>
          <w:szCs w:val="15"/>
        </w:rPr>
        <w:t>●</w:t>
      </w:r>
      <w:r>
        <w:rPr>
          <w:rFonts w:ascii="黑体" w:eastAsia="黑体" w:hAnsi="黑体" w:cs="黑体" w:hint="eastAsia"/>
          <w:b/>
          <w:bCs/>
          <w:sz w:val="15"/>
          <w:szCs w:val="15"/>
        </w:rPr>
        <w:t xml:space="preserve">  </w:t>
      </w:r>
      <w:r>
        <w:rPr>
          <w:rFonts w:ascii="黑体" w:eastAsia="黑体" w:hAnsi="黑体" w:cs="黑体" w:hint="eastAsia"/>
          <w:b/>
          <w:bCs/>
          <w:szCs w:val="21"/>
        </w:rPr>
        <w:t>结构性存款不同于一般性存款，具有投资风险，您应当充分认识投资风险，谨慎投资。结构性存款是指商业银行吸收的嵌入金融衍生产品的存款，通过与利率、汇率、指数等的波动挂钩或者与某实体的信用情况挂钩，使存款人在承担风险的基础上获得相应的收益。</w:t>
      </w:r>
    </w:p>
    <w:p w:rsidR="00301A7D" w:rsidRDefault="006F09C1">
      <w:pPr>
        <w:rPr>
          <w:rFonts w:ascii="黑体" w:eastAsia="黑体" w:hAnsi="黑体" w:cs="黑体"/>
          <w:b/>
          <w:bCs/>
          <w:szCs w:val="21"/>
        </w:rPr>
      </w:pPr>
      <w:r>
        <w:rPr>
          <w:rFonts w:ascii="黑体" w:eastAsia="黑体" w:hAnsi="黑体" w:cs="黑体" w:hint="eastAsia"/>
          <w:b/>
          <w:bCs/>
          <w:sz w:val="15"/>
          <w:szCs w:val="15"/>
        </w:rPr>
        <w:t>●</w:t>
      </w:r>
      <w:r>
        <w:rPr>
          <w:rFonts w:ascii="黑体" w:eastAsia="黑体" w:hAnsi="黑体" w:cs="黑体" w:hint="eastAsia"/>
          <w:b/>
          <w:bCs/>
          <w:sz w:val="15"/>
          <w:szCs w:val="15"/>
        </w:rPr>
        <w:t xml:space="preserve">  </w:t>
      </w:r>
      <w:r>
        <w:rPr>
          <w:rFonts w:ascii="黑体" w:eastAsia="黑体" w:hAnsi="黑体" w:cs="黑体" w:hint="eastAsia"/>
          <w:b/>
          <w:bCs/>
          <w:szCs w:val="21"/>
        </w:rPr>
        <w:t>本产品仅向依据中华人民共和国有关法律法规及本产品说明书规定可以购买本产品的合格客户发售。</w:t>
      </w:r>
    </w:p>
    <w:p w:rsidR="00301A7D" w:rsidRDefault="006F09C1">
      <w:pPr>
        <w:rPr>
          <w:rFonts w:ascii="黑体" w:eastAsia="黑体" w:hAnsi="黑体" w:cs="黑体"/>
          <w:b/>
          <w:bCs/>
          <w:szCs w:val="21"/>
        </w:rPr>
      </w:pPr>
      <w:r>
        <w:rPr>
          <w:rFonts w:ascii="黑体" w:eastAsia="黑体" w:hAnsi="黑体" w:cs="黑体" w:hint="eastAsia"/>
          <w:b/>
          <w:bCs/>
          <w:sz w:val="15"/>
          <w:szCs w:val="15"/>
        </w:rPr>
        <w:t>●</w:t>
      </w:r>
      <w:r>
        <w:rPr>
          <w:rFonts w:ascii="黑体" w:eastAsia="黑体" w:hAnsi="黑体" w:cs="黑体" w:hint="eastAsia"/>
          <w:b/>
          <w:bCs/>
          <w:sz w:val="15"/>
          <w:szCs w:val="15"/>
        </w:rPr>
        <w:t xml:space="preserve">  </w:t>
      </w:r>
      <w:r>
        <w:rPr>
          <w:rFonts w:ascii="黑体" w:eastAsia="黑体" w:hAnsi="黑体" w:cs="黑体" w:hint="eastAsia"/>
          <w:b/>
          <w:bCs/>
          <w:szCs w:val="21"/>
        </w:rPr>
        <w:t>在购买本产品前，请客户确保完全明白本产品的性质、充分了解并清楚知晓本产品的风险，并确保自愿承担本产品投资风险。客户若对本产品说明书的内容有任何疑问，请向紫金农商银行相关营业网点咨询。</w:t>
      </w:r>
    </w:p>
    <w:p w:rsidR="00301A7D" w:rsidRDefault="006F09C1">
      <w:pPr>
        <w:rPr>
          <w:rFonts w:ascii="黑体" w:eastAsia="黑体" w:hAnsi="黑体" w:cs="黑体"/>
          <w:b/>
          <w:bCs/>
          <w:szCs w:val="21"/>
        </w:rPr>
      </w:pPr>
      <w:r>
        <w:rPr>
          <w:rFonts w:ascii="黑体" w:eastAsia="黑体" w:hAnsi="黑体" w:cs="黑体" w:hint="eastAsia"/>
          <w:b/>
          <w:bCs/>
          <w:sz w:val="15"/>
          <w:szCs w:val="15"/>
        </w:rPr>
        <w:t>●</w:t>
      </w:r>
      <w:r>
        <w:rPr>
          <w:rFonts w:ascii="黑体" w:eastAsia="黑体" w:hAnsi="黑体" w:cs="黑体" w:hint="eastAsia"/>
          <w:b/>
          <w:bCs/>
          <w:sz w:val="15"/>
          <w:szCs w:val="15"/>
        </w:rPr>
        <w:t xml:space="preserve">  </w:t>
      </w:r>
      <w:r>
        <w:rPr>
          <w:rFonts w:ascii="黑体" w:eastAsia="黑体" w:hAnsi="黑体" w:cs="黑体" w:hint="eastAsia"/>
          <w:b/>
          <w:bCs/>
          <w:szCs w:val="21"/>
        </w:rPr>
        <w:t>本产品说明书中任何预期收益、测算收益或类似表述均属不具有法律约束力的用语，不代表客户可能获得的实际收益，亦不构成紫金农商银行对本结构性存款产品的任何收益承诺，客户所能获得的最终收益以紫金农商银行根据本产品说明书支付给客户的为准。</w:t>
      </w:r>
    </w:p>
    <w:p w:rsidR="00301A7D" w:rsidRDefault="006F09C1">
      <w:pPr>
        <w:rPr>
          <w:rFonts w:ascii="黑体" w:eastAsia="黑体" w:hAnsi="黑体" w:cs="黑体"/>
          <w:b/>
          <w:bCs/>
          <w:szCs w:val="21"/>
        </w:rPr>
      </w:pPr>
      <w:r>
        <w:rPr>
          <w:rFonts w:ascii="黑体" w:eastAsia="黑体" w:hAnsi="黑体" w:cs="黑体" w:hint="eastAsia"/>
          <w:b/>
          <w:bCs/>
          <w:sz w:val="15"/>
          <w:szCs w:val="15"/>
        </w:rPr>
        <w:t>●</w:t>
      </w:r>
      <w:r>
        <w:rPr>
          <w:rFonts w:ascii="黑体" w:eastAsia="黑体" w:hAnsi="黑体" w:cs="黑体" w:hint="eastAsia"/>
          <w:b/>
          <w:bCs/>
          <w:sz w:val="15"/>
          <w:szCs w:val="15"/>
        </w:rPr>
        <w:t xml:space="preserve">  </w:t>
      </w:r>
      <w:r>
        <w:rPr>
          <w:rFonts w:ascii="黑体" w:eastAsia="黑体" w:hAnsi="黑体" w:cs="黑体" w:hint="eastAsia"/>
          <w:b/>
          <w:bCs/>
          <w:szCs w:val="21"/>
        </w:rPr>
        <w:t>在本产品存续期内，如因国家法律法规、监管规定发生变化，或是出于维持本产品正常运营的需要</w:t>
      </w:r>
      <w:r>
        <w:rPr>
          <w:rFonts w:ascii="黑体" w:eastAsia="黑体" w:hAnsi="黑体" w:cs="黑体" w:hint="eastAsia"/>
          <w:b/>
          <w:bCs/>
          <w:szCs w:val="21"/>
        </w:rPr>
        <w:t>，在不损害客户利益的前提下，紫金农商银行有权单方对本说明书进行修订。</w:t>
      </w:r>
    </w:p>
    <w:p w:rsidR="00301A7D" w:rsidRDefault="006F09C1">
      <w:pPr>
        <w:rPr>
          <w:rFonts w:ascii="黑体" w:eastAsia="黑体" w:hAnsi="黑体" w:cs="黑体"/>
          <w:b/>
          <w:bCs/>
          <w:szCs w:val="21"/>
        </w:rPr>
      </w:pPr>
      <w:r>
        <w:rPr>
          <w:rFonts w:ascii="黑体" w:eastAsia="黑体" w:hAnsi="黑体" w:cs="黑体" w:hint="eastAsia"/>
          <w:b/>
          <w:bCs/>
          <w:sz w:val="15"/>
          <w:szCs w:val="15"/>
        </w:rPr>
        <w:t>●</w:t>
      </w:r>
      <w:r>
        <w:rPr>
          <w:rFonts w:ascii="黑体" w:eastAsia="黑体" w:hAnsi="黑体" w:cs="黑体" w:hint="eastAsia"/>
          <w:b/>
          <w:bCs/>
          <w:sz w:val="15"/>
          <w:szCs w:val="15"/>
        </w:rPr>
        <w:t xml:space="preserve">  </w:t>
      </w:r>
      <w:r>
        <w:rPr>
          <w:rFonts w:ascii="黑体" w:eastAsia="黑体" w:hAnsi="黑体" w:cs="黑体" w:hint="eastAsia"/>
          <w:b/>
          <w:bCs/>
          <w:szCs w:val="21"/>
        </w:rPr>
        <w:t>购买本产品后，客户应随时关注该产品的信息披露情况，及时获取相关信息。</w:t>
      </w:r>
    </w:p>
    <w:p w:rsidR="00301A7D" w:rsidRDefault="006F09C1">
      <w:pPr>
        <w:rPr>
          <w:rFonts w:ascii="黑体" w:eastAsia="黑体" w:hAnsi="黑体" w:cs="黑体"/>
          <w:b/>
          <w:bCs/>
          <w:szCs w:val="21"/>
        </w:rPr>
      </w:pPr>
      <w:r>
        <w:rPr>
          <w:rFonts w:ascii="黑体" w:eastAsia="黑体" w:hAnsi="黑体" w:cs="黑体" w:hint="eastAsia"/>
          <w:b/>
          <w:bCs/>
          <w:sz w:val="15"/>
          <w:szCs w:val="15"/>
        </w:rPr>
        <w:t>●</w:t>
      </w:r>
      <w:r>
        <w:rPr>
          <w:rFonts w:ascii="黑体" w:eastAsia="黑体" w:hAnsi="黑体" w:cs="黑体" w:hint="eastAsia"/>
          <w:b/>
          <w:bCs/>
          <w:sz w:val="15"/>
          <w:szCs w:val="15"/>
        </w:rPr>
        <w:t xml:space="preserve">  </w:t>
      </w:r>
      <w:r>
        <w:rPr>
          <w:rFonts w:ascii="黑体" w:eastAsia="黑体" w:hAnsi="黑体" w:cs="黑体" w:hint="eastAsia"/>
          <w:b/>
          <w:bCs/>
          <w:szCs w:val="21"/>
        </w:rPr>
        <w:t>本产品说明书解释权归属紫金农商银行所有。</w:t>
      </w:r>
    </w:p>
    <w:p w:rsidR="00301A7D" w:rsidRDefault="006F09C1" w:rsidP="00EE48D1">
      <w:pPr>
        <w:numPr>
          <w:ilvl w:val="0"/>
          <w:numId w:val="1"/>
        </w:numPr>
        <w:adjustRightInd w:val="0"/>
        <w:snapToGrid w:val="0"/>
        <w:spacing w:beforeLines="50" w:line="320" w:lineRule="exact"/>
        <w:ind w:firstLineChars="200" w:firstLine="640"/>
        <w:rPr>
          <w:rFonts w:ascii="黑体" w:eastAsia="黑体" w:hAnsi="宋体" w:cs="宋体"/>
          <w:bCs/>
          <w:sz w:val="32"/>
          <w:szCs w:val="32"/>
        </w:rPr>
      </w:pPr>
      <w:r>
        <w:rPr>
          <w:rFonts w:ascii="黑体" w:eastAsia="黑体" w:hAnsi="宋体" w:cs="宋体" w:hint="eastAsia"/>
          <w:bCs/>
          <w:sz w:val="32"/>
          <w:szCs w:val="32"/>
        </w:rPr>
        <w:t>产品基本信息</w:t>
      </w:r>
    </w:p>
    <w:tbl>
      <w:tblPr>
        <w:tblW w:w="8375" w:type="dxa"/>
        <w:jc w:val="center"/>
        <w:tblLayout w:type="fixed"/>
        <w:tblLook w:val="04A0"/>
      </w:tblPr>
      <w:tblGrid>
        <w:gridCol w:w="2705"/>
        <w:gridCol w:w="5670"/>
      </w:tblGrid>
      <w:tr w:rsidR="00EE48D1" w:rsidTr="00821625">
        <w:trPr>
          <w:trHeight w:val="300"/>
          <w:jc w:val="center"/>
        </w:trPr>
        <w:tc>
          <w:tcPr>
            <w:tcW w:w="2705" w:type="dxa"/>
            <w:tcBorders>
              <w:top w:val="single" w:sz="8" w:space="0" w:color="auto"/>
              <w:left w:val="single" w:sz="8" w:space="0" w:color="auto"/>
              <w:bottom w:val="single" w:sz="8" w:space="0" w:color="auto"/>
              <w:right w:val="single" w:sz="8" w:space="0" w:color="auto"/>
            </w:tcBorders>
            <w:shd w:val="clear" w:color="auto" w:fill="auto"/>
            <w:vAlign w:val="center"/>
          </w:tcPr>
          <w:p w:rsidR="00EE48D1" w:rsidRDefault="00EE48D1" w:rsidP="00821625">
            <w:pPr>
              <w:widowControl/>
              <w:jc w:val="center"/>
              <w:rPr>
                <w:rFonts w:ascii="仿宋_GB2312" w:eastAsia="仿宋_GB2312" w:hAnsi="宋体" w:cs="宋体"/>
                <w:kern w:val="0"/>
                <w:sz w:val="24"/>
              </w:rPr>
            </w:pPr>
            <w:bookmarkStart w:id="0" w:name="_GoBack"/>
            <w:bookmarkEnd w:id="0"/>
            <w:r>
              <w:rPr>
                <w:rFonts w:ascii="仿宋_GB2312" w:eastAsia="仿宋_GB2312" w:hAnsi="宋体" w:cs="宋体" w:hint="eastAsia"/>
                <w:kern w:val="0"/>
                <w:sz w:val="24"/>
              </w:rPr>
              <w:t>产品名称</w:t>
            </w:r>
          </w:p>
        </w:tc>
        <w:tc>
          <w:tcPr>
            <w:tcW w:w="5670" w:type="dxa"/>
            <w:tcBorders>
              <w:top w:val="single" w:sz="8" w:space="0" w:color="auto"/>
              <w:left w:val="nil"/>
              <w:bottom w:val="single" w:sz="8" w:space="0" w:color="auto"/>
              <w:right w:val="single" w:sz="8" w:space="0" w:color="auto"/>
            </w:tcBorders>
            <w:shd w:val="clear" w:color="auto" w:fill="auto"/>
            <w:vAlign w:val="center"/>
          </w:tcPr>
          <w:p w:rsidR="00EE48D1" w:rsidRDefault="00EE48D1" w:rsidP="00821625">
            <w:pPr>
              <w:widowControl/>
              <w:rPr>
                <w:rFonts w:ascii="仿宋_GB2312" w:eastAsia="仿宋_GB2312" w:hAnsi="宋体" w:cs="宋体"/>
                <w:kern w:val="0"/>
                <w:sz w:val="22"/>
              </w:rPr>
            </w:pPr>
            <w:r>
              <w:rPr>
                <w:rFonts w:ascii="仿宋_GB2312" w:eastAsia="仿宋_GB2312" w:hAnsi="宋体" w:cs="宋体" w:hint="eastAsia"/>
                <w:kern w:val="0"/>
                <w:sz w:val="22"/>
              </w:rPr>
              <w:t>紫金农商银行个人结构性存款2025034期</w:t>
            </w:r>
          </w:p>
        </w:tc>
      </w:tr>
      <w:tr w:rsidR="00EE48D1" w:rsidTr="00821625">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EE48D1" w:rsidRDefault="00EE48D1" w:rsidP="00821625">
            <w:pPr>
              <w:widowControl/>
              <w:jc w:val="center"/>
              <w:rPr>
                <w:rFonts w:ascii="仿宋_GB2312" w:eastAsia="仿宋_GB2312" w:hAnsi="宋体" w:cs="宋体"/>
                <w:kern w:val="0"/>
                <w:sz w:val="24"/>
              </w:rPr>
            </w:pPr>
            <w:r>
              <w:rPr>
                <w:rFonts w:ascii="仿宋_GB2312" w:eastAsia="仿宋_GB2312" w:hAnsi="宋体" w:cs="宋体" w:hint="eastAsia"/>
                <w:kern w:val="0"/>
                <w:sz w:val="24"/>
              </w:rPr>
              <w:t>产品代码</w:t>
            </w:r>
          </w:p>
        </w:tc>
        <w:tc>
          <w:tcPr>
            <w:tcW w:w="5670" w:type="dxa"/>
            <w:tcBorders>
              <w:top w:val="nil"/>
              <w:left w:val="nil"/>
              <w:bottom w:val="single" w:sz="8" w:space="0" w:color="auto"/>
              <w:right w:val="single" w:sz="8" w:space="0" w:color="auto"/>
            </w:tcBorders>
            <w:shd w:val="clear" w:color="auto" w:fill="auto"/>
            <w:vAlign w:val="center"/>
          </w:tcPr>
          <w:p w:rsidR="00EE48D1" w:rsidRDefault="00EE48D1" w:rsidP="00821625">
            <w:pPr>
              <w:widowControl/>
              <w:rPr>
                <w:rFonts w:ascii="仿宋_GB2312" w:eastAsia="仿宋_GB2312" w:hAnsi="宋体" w:cs="宋体"/>
                <w:kern w:val="0"/>
                <w:sz w:val="22"/>
              </w:rPr>
            </w:pPr>
            <w:r>
              <w:rPr>
                <w:rFonts w:ascii="仿宋_GB2312" w:eastAsia="仿宋_GB2312" w:hAnsi="宋体" w:cs="宋体" w:hint="eastAsia"/>
                <w:kern w:val="0"/>
                <w:sz w:val="22"/>
              </w:rPr>
              <w:t>0112500034</w:t>
            </w:r>
          </w:p>
        </w:tc>
      </w:tr>
      <w:tr w:rsidR="00EE48D1" w:rsidTr="00821625">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EE48D1" w:rsidRDefault="00EE48D1" w:rsidP="00821625">
            <w:pPr>
              <w:widowControl/>
              <w:jc w:val="center"/>
              <w:rPr>
                <w:rFonts w:ascii="仿宋_GB2312" w:eastAsia="仿宋_GB2312" w:hAnsi="宋体" w:cs="宋体"/>
                <w:kern w:val="0"/>
                <w:sz w:val="24"/>
              </w:rPr>
            </w:pPr>
            <w:r>
              <w:rPr>
                <w:rFonts w:ascii="仿宋_GB2312" w:eastAsia="仿宋_GB2312" w:hAnsi="宋体" w:cs="宋体" w:hint="eastAsia"/>
                <w:kern w:val="0"/>
                <w:sz w:val="24"/>
              </w:rPr>
              <w:t>适合客户</w:t>
            </w:r>
          </w:p>
        </w:tc>
        <w:tc>
          <w:tcPr>
            <w:tcW w:w="5670" w:type="dxa"/>
            <w:tcBorders>
              <w:top w:val="nil"/>
              <w:left w:val="nil"/>
              <w:bottom w:val="single" w:sz="8" w:space="0" w:color="auto"/>
              <w:right w:val="single" w:sz="8" w:space="0" w:color="auto"/>
            </w:tcBorders>
            <w:shd w:val="clear" w:color="auto" w:fill="auto"/>
            <w:vAlign w:val="center"/>
          </w:tcPr>
          <w:p w:rsidR="00EE48D1" w:rsidRDefault="00EE48D1" w:rsidP="00821625">
            <w:pPr>
              <w:widowControl/>
              <w:rPr>
                <w:rFonts w:ascii="仿宋_GB2312" w:eastAsia="仿宋_GB2312" w:hAnsi="宋体" w:cs="宋体"/>
                <w:kern w:val="0"/>
                <w:sz w:val="22"/>
              </w:rPr>
            </w:pPr>
            <w:r>
              <w:rPr>
                <w:rFonts w:ascii="仿宋_GB2312" w:eastAsia="仿宋_GB2312" w:hAnsi="宋体" w:cs="宋体" w:hint="eastAsia"/>
                <w:kern w:val="0"/>
                <w:sz w:val="22"/>
              </w:rPr>
              <w:t>风险评级为低、中低、中等、中高、高</w:t>
            </w:r>
            <w:r>
              <w:rPr>
                <w:rFonts w:ascii="仿宋_GB2312" w:eastAsia="仿宋_GB2312" w:hAnsi="宋体" w:cs="宋体" w:hint="eastAsia"/>
                <w:kern w:val="0"/>
                <w:sz w:val="22"/>
                <w:u w:val="single"/>
              </w:rPr>
              <w:t>的客户</w:t>
            </w:r>
          </w:p>
        </w:tc>
      </w:tr>
      <w:tr w:rsidR="00EE48D1" w:rsidTr="00821625">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EE48D1" w:rsidRDefault="00EE48D1" w:rsidP="00821625">
            <w:pPr>
              <w:widowControl/>
              <w:jc w:val="center"/>
              <w:rPr>
                <w:rFonts w:ascii="仿宋_GB2312" w:eastAsia="仿宋_GB2312" w:hAnsi="宋体" w:cs="宋体"/>
                <w:kern w:val="0"/>
                <w:sz w:val="24"/>
              </w:rPr>
            </w:pPr>
            <w:r>
              <w:rPr>
                <w:rFonts w:ascii="仿宋_GB2312" w:eastAsia="仿宋_GB2312" w:hAnsi="宋体" w:cs="宋体" w:hint="eastAsia"/>
                <w:kern w:val="0"/>
                <w:sz w:val="24"/>
              </w:rPr>
              <w:t>存款期限</w:t>
            </w:r>
          </w:p>
        </w:tc>
        <w:tc>
          <w:tcPr>
            <w:tcW w:w="5670" w:type="dxa"/>
            <w:tcBorders>
              <w:top w:val="nil"/>
              <w:left w:val="nil"/>
              <w:bottom w:val="single" w:sz="8" w:space="0" w:color="auto"/>
              <w:right w:val="single" w:sz="8" w:space="0" w:color="auto"/>
            </w:tcBorders>
            <w:shd w:val="clear" w:color="auto" w:fill="auto"/>
            <w:vAlign w:val="center"/>
          </w:tcPr>
          <w:p w:rsidR="00EE48D1" w:rsidRDefault="00EE48D1" w:rsidP="00821625">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180天</w:t>
            </w:r>
          </w:p>
        </w:tc>
      </w:tr>
      <w:tr w:rsidR="00EE48D1" w:rsidTr="00821625">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EE48D1" w:rsidRDefault="00EE48D1" w:rsidP="00821625">
            <w:pPr>
              <w:widowControl/>
              <w:jc w:val="center"/>
              <w:rPr>
                <w:rFonts w:ascii="仿宋_GB2312" w:eastAsia="仿宋_GB2312" w:hAnsi="宋体" w:cs="宋体"/>
                <w:kern w:val="0"/>
                <w:sz w:val="24"/>
              </w:rPr>
            </w:pPr>
            <w:r>
              <w:rPr>
                <w:rFonts w:ascii="仿宋_GB2312" w:eastAsia="仿宋_GB2312" w:hAnsi="宋体" w:cs="宋体" w:hint="eastAsia"/>
                <w:kern w:val="0"/>
                <w:sz w:val="24"/>
              </w:rPr>
              <w:t>本金及收益币种</w:t>
            </w:r>
          </w:p>
        </w:tc>
        <w:tc>
          <w:tcPr>
            <w:tcW w:w="5670" w:type="dxa"/>
            <w:tcBorders>
              <w:top w:val="nil"/>
              <w:left w:val="nil"/>
              <w:bottom w:val="single" w:sz="8" w:space="0" w:color="auto"/>
              <w:right w:val="single" w:sz="8" w:space="0" w:color="auto"/>
            </w:tcBorders>
            <w:shd w:val="clear" w:color="auto" w:fill="auto"/>
            <w:vAlign w:val="center"/>
          </w:tcPr>
          <w:p w:rsidR="00EE48D1" w:rsidRDefault="00EE48D1" w:rsidP="00821625">
            <w:pPr>
              <w:widowControl/>
              <w:rPr>
                <w:rFonts w:ascii="仿宋_GB2312" w:eastAsia="仿宋_GB2312" w:hAnsi="宋体" w:cs="宋体"/>
                <w:kern w:val="0"/>
                <w:sz w:val="22"/>
              </w:rPr>
            </w:pPr>
            <w:r>
              <w:rPr>
                <w:rFonts w:ascii="仿宋_GB2312" w:eastAsia="仿宋_GB2312" w:hAnsi="宋体" w:cs="宋体" w:hint="eastAsia"/>
                <w:kern w:val="0"/>
                <w:sz w:val="22"/>
              </w:rPr>
              <w:t>人民币</w:t>
            </w:r>
          </w:p>
        </w:tc>
      </w:tr>
      <w:tr w:rsidR="00EE48D1" w:rsidTr="00821625">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EE48D1" w:rsidRDefault="00EE48D1" w:rsidP="00821625">
            <w:pPr>
              <w:widowControl/>
              <w:jc w:val="center"/>
              <w:rPr>
                <w:rFonts w:ascii="仿宋_GB2312" w:eastAsia="仿宋_GB2312" w:hAnsi="宋体" w:cs="宋体"/>
                <w:kern w:val="0"/>
                <w:sz w:val="24"/>
              </w:rPr>
            </w:pPr>
            <w:r>
              <w:rPr>
                <w:rFonts w:ascii="仿宋_GB2312" w:eastAsia="仿宋_GB2312" w:hAnsi="宋体" w:cs="宋体" w:hint="eastAsia"/>
                <w:kern w:val="0"/>
                <w:sz w:val="24"/>
              </w:rPr>
              <w:t>起存金额</w:t>
            </w:r>
          </w:p>
        </w:tc>
        <w:tc>
          <w:tcPr>
            <w:tcW w:w="5670" w:type="dxa"/>
            <w:tcBorders>
              <w:top w:val="nil"/>
              <w:left w:val="nil"/>
              <w:bottom w:val="single" w:sz="8" w:space="0" w:color="auto"/>
              <w:right w:val="single" w:sz="8" w:space="0" w:color="auto"/>
            </w:tcBorders>
            <w:shd w:val="clear" w:color="auto" w:fill="auto"/>
            <w:vAlign w:val="center"/>
          </w:tcPr>
          <w:p w:rsidR="00EE48D1" w:rsidRDefault="00EE48D1" w:rsidP="00821625">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个人客户1万元人民币</w:t>
            </w:r>
          </w:p>
        </w:tc>
      </w:tr>
      <w:tr w:rsidR="00EE48D1" w:rsidTr="00821625">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EE48D1" w:rsidRDefault="00EE48D1" w:rsidP="00821625">
            <w:pPr>
              <w:widowControl/>
              <w:jc w:val="center"/>
              <w:rPr>
                <w:rFonts w:ascii="仿宋_GB2312" w:eastAsia="仿宋_GB2312" w:hAnsi="宋体" w:cs="宋体"/>
                <w:kern w:val="0"/>
                <w:sz w:val="24"/>
              </w:rPr>
            </w:pPr>
            <w:r>
              <w:rPr>
                <w:rFonts w:ascii="仿宋_GB2312" w:eastAsia="仿宋_GB2312" w:hAnsi="宋体" w:cs="宋体" w:hint="eastAsia"/>
                <w:kern w:val="0"/>
                <w:sz w:val="24"/>
              </w:rPr>
              <w:t>递增金额</w:t>
            </w:r>
          </w:p>
        </w:tc>
        <w:tc>
          <w:tcPr>
            <w:tcW w:w="5670" w:type="dxa"/>
            <w:tcBorders>
              <w:top w:val="nil"/>
              <w:left w:val="nil"/>
              <w:bottom w:val="single" w:sz="8" w:space="0" w:color="auto"/>
              <w:right w:val="single" w:sz="8" w:space="0" w:color="auto"/>
            </w:tcBorders>
            <w:shd w:val="clear" w:color="auto" w:fill="auto"/>
            <w:vAlign w:val="center"/>
          </w:tcPr>
          <w:p w:rsidR="00EE48D1" w:rsidRDefault="00EE48D1" w:rsidP="00821625">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1000元人民币</w:t>
            </w:r>
          </w:p>
        </w:tc>
      </w:tr>
      <w:tr w:rsidR="00EE48D1" w:rsidTr="00821625">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EE48D1" w:rsidRDefault="00EE48D1" w:rsidP="00821625">
            <w:pPr>
              <w:widowControl/>
              <w:jc w:val="center"/>
              <w:rPr>
                <w:rFonts w:ascii="仿宋_GB2312" w:eastAsia="仿宋_GB2312" w:hAnsi="宋体" w:cs="宋体"/>
                <w:b/>
                <w:kern w:val="0"/>
                <w:sz w:val="24"/>
              </w:rPr>
            </w:pPr>
            <w:r>
              <w:rPr>
                <w:rFonts w:ascii="仿宋_GB2312" w:eastAsia="仿宋_GB2312" w:hAnsi="宋体" w:cs="宋体" w:hint="eastAsia"/>
                <w:b/>
                <w:kern w:val="0"/>
                <w:sz w:val="24"/>
              </w:rPr>
              <w:t>认购期</w:t>
            </w:r>
          </w:p>
        </w:tc>
        <w:tc>
          <w:tcPr>
            <w:tcW w:w="5670" w:type="dxa"/>
            <w:tcBorders>
              <w:top w:val="nil"/>
              <w:left w:val="nil"/>
              <w:bottom w:val="single" w:sz="8" w:space="0" w:color="auto"/>
              <w:right w:val="single" w:sz="8" w:space="0" w:color="auto"/>
            </w:tcBorders>
            <w:shd w:val="clear" w:color="auto" w:fill="auto"/>
            <w:vAlign w:val="center"/>
          </w:tcPr>
          <w:p w:rsidR="00EE48D1" w:rsidRDefault="00EE48D1" w:rsidP="00821625">
            <w:pPr>
              <w:widowControl/>
              <w:rPr>
                <w:rFonts w:ascii="仿宋_GB2312" w:eastAsia="仿宋_GB2312" w:hAnsi="宋体" w:cs="宋体"/>
                <w:b/>
                <w:kern w:val="0"/>
                <w:sz w:val="24"/>
              </w:rPr>
            </w:pPr>
            <w:r>
              <w:rPr>
                <w:rFonts w:ascii="仿宋_GB2312" w:eastAsia="仿宋_GB2312" w:hAnsi="宋体" w:cs="宋体" w:hint="eastAsia"/>
                <w:b/>
                <w:kern w:val="0"/>
                <w:sz w:val="24"/>
              </w:rPr>
              <w:t>2025年3月17日14:00—2025年3月24日14:00</w:t>
            </w:r>
          </w:p>
        </w:tc>
      </w:tr>
      <w:tr w:rsidR="00EE48D1" w:rsidTr="00821625">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EE48D1" w:rsidRDefault="00EE48D1" w:rsidP="00821625">
            <w:pPr>
              <w:widowControl/>
              <w:jc w:val="center"/>
              <w:rPr>
                <w:rFonts w:ascii="仿宋_GB2312" w:eastAsia="仿宋_GB2312" w:hAnsi="宋体" w:cs="宋体"/>
                <w:b/>
                <w:kern w:val="0"/>
                <w:sz w:val="24"/>
              </w:rPr>
            </w:pPr>
            <w:r>
              <w:rPr>
                <w:rFonts w:ascii="仿宋_GB2312" w:eastAsia="仿宋_GB2312" w:hAnsi="宋体" w:cs="宋体" w:hint="eastAsia"/>
                <w:b/>
                <w:kern w:val="0"/>
                <w:sz w:val="24"/>
              </w:rPr>
              <w:t>起息日</w:t>
            </w:r>
          </w:p>
        </w:tc>
        <w:tc>
          <w:tcPr>
            <w:tcW w:w="5670" w:type="dxa"/>
            <w:tcBorders>
              <w:top w:val="nil"/>
              <w:left w:val="nil"/>
              <w:bottom w:val="single" w:sz="8" w:space="0" w:color="auto"/>
              <w:right w:val="single" w:sz="8" w:space="0" w:color="auto"/>
            </w:tcBorders>
            <w:shd w:val="clear" w:color="auto" w:fill="auto"/>
            <w:vAlign w:val="center"/>
          </w:tcPr>
          <w:p w:rsidR="00EE48D1" w:rsidRDefault="00EE48D1" w:rsidP="00821625">
            <w:pPr>
              <w:widowControl/>
              <w:rPr>
                <w:rFonts w:ascii="仿宋_GB2312" w:eastAsia="仿宋_GB2312" w:hAnsi="宋体" w:cs="宋体"/>
                <w:b/>
                <w:kern w:val="0"/>
                <w:sz w:val="24"/>
              </w:rPr>
            </w:pPr>
            <w:r>
              <w:rPr>
                <w:rFonts w:ascii="仿宋_GB2312" w:eastAsia="仿宋_GB2312" w:hAnsi="宋体" w:cs="宋体" w:hint="eastAsia"/>
                <w:b/>
                <w:kern w:val="0"/>
                <w:sz w:val="24"/>
              </w:rPr>
              <w:t>2025年3月26日</w:t>
            </w:r>
          </w:p>
        </w:tc>
      </w:tr>
      <w:tr w:rsidR="00EE48D1" w:rsidTr="00821625">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EE48D1" w:rsidRDefault="00EE48D1" w:rsidP="00821625">
            <w:pPr>
              <w:widowControl/>
              <w:jc w:val="center"/>
              <w:rPr>
                <w:rFonts w:ascii="仿宋_GB2312" w:eastAsia="仿宋_GB2312" w:hAnsi="宋体" w:cs="宋体"/>
                <w:kern w:val="0"/>
                <w:sz w:val="24"/>
              </w:rPr>
            </w:pPr>
            <w:r>
              <w:rPr>
                <w:rFonts w:ascii="仿宋_GB2312" w:eastAsia="仿宋_GB2312" w:hAnsi="宋体" w:cs="宋体" w:hint="eastAsia"/>
                <w:kern w:val="0"/>
                <w:sz w:val="24"/>
              </w:rPr>
              <w:t>到期日</w:t>
            </w:r>
          </w:p>
        </w:tc>
        <w:tc>
          <w:tcPr>
            <w:tcW w:w="5670" w:type="dxa"/>
            <w:tcBorders>
              <w:top w:val="nil"/>
              <w:left w:val="nil"/>
              <w:bottom w:val="single" w:sz="8" w:space="0" w:color="auto"/>
              <w:right w:val="single" w:sz="8" w:space="0" w:color="auto"/>
            </w:tcBorders>
            <w:shd w:val="clear" w:color="auto" w:fill="auto"/>
            <w:vAlign w:val="center"/>
          </w:tcPr>
          <w:p w:rsidR="00EE48D1" w:rsidRDefault="00EE48D1" w:rsidP="00821625">
            <w:pPr>
              <w:widowControl/>
              <w:rPr>
                <w:rFonts w:ascii="仿宋_GB2312" w:eastAsia="仿宋_GB2312" w:hAnsi="宋体" w:cs="宋体"/>
                <w:kern w:val="0"/>
                <w:sz w:val="22"/>
              </w:rPr>
            </w:pPr>
            <w:r>
              <w:rPr>
                <w:rFonts w:ascii="仿宋_GB2312" w:eastAsia="仿宋_GB2312" w:hAnsi="宋体" w:cs="宋体" w:hint="eastAsia"/>
                <w:kern w:val="0"/>
                <w:sz w:val="22"/>
              </w:rPr>
              <w:t>2025年9月22日</w:t>
            </w:r>
          </w:p>
        </w:tc>
      </w:tr>
      <w:tr w:rsidR="00EE48D1" w:rsidTr="00821625">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EE48D1" w:rsidRDefault="00EE48D1" w:rsidP="00821625">
            <w:pPr>
              <w:widowControl/>
              <w:jc w:val="center"/>
              <w:rPr>
                <w:rFonts w:ascii="仿宋_GB2312" w:eastAsia="仿宋_GB2312" w:hAnsi="宋体" w:cs="宋体"/>
                <w:kern w:val="0"/>
                <w:sz w:val="24"/>
              </w:rPr>
            </w:pPr>
            <w:r>
              <w:rPr>
                <w:rFonts w:ascii="仿宋_GB2312" w:eastAsia="仿宋_GB2312" w:hAnsi="宋体" w:cs="宋体" w:hint="eastAsia"/>
                <w:kern w:val="0"/>
                <w:sz w:val="24"/>
              </w:rPr>
              <w:t>挂钩标的</w:t>
            </w:r>
          </w:p>
        </w:tc>
        <w:tc>
          <w:tcPr>
            <w:tcW w:w="5670" w:type="dxa"/>
            <w:tcBorders>
              <w:top w:val="nil"/>
              <w:left w:val="nil"/>
              <w:bottom w:val="single" w:sz="8" w:space="0" w:color="auto"/>
              <w:right w:val="single" w:sz="8" w:space="0" w:color="auto"/>
            </w:tcBorders>
            <w:shd w:val="clear" w:color="auto" w:fill="auto"/>
            <w:vAlign w:val="center"/>
          </w:tcPr>
          <w:p w:rsidR="00EE48D1" w:rsidRDefault="00EE48D1" w:rsidP="00821625">
            <w:pPr>
              <w:widowControl/>
              <w:rPr>
                <w:rFonts w:ascii="仿宋_GB2312" w:eastAsia="仿宋_GB2312" w:hAnsi="宋体" w:cs="宋体"/>
                <w:color w:val="FF0000"/>
                <w:kern w:val="0"/>
                <w:sz w:val="22"/>
              </w:rPr>
            </w:pPr>
            <w:r>
              <w:rPr>
                <w:rFonts w:ascii="楷体_GB2312" w:eastAsia="楷体_GB2312" w:hint="eastAsia"/>
                <w:color w:val="FF0000"/>
                <w:sz w:val="22"/>
                <w:szCs w:val="22"/>
              </w:rPr>
              <w:t>中债10Y国债到期收益率</w:t>
            </w:r>
          </w:p>
        </w:tc>
      </w:tr>
      <w:tr w:rsidR="00EE48D1" w:rsidTr="00821625">
        <w:trPr>
          <w:trHeight w:val="1725"/>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EE48D1" w:rsidRDefault="00EE48D1" w:rsidP="00821625">
            <w:pPr>
              <w:widowControl/>
              <w:jc w:val="center"/>
              <w:rPr>
                <w:rFonts w:ascii="仿宋_GB2312" w:eastAsia="仿宋_GB2312" w:hAnsi="宋体" w:cs="宋体"/>
                <w:kern w:val="0"/>
                <w:sz w:val="24"/>
              </w:rPr>
            </w:pPr>
            <w:r>
              <w:rPr>
                <w:rFonts w:ascii="仿宋_GB2312" w:eastAsia="仿宋_GB2312" w:hAnsi="宋体" w:cs="宋体" w:hint="eastAsia"/>
                <w:kern w:val="0"/>
                <w:sz w:val="24"/>
              </w:rPr>
              <w:t>本金及收益</w:t>
            </w:r>
          </w:p>
        </w:tc>
        <w:tc>
          <w:tcPr>
            <w:tcW w:w="5670" w:type="dxa"/>
            <w:tcBorders>
              <w:top w:val="nil"/>
              <w:left w:val="nil"/>
              <w:bottom w:val="single" w:sz="8" w:space="0" w:color="auto"/>
              <w:right w:val="single" w:sz="8" w:space="0" w:color="auto"/>
            </w:tcBorders>
            <w:shd w:val="clear" w:color="auto" w:fill="auto"/>
            <w:vAlign w:val="center"/>
          </w:tcPr>
          <w:p w:rsidR="00EE48D1" w:rsidRDefault="00EE48D1" w:rsidP="00821625">
            <w:pPr>
              <w:rPr>
                <w:rFonts w:ascii="仿宋_GB2312" w:eastAsia="仿宋_GB2312"/>
                <w:sz w:val="22"/>
                <w:szCs w:val="28"/>
              </w:rPr>
            </w:pPr>
            <w:r>
              <w:rPr>
                <w:rFonts w:ascii="仿宋_GB2312" w:eastAsia="仿宋_GB2312" w:hint="eastAsia"/>
                <w:b/>
                <w:bCs/>
                <w:sz w:val="22"/>
                <w:szCs w:val="28"/>
              </w:rPr>
              <w:t>预期年化收益率</w:t>
            </w:r>
            <w:r>
              <w:rPr>
                <w:rFonts w:ascii="仿宋_GB2312" w:eastAsia="仿宋_GB2312" w:hint="eastAsia"/>
                <w:sz w:val="22"/>
                <w:szCs w:val="28"/>
              </w:rPr>
              <w:t>：1.45</w:t>
            </w:r>
            <w:r>
              <w:rPr>
                <w:rFonts w:ascii="仿宋_GB2312" w:eastAsia="仿宋_GB2312"/>
                <w:sz w:val="22"/>
                <w:szCs w:val="28"/>
              </w:rPr>
              <w:t>%或</w:t>
            </w:r>
            <w:r>
              <w:rPr>
                <w:rFonts w:ascii="仿宋_GB2312" w:eastAsia="仿宋_GB2312" w:hint="eastAsia"/>
                <w:sz w:val="22"/>
                <w:szCs w:val="28"/>
              </w:rPr>
              <w:t>1.95%或2.15</w:t>
            </w:r>
            <w:r>
              <w:rPr>
                <w:rFonts w:ascii="仿宋_GB2312" w:eastAsia="仿宋_GB2312"/>
                <w:sz w:val="22"/>
                <w:szCs w:val="28"/>
              </w:rPr>
              <w:t>%</w:t>
            </w:r>
            <w:r>
              <w:rPr>
                <w:rFonts w:ascii="仿宋_GB2312" w:eastAsia="仿宋_GB2312" w:hint="eastAsia"/>
                <w:sz w:val="22"/>
                <w:szCs w:val="28"/>
              </w:rPr>
              <w:t>。</w:t>
            </w:r>
          </w:p>
          <w:p w:rsidR="00EE48D1" w:rsidRDefault="00EE48D1" w:rsidP="00821625">
            <w:pPr>
              <w:rPr>
                <w:rFonts w:ascii="仿宋_GB2312" w:eastAsia="仿宋_GB2312" w:hAnsi="宋体" w:cs="宋体"/>
                <w:kern w:val="0"/>
                <w:sz w:val="22"/>
              </w:rPr>
            </w:pPr>
            <w:r>
              <w:rPr>
                <w:rFonts w:ascii="仿宋_GB2312" w:eastAsia="仿宋_GB2312" w:hAnsi="宋体" w:cs="宋体" w:hint="eastAsia"/>
                <w:kern w:val="0"/>
                <w:sz w:val="22"/>
              </w:rPr>
              <w:t>若期末观察日挂钩标的价格大于【起息日挂钩标的价格+71BP】，则到期收益率为1.45%；</w:t>
            </w:r>
          </w:p>
          <w:p w:rsidR="00EE48D1" w:rsidRDefault="00EE48D1" w:rsidP="00821625">
            <w:pPr>
              <w:rPr>
                <w:rFonts w:ascii="仿宋_GB2312" w:eastAsia="仿宋_GB2312" w:hAnsi="宋体" w:cs="宋体"/>
                <w:kern w:val="0"/>
                <w:sz w:val="22"/>
              </w:rPr>
            </w:pPr>
            <w:r>
              <w:rPr>
                <w:rFonts w:ascii="仿宋_GB2312" w:eastAsia="仿宋_GB2312" w:hAnsi="宋体" w:cs="宋体" w:hint="eastAsia"/>
                <w:kern w:val="0"/>
                <w:sz w:val="22"/>
              </w:rPr>
              <w:t>若期末观察日挂钩标的价格大于【起息日挂钩标的价格-24.5BP】且小于或等于【起息日挂钩标的价格+71BP】,则到期收益率为1.95%;</w:t>
            </w:r>
          </w:p>
          <w:p w:rsidR="00EE48D1" w:rsidRDefault="00EE48D1" w:rsidP="00821625">
            <w:pPr>
              <w:rPr>
                <w:rFonts w:ascii="仿宋_GB2312" w:eastAsia="仿宋_GB2312" w:hAnsi="宋体" w:cs="宋体"/>
                <w:kern w:val="0"/>
                <w:sz w:val="22"/>
              </w:rPr>
            </w:pPr>
            <w:r>
              <w:rPr>
                <w:rFonts w:ascii="仿宋_GB2312" w:eastAsia="仿宋_GB2312" w:hAnsi="宋体" w:cs="宋体" w:hint="eastAsia"/>
                <w:kern w:val="0"/>
                <w:sz w:val="22"/>
              </w:rPr>
              <w:t>若期末观察日挂钩标的价格小于或等于【起息日挂钩标的价格-24.5BP】,则到期收益率为2.15%。</w:t>
            </w:r>
          </w:p>
          <w:p w:rsidR="00EE48D1" w:rsidRDefault="00EE48D1" w:rsidP="00821625">
            <w:pPr>
              <w:jc w:val="left"/>
              <w:rPr>
                <w:rFonts w:ascii="仿宋_GB2312" w:eastAsia="仿宋_GB2312"/>
                <w:b/>
                <w:bCs/>
                <w:sz w:val="22"/>
                <w:szCs w:val="28"/>
              </w:rPr>
            </w:pPr>
            <w:r>
              <w:rPr>
                <w:rFonts w:ascii="仿宋_GB2312" w:eastAsia="仿宋_GB2312" w:hint="eastAsia"/>
                <w:b/>
                <w:bCs/>
                <w:sz w:val="22"/>
                <w:szCs w:val="28"/>
              </w:rPr>
              <w:t>期末观察日</w:t>
            </w:r>
            <w:r>
              <w:rPr>
                <w:rFonts w:ascii="仿宋_GB2312" w:eastAsia="仿宋_GB2312" w:hint="eastAsia"/>
                <w:sz w:val="22"/>
                <w:szCs w:val="28"/>
              </w:rPr>
              <w:t>为产品到期日前二个北京工作日。</w:t>
            </w:r>
          </w:p>
          <w:p w:rsidR="00EE48D1" w:rsidRDefault="00EE48D1" w:rsidP="00821625">
            <w:pPr>
              <w:jc w:val="left"/>
              <w:rPr>
                <w:rFonts w:ascii="仿宋_GB2312" w:eastAsia="仿宋_GB2312"/>
                <w:sz w:val="22"/>
                <w:szCs w:val="28"/>
              </w:rPr>
            </w:pPr>
            <w:r>
              <w:rPr>
                <w:rFonts w:ascii="仿宋_GB2312" w:eastAsia="仿宋_GB2312" w:hint="eastAsia"/>
                <w:b/>
                <w:bCs/>
                <w:sz w:val="22"/>
                <w:szCs w:val="28"/>
              </w:rPr>
              <w:t>挂钩标的价格</w:t>
            </w:r>
            <w:r>
              <w:rPr>
                <w:rFonts w:ascii="仿宋_GB2312" w:eastAsia="仿宋_GB2312" w:hint="eastAsia"/>
                <w:sz w:val="22"/>
                <w:szCs w:val="28"/>
              </w:rPr>
              <w:t>指在任一观察日中国债券信息网（http://www.chinabond.com.cn/）公布的中债国债收益率曲线（到期），待偿期（10.0Y）的收益率。观察日为交</w:t>
            </w:r>
            <w:r>
              <w:rPr>
                <w:rFonts w:ascii="仿宋_GB2312" w:eastAsia="仿宋_GB2312" w:hint="eastAsia"/>
                <w:sz w:val="22"/>
                <w:szCs w:val="28"/>
              </w:rPr>
              <w:lastRenderedPageBreak/>
              <w:t xml:space="preserve">易日但无法从上述页面获得该利率，则使用可获得该利率的最近一个观察日的挂钩标的利率，作为该观察日挂钩标的的利率。   </w:t>
            </w:r>
          </w:p>
        </w:tc>
      </w:tr>
      <w:tr w:rsidR="00EE48D1" w:rsidTr="00821625">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EE48D1" w:rsidRDefault="00EE48D1" w:rsidP="00821625">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产品规模下限</w:t>
            </w:r>
          </w:p>
        </w:tc>
        <w:tc>
          <w:tcPr>
            <w:tcW w:w="5670" w:type="dxa"/>
            <w:tcBorders>
              <w:top w:val="nil"/>
              <w:left w:val="nil"/>
              <w:bottom w:val="single" w:sz="8" w:space="0" w:color="auto"/>
              <w:right w:val="single" w:sz="8" w:space="0" w:color="auto"/>
            </w:tcBorders>
            <w:shd w:val="clear" w:color="auto" w:fill="auto"/>
            <w:vAlign w:val="center"/>
          </w:tcPr>
          <w:p w:rsidR="00EE48D1" w:rsidRDefault="00EE48D1" w:rsidP="00821625">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10万元人民币</w:t>
            </w:r>
          </w:p>
        </w:tc>
      </w:tr>
      <w:tr w:rsidR="00EE48D1" w:rsidTr="00821625">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EE48D1" w:rsidRDefault="00EE48D1" w:rsidP="00821625">
            <w:pPr>
              <w:widowControl/>
              <w:jc w:val="center"/>
              <w:rPr>
                <w:rFonts w:ascii="仿宋_GB2312" w:eastAsia="仿宋_GB2312" w:hAnsi="宋体" w:cs="宋体"/>
                <w:kern w:val="0"/>
                <w:sz w:val="24"/>
              </w:rPr>
            </w:pPr>
            <w:r>
              <w:rPr>
                <w:rFonts w:ascii="仿宋_GB2312" w:eastAsia="仿宋_GB2312" w:hAnsi="宋体" w:cs="宋体" w:hint="eastAsia"/>
                <w:kern w:val="0"/>
                <w:sz w:val="24"/>
              </w:rPr>
              <w:t>产品规模上限</w:t>
            </w:r>
          </w:p>
        </w:tc>
        <w:tc>
          <w:tcPr>
            <w:tcW w:w="5670" w:type="dxa"/>
            <w:tcBorders>
              <w:top w:val="nil"/>
              <w:left w:val="nil"/>
              <w:bottom w:val="single" w:sz="8" w:space="0" w:color="auto"/>
              <w:right w:val="single" w:sz="8" w:space="0" w:color="auto"/>
            </w:tcBorders>
            <w:shd w:val="clear" w:color="auto" w:fill="auto"/>
            <w:vAlign w:val="center"/>
          </w:tcPr>
          <w:p w:rsidR="00EE48D1" w:rsidRDefault="00EE48D1" w:rsidP="00821625">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20000万元人民币</w:t>
            </w:r>
          </w:p>
        </w:tc>
      </w:tr>
      <w:tr w:rsidR="00EE48D1" w:rsidTr="00821625">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EE48D1" w:rsidRDefault="00EE48D1" w:rsidP="00821625">
            <w:pPr>
              <w:widowControl/>
              <w:jc w:val="center"/>
              <w:rPr>
                <w:rFonts w:ascii="仿宋_GB2312" w:eastAsia="仿宋_GB2312" w:hAnsi="宋体" w:cs="宋体"/>
                <w:kern w:val="0"/>
                <w:sz w:val="24"/>
              </w:rPr>
            </w:pPr>
            <w:r>
              <w:rPr>
                <w:rFonts w:ascii="仿宋_GB2312" w:eastAsia="仿宋_GB2312" w:hAnsi="宋体" w:cs="宋体" w:hint="eastAsia"/>
                <w:kern w:val="0"/>
                <w:sz w:val="24"/>
              </w:rPr>
              <w:t>提前终止条款</w:t>
            </w:r>
          </w:p>
        </w:tc>
        <w:tc>
          <w:tcPr>
            <w:tcW w:w="5670" w:type="dxa"/>
            <w:tcBorders>
              <w:top w:val="nil"/>
              <w:left w:val="nil"/>
              <w:bottom w:val="single" w:sz="8" w:space="0" w:color="auto"/>
              <w:right w:val="single" w:sz="8" w:space="0" w:color="auto"/>
            </w:tcBorders>
            <w:shd w:val="clear" w:color="auto" w:fill="auto"/>
            <w:vAlign w:val="center"/>
          </w:tcPr>
          <w:p w:rsidR="00EE48D1" w:rsidRDefault="00EE48D1" w:rsidP="00821625">
            <w:pPr>
              <w:widowControl/>
              <w:rPr>
                <w:rFonts w:ascii="仿宋_GB2312" w:eastAsia="仿宋_GB2312" w:hAnsi="宋体" w:cs="宋体"/>
                <w:kern w:val="0"/>
                <w:sz w:val="22"/>
              </w:rPr>
            </w:pPr>
            <w:r>
              <w:rPr>
                <w:rFonts w:ascii="仿宋_GB2312" w:eastAsia="仿宋_GB2312" w:hAnsi="宋体" w:cs="宋体" w:hint="eastAsia"/>
                <w:kern w:val="0"/>
                <w:sz w:val="22"/>
              </w:rPr>
              <w:t>客户无提前终止权，银行有权提前终止。</w:t>
            </w:r>
          </w:p>
        </w:tc>
      </w:tr>
      <w:tr w:rsidR="00EE48D1" w:rsidTr="00821625">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EE48D1" w:rsidRDefault="00EE48D1" w:rsidP="00821625">
            <w:pPr>
              <w:widowControl/>
              <w:jc w:val="center"/>
              <w:rPr>
                <w:rFonts w:ascii="仿宋_GB2312" w:eastAsia="仿宋_GB2312" w:hAnsi="宋体" w:cs="宋体"/>
                <w:kern w:val="0"/>
                <w:sz w:val="24"/>
              </w:rPr>
            </w:pPr>
            <w:r>
              <w:rPr>
                <w:rFonts w:ascii="仿宋_GB2312" w:eastAsia="仿宋_GB2312" w:hAnsi="宋体" w:cs="宋体" w:hint="eastAsia"/>
                <w:kern w:val="0"/>
                <w:sz w:val="24"/>
              </w:rPr>
              <w:t>工作日</w:t>
            </w:r>
          </w:p>
        </w:tc>
        <w:tc>
          <w:tcPr>
            <w:tcW w:w="5670" w:type="dxa"/>
            <w:tcBorders>
              <w:top w:val="nil"/>
              <w:left w:val="nil"/>
              <w:bottom w:val="single" w:sz="8" w:space="0" w:color="auto"/>
              <w:right w:val="single" w:sz="8" w:space="0" w:color="auto"/>
            </w:tcBorders>
            <w:shd w:val="clear" w:color="auto" w:fill="auto"/>
            <w:vAlign w:val="center"/>
          </w:tcPr>
          <w:p w:rsidR="00EE48D1" w:rsidRDefault="00EE48D1" w:rsidP="00821625">
            <w:pPr>
              <w:widowControl/>
              <w:rPr>
                <w:rFonts w:ascii="仿宋_GB2312" w:eastAsia="仿宋_GB2312" w:hAnsi="宋体" w:cs="宋体"/>
                <w:kern w:val="0"/>
                <w:sz w:val="22"/>
              </w:rPr>
            </w:pPr>
            <w:r>
              <w:rPr>
                <w:rFonts w:ascii="仿宋_GB2312" w:eastAsia="仿宋_GB2312" w:hAnsi="宋体" w:cs="宋体" w:hint="eastAsia"/>
                <w:kern w:val="0"/>
                <w:sz w:val="22"/>
              </w:rPr>
              <w:t>国家法定工作日，不含法定节假日。</w:t>
            </w:r>
          </w:p>
        </w:tc>
      </w:tr>
      <w:tr w:rsidR="00EE48D1" w:rsidTr="00821625">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EE48D1" w:rsidRDefault="00EE48D1" w:rsidP="00821625">
            <w:pPr>
              <w:widowControl/>
              <w:jc w:val="center"/>
              <w:rPr>
                <w:rFonts w:ascii="仿宋_GB2312" w:eastAsia="仿宋_GB2312" w:hAnsi="宋体" w:cs="宋体"/>
                <w:kern w:val="0"/>
                <w:sz w:val="24"/>
              </w:rPr>
            </w:pPr>
            <w:r>
              <w:rPr>
                <w:rFonts w:ascii="仿宋_GB2312" w:eastAsia="仿宋_GB2312" w:hAnsi="宋体" w:cs="宋体" w:hint="eastAsia"/>
                <w:kern w:val="0"/>
                <w:sz w:val="24"/>
              </w:rPr>
              <w:t>是否允许质押</w:t>
            </w:r>
          </w:p>
        </w:tc>
        <w:tc>
          <w:tcPr>
            <w:tcW w:w="5670" w:type="dxa"/>
            <w:tcBorders>
              <w:top w:val="nil"/>
              <w:left w:val="nil"/>
              <w:bottom w:val="single" w:sz="8" w:space="0" w:color="auto"/>
              <w:right w:val="single" w:sz="8" w:space="0" w:color="auto"/>
            </w:tcBorders>
            <w:shd w:val="clear" w:color="auto" w:fill="auto"/>
            <w:vAlign w:val="center"/>
          </w:tcPr>
          <w:p w:rsidR="00EE48D1" w:rsidRDefault="00EE48D1" w:rsidP="00821625">
            <w:pPr>
              <w:widowControl/>
              <w:rPr>
                <w:rFonts w:ascii="仿宋_GB2312" w:eastAsia="仿宋_GB2312" w:hAnsi="宋体" w:cs="宋体"/>
                <w:kern w:val="0"/>
                <w:sz w:val="22"/>
              </w:rPr>
            </w:pPr>
            <w:r>
              <w:rPr>
                <w:rFonts w:ascii="仿宋_GB2312" w:eastAsia="仿宋_GB2312" w:hAnsi="宋体" w:cs="宋体" w:hint="eastAsia"/>
                <w:kern w:val="0"/>
                <w:sz w:val="22"/>
              </w:rPr>
              <w:t>否</w:t>
            </w:r>
          </w:p>
        </w:tc>
      </w:tr>
      <w:tr w:rsidR="00EE48D1" w:rsidTr="00821625">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EE48D1" w:rsidRDefault="00EE48D1" w:rsidP="00821625">
            <w:pPr>
              <w:widowControl/>
              <w:jc w:val="center"/>
              <w:rPr>
                <w:rFonts w:ascii="仿宋_GB2312" w:eastAsia="仿宋_GB2312" w:hAnsi="宋体" w:cs="宋体"/>
                <w:kern w:val="0"/>
                <w:sz w:val="24"/>
              </w:rPr>
            </w:pPr>
            <w:r>
              <w:rPr>
                <w:rFonts w:ascii="仿宋_GB2312" w:eastAsia="仿宋_GB2312" w:hAnsi="宋体" w:cs="宋体" w:hint="eastAsia"/>
                <w:kern w:val="0"/>
                <w:sz w:val="24"/>
              </w:rPr>
              <w:t>产品收益计算基础</w:t>
            </w:r>
          </w:p>
        </w:tc>
        <w:tc>
          <w:tcPr>
            <w:tcW w:w="5670" w:type="dxa"/>
            <w:tcBorders>
              <w:top w:val="nil"/>
              <w:left w:val="nil"/>
              <w:bottom w:val="single" w:sz="8" w:space="0" w:color="auto"/>
              <w:right w:val="single" w:sz="8" w:space="0" w:color="auto"/>
            </w:tcBorders>
            <w:shd w:val="clear" w:color="auto" w:fill="auto"/>
            <w:vAlign w:val="center"/>
          </w:tcPr>
          <w:p w:rsidR="00EE48D1" w:rsidRDefault="00EE48D1" w:rsidP="00821625">
            <w:pPr>
              <w:widowControl/>
              <w:rPr>
                <w:rFonts w:ascii="仿宋_GB2312" w:eastAsia="仿宋_GB2312" w:hAnsi="宋体" w:cs="宋体"/>
                <w:kern w:val="0"/>
                <w:sz w:val="22"/>
              </w:rPr>
            </w:pPr>
            <w:r>
              <w:rPr>
                <w:rFonts w:ascii="仿宋_GB2312" w:eastAsia="仿宋_GB2312" w:hAnsi="宋体" w:cs="宋体" w:hint="eastAsia"/>
                <w:kern w:val="0"/>
                <w:sz w:val="22"/>
              </w:rPr>
              <w:t>实际存款天数/360天</w:t>
            </w:r>
          </w:p>
        </w:tc>
      </w:tr>
      <w:tr w:rsidR="00EE48D1" w:rsidTr="00821625">
        <w:trPr>
          <w:trHeight w:val="782"/>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EE48D1" w:rsidRDefault="00EE48D1" w:rsidP="00821625">
            <w:pPr>
              <w:widowControl/>
              <w:jc w:val="center"/>
              <w:rPr>
                <w:rFonts w:ascii="仿宋_GB2312" w:eastAsia="仿宋_GB2312" w:hAnsi="宋体" w:cs="宋体"/>
                <w:kern w:val="0"/>
                <w:sz w:val="24"/>
              </w:rPr>
            </w:pPr>
            <w:r>
              <w:rPr>
                <w:rFonts w:ascii="仿宋_GB2312" w:eastAsia="仿宋_GB2312" w:hAnsi="宋体" w:cs="宋体" w:hint="eastAsia"/>
                <w:kern w:val="0"/>
                <w:sz w:val="24"/>
              </w:rPr>
              <w:t>产品本金和收益支付方式</w:t>
            </w:r>
          </w:p>
        </w:tc>
        <w:tc>
          <w:tcPr>
            <w:tcW w:w="5670" w:type="dxa"/>
            <w:tcBorders>
              <w:top w:val="nil"/>
              <w:left w:val="nil"/>
              <w:bottom w:val="single" w:sz="8" w:space="0" w:color="auto"/>
              <w:right w:val="single" w:sz="8" w:space="0" w:color="auto"/>
            </w:tcBorders>
            <w:shd w:val="clear" w:color="auto" w:fill="auto"/>
            <w:vAlign w:val="center"/>
          </w:tcPr>
          <w:p w:rsidR="00EE48D1" w:rsidRDefault="00EE48D1" w:rsidP="00821625">
            <w:pPr>
              <w:widowControl/>
              <w:rPr>
                <w:rFonts w:ascii="仿宋_GB2312" w:eastAsia="仿宋_GB2312" w:hAnsi="宋体" w:cs="宋体"/>
                <w:kern w:val="0"/>
                <w:sz w:val="22"/>
              </w:rPr>
            </w:pPr>
            <w:r>
              <w:rPr>
                <w:rFonts w:ascii="仿宋_GB2312" w:eastAsia="仿宋_GB2312" w:hAnsi="宋体" w:cs="宋体" w:hint="eastAsia"/>
                <w:kern w:val="0"/>
                <w:sz w:val="22"/>
              </w:rPr>
              <w:t>产品存续期满，本金与收益将于产品到期日后的</w:t>
            </w:r>
            <w:r>
              <w:rPr>
                <w:rFonts w:ascii="仿宋_GB2312" w:eastAsia="仿宋_GB2312" w:hAnsi="宋体" w:cs="宋体" w:hint="eastAsia"/>
                <w:kern w:val="0"/>
                <w:sz w:val="22"/>
                <w:u w:val="single"/>
              </w:rPr>
              <w:t>2个工作日内</w:t>
            </w:r>
            <w:r>
              <w:rPr>
                <w:rFonts w:ascii="仿宋_GB2312" w:eastAsia="仿宋_GB2312" w:hAnsi="宋体" w:cs="宋体" w:hint="eastAsia"/>
                <w:kern w:val="0"/>
                <w:sz w:val="22"/>
              </w:rPr>
              <w:t>一次性支付，如遇节假日，则顺延至下一个工作日，本投资周期终止日至资金到帐日间不另付利息。</w:t>
            </w:r>
          </w:p>
        </w:tc>
      </w:tr>
    </w:tbl>
    <w:p w:rsidR="00301A7D" w:rsidRDefault="006F09C1" w:rsidP="00EE48D1">
      <w:pPr>
        <w:adjustRightInd w:val="0"/>
        <w:snapToGrid w:val="0"/>
        <w:spacing w:beforeLines="50" w:line="320" w:lineRule="exact"/>
        <w:ind w:firstLineChars="200" w:firstLine="640"/>
        <w:rPr>
          <w:rFonts w:ascii="黑体" w:eastAsia="黑体" w:hAnsi="宋体" w:cs="宋体"/>
          <w:bCs/>
          <w:sz w:val="32"/>
          <w:szCs w:val="32"/>
        </w:rPr>
      </w:pPr>
      <w:r>
        <w:rPr>
          <w:rFonts w:ascii="黑体" w:eastAsia="黑体" w:hAnsi="宋体" w:cs="宋体" w:hint="eastAsia"/>
          <w:bCs/>
          <w:sz w:val="32"/>
          <w:szCs w:val="32"/>
        </w:rPr>
        <w:t>二、交易约定</w:t>
      </w:r>
    </w:p>
    <w:p w:rsidR="00301A7D" w:rsidRDefault="006F09C1">
      <w:pPr>
        <w:spacing w:line="560" w:lineRule="exact"/>
        <w:rPr>
          <w:rFonts w:ascii="仿宋_GB2312" w:eastAsia="仿宋_GB2312" w:hAnsi="宋体"/>
          <w:b/>
          <w:bCs/>
          <w:kern w:val="0"/>
          <w:sz w:val="32"/>
          <w:szCs w:val="32"/>
          <w:lang w:val="zh-CN"/>
        </w:rPr>
      </w:pPr>
      <w:r>
        <w:rPr>
          <w:rFonts w:ascii="仿宋_GB2312" w:eastAsia="仿宋_GB2312" w:hAnsi="宋体" w:hint="eastAsia"/>
          <w:b/>
          <w:bCs/>
          <w:kern w:val="0"/>
          <w:sz w:val="32"/>
          <w:szCs w:val="32"/>
        </w:rPr>
        <w:t xml:space="preserve">    2</w:t>
      </w:r>
      <w:r>
        <w:rPr>
          <w:rFonts w:ascii="仿宋_GB2312" w:eastAsia="仿宋_GB2312" w:hAnsi="宋体" w:hint="eastAsia"/>
          <w:b/>
          <w:bCs/>
          <w:kern w:val="0"/>
          <w:sz w:val="32"/>
          <w:szCs w:val="32"/>
          <w:lang w:val="zh-CN"/>
        </w:rPr>
        <w:t>.1</w:t>
      </w:r>
      <w:r>
        <w:rPr>
          <w:rFonts w:ascii="仿宋_GB2312" w:eastAsia="仿宋_GB2312" w:hAnsi="宋体" w:hint="eastAsia"/>
          <w:b/>
          <w:bCs/>
          <w:kern w:val="0"/>
          <w:sz w:val="32"/>
          <w:szCs w:val="32"/>
          <w:lang w:val="zh-CN"/>
        </w:rPr>
        <w:t>产品认购</w:t>
      </w:r>
    </w:p>
    <w:p w:rsidR="00301A7D" w:rsidRDefault="006F09C1">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2.1.1</w:t>
      </w:r>
      <w:r>
        <w:rPr>
          <w:rFonts w:ascii="仿宋_GB2312" w:eastAsia="仿宋_GB2312" w:hAnsi="宋体" w:hint="eastAsia"/>
          <w:sz w:val="32"/>
          <w:szCs w:val="32"/>
        </w:rPr>
        <w:t>客户应及时将足额认购资金划入在紫金农商银行开立的结算账户，资金划入结算账户后不得撤销，紫金农商银行确认客户足额划入资金后将该笔认购资金做冻结处理；若客户未按约定在认购期足额划入结算账户，视同其自动撤销认购本期次结构性存款；认购期间募集资金累计金额接近预期募集资金规模上限时，紫金农商银行有权酌情停止接受认购，认购期提前结束。</w:t>
      </w:r>
    </w:p>
    <w:p w:rsidR="00301A7D" w:rsidRDefault="006F09C1">
      <w:pPr>
        <w:spacing w:line="560" w:lineRule="exact"/>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2.1.2</w:t>
      </w:r>
      <w:r>
        <w:rPr>
          <w:rFonts w:ascii="仿宋_GB2312" w:eastAsia="仿宋_GB2312" w:hAnsi="宋体" w:hint="eastAsia"/>
          <w:color w:val="FF0000"/>
          <w:sz w:val="32"/>
          <w:szCs w:val="32"/>
        </w:rPr>
        <w:t>自客户签订销售文件之时起有</w:t>
      </w:r>
      <w:r>
        <w:rPr>
          <w:rFonts w:ascii="仿宋_GB2312" w:eastAsia="仿宋_GB2312" w:hAnsi="宋体" w:hint="eastAsia"/>
          <w:color w:val="FF0000"/>
          <w:sz w:val="32"/>
          <w:szCs w:val="32"/>
        </w:rPr>
        <w:t>24</w:t>
      </w:r>
      <w:r>
        <w:rPr>
          <w:rFonts w:ascii="仿宋_GB2312" w:eastAsia="仿宋_GB2312" w:hAnsi="宋体" w:hint="eastAsia"/>
          <w:color w:val="FF0000"/>
          <w:sz w:val="32"/>
          <w:szCs w:val="32"/>
        </w:rPr>
        <w:t>小时投资冷静期，在投资冷静期内，如客户改变投资决定，我行将遵从客户的意愿，解除已签订的销售文件，并退还全部投资款项。</w:t>
      </w:r>
    </w:p>
    <w:p w:rsidR="00301A7D" w:rsidRDefault="006F09C1">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2.1.3</w:t>
      </w:r>
      <w:r>
        <w:rPr>
          <w:rFonts w:ascii="仿宋_GB2312" w:eastAsia="仿宋_GB2312" w:hAnsi="宋体" w:hint="eastAsia"/>
          <w:sz w:val="32"/>
          <w:szCs w:val="32"/>
        </w:rPr>
        <w:t>认购期间</w:t>
      </w:r>
      <w:r>
        <w:rPr>
          <w:rFonts w:ascii="仿宋_GB2312" w:eastAsia="仿宋_GB2312" w:hAnsi="宋体" w:hint="eastAsia"/>
          <w:sz w:val="32"/>
          <w:szCs w:val="32"/>
        </w:rPr>
        <w:t>客户因挂失、司法冻结等原因导致不能正常扣划相应金额的，则视为认购无效，紫金农商银行不承担任何责任。</w:t>
      </w:r>
    </w:p>
    <w:p w:rsidR="00301A7D" w:rsidRDefault="006F09C1">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2.1.4</w:t>
      </w:r>
      <w:r>
        <w:rPr>
          <w:rFonts w:ascii="仿宋_GB2312" w:eastAsia="仿宋_GB2312" w:hAnsi="宋体" w:hint="eastAsia"/>
          <w:sz w:val="32"/>
          <w:szCs w:val="32"/>
        </w:rPr>
        <w:t>客户认购生效后至起息日（不含）期间按照活期</w:t>
      </w:r>
      <w:r>
        <w:rPr>
          <w:rFonts w:ascii="仿宋_GB2312" w:eastAsia="仿宋_GB2312" w:hAnsi="宋体" w:hint="eastAsia"/>
          <w:sz w:val="32"/>
          <w:szCs w:val="32"/>
        </w:rPr>
        <w:lastRenderedPageBreak/>
        <w:t>存款利率计息，认购期内的利息不计入投资本金。</w:t>
      </w:r>
    </w:p>
    <w:p w:rsidR="00301A7D" w:rsidRDefault="006F09C1">
      <w:pPr>
        <w:spacing w:line="560" w:lineRule="exact"/>
        <w:rPr>
          <w:rFonts w:ascii="仿宋_GB2312" w:eastAsia="仿宋_GB2312" w:hAnsi="宋体"/>
          <w:b/>
          <w:bCs/>
          <w:kern w:val="0"/>
          <w:sz w:val="32"/>
          <w:szCs w:val="32"/>
          <w:lang w:val="zh-CN"/>
        </w:rPr>
      </w:pPr>
      <w:r>
        <w:rPr>
          <w:rFonts w:ascii="仿宋_GB2312" w:eastAsia="仿宋_GB2312" w:hAnsi="宋体" w:hint="eastAsia"/>
          <w:b/>
          <w:bCs/>
          <w:kern w:val="0"/>
          <w:sz w:val="32"/>
          <w:szCs w:val="32"/>
        </w:rPr>
        <w:t xml:space="preserve">    2</w:t>
      </w:r>
      <w:r>
        <w:rPr>
          <w:rFonts w:ascii="仿宋_GB2312" w:eastAsia="仿宋_GB2312" w:hAnsi="宋体" w:hint="eastAsia"/>
          <w:b/>
          <w:bCs/>
          <w:kern w:val="0"/>
          <w:sz w:val="32"/>
          <w:szCs w:val="32"/>
          <w:lang w:val="zh-CN"/>
        </w:rPr>
        <w:t>.2</w:t>
      </w:r>
      <w:r>
        <w:rPr>
          <w:rFonts w:ascii="仿宋_GB2312" w:eastAsia="仿宋_GB2312" w:hAnsi="宋体" w:hint="eastAsia"/>
          <w:b/>
          <w:bCs/>
          <w:kern w:val="0"/>
          <w:sz w:val="32"/>
          <w:szCs w:val="32"/>
          <w:lang w:val="zh-CN"/>
        </w:rPr>
        <w:t>产品成立</w:t>
      </w:r>
    </w:p>
    <w:p w:rsidR="00301A7D" w:rsidRDefault="006F09C1">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2.2.1</w:t>
      </w:r>
      <w:r>
        <w:rPr>
          <w:rFonts w:ascii="仿宋_GB2312" w:eastAsia="仿宋_GB2312" w:hAnsi="宋体" w:hint="eastAsia"/>
          <w:sz w:val="32"/>
          <w:szCs w:val="32"/>
        </w:rPr>
        <w:t>紫金农商银行有权根据实际需要对本产品募集资金规模进行调整，本产品最终规模以紫金农商银行实际募集的资金数额为准。</w:t>
      </w:r>
    </w:p>
    <w:p w:rsidR="00301A7D" w:rsidRDefault="006F09C1">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2.2.2</w:t>
      </w:r>
      <w:r>
        <w:rPr>
          <w:rFonts w:ascii="仿宋_GB2312" w:eastAsia="仿宋_GB2312" w:hAnsi="宋体" w:hint="eastAsia"/>
          <w:sz w:val="32"/>
          <w:szCs w:val="32"/>
        </w:rPr>
        <w:t>紫金农商银行有权根据认购情况调整认购期。如紫金农商银行调整认购期，则起息日由紫金农商银行另行确定。</w:t>
      </w:r>
    </w:p>
    <w:p w:rsidR="00301A7D" w:rsidRDefault="006F09C1">
      <w:pPr>
        <w:spacing w:line="560" w:lineRule="exact"/>
        <w:ind w:firstLineChars="200" w:firstLine="640"/>
        <w:rPr>
          <w:rFonts w:ascii="仿宋_GB2312" w:eastAsia="仿宋_GB2312" w:hAnsi="宋体"/>
          <w:sz w:val="32"/>
          <w:szCs w:val="32"/>
          <w:u w:val="single"/>
        </w:rPr>
      </w:pPr>
      <w:r>
        <w:rPr>
          <w:rFonts w:ascii="仿宋_GB2312" w:eastAsia="仿宋_GB2312" w:hAnsi="宋体" w:hint="eastAsia"/>
          <w:sz w:val="32"/>
          <w:szCs w:val="32"/>
        </w:rPr>
        <w:t>2.2.3</w:t>
      </w:r>
      <w:r>
        <w:rPr>
          <w:rFonts w:ascii="仿宋_GB2312" w:eastAsia="仿宋_GB2312" w:hAnsi="宋体" w:hint="eastAsia"/>
          <w:sz w:val="32"/>
          <w:szCs w:val="32"/>
        </w:rPr>
        <w:t>本产品开始认购至原定起息日之前，存款产品认购总金</w:t>
      </w:r>
      <w:r>
        <w:rPr>
          <w:rFonts w:ascii="仿宋_GB2312" w:eastAsia="仿宋_GB2312" w:hAnsi="宋体" w:hint="eastAsia"/>
          <w:sz w:val="32"/>
          <w:szCs w:val="32"/>
        </w:rPr>
        <w:t>额未达到规模下限（如有约定），或国家宏观政策及市场监管相关法律法规政策发生变化，或市场发生剧烈波动，经紫金农商银行合理判断难以按照本产品说明书规定向客户提供本产品的，则紫金农商银行有权宣布本产品不成立。紫金农商行于认购期结束后</w:t>
      </w:r>
      <w:r>
        <w:rPr>
          <w:rFonts w:ascii="仿宋_GB2312" w:eastAsia="仿宋_GB2312" w:hAnsi="宋体" w:hint="eastAsia"/>
          <w:sz w:val="32"/>
          <w:szCs w:val="32"/>
          <w:u w:val="single"/>
        </w:rPr>
        <w:t>第</w:t>
      </w:r>
      <w:r>
        <w:rPr>
          <w:rFonts w:ascii="仿宋_GB2312" w:eastAsia="仿宋_GB2312" w:hAnsi="宋体" w:hint="eastAsia"/>
          <w:sz w:val="32"/>
          <w:szCs w:val="32"/>
          <w:u w:val="single"/>
        </w:rPr>
        <w:t>2</w:t>
      </w:r>
      <w:r>
        <w:rPr>
          <w:rFonts w:ascii="仿宋_GB2312" w:eastAsia="仿宋_GB2312" w:hAnsi="宋体" w:hint="eastAsia"/>
          <w:sz w:val="32"/>
          <w:szCs w:val="32"/>
          <w:u w:val="single"/>
        </w:rPr>
        <w:t>个工作日</w:t>
      </w:r>
      <w:r>
        <w:rPr>
          <w:rFonts w:ascii="仿宋_GB2312" w:eastAsia="仿宋_GB2312" w:hAnsi="宋体" w:hint="eastAsia"/>
          <w:sz w:val="32"/>
          <w:szCs w:val="32"/>
        </w:rPr>
        <w:t>发布该产品不成立的公告，并解冻客户结算账户内的认购资金。</w:t>
      </w:r>
    </w:p>
    <w:p w:rsidR="00301A7D" w:rsidRDefault="006F09C1">
      <w:pPr>
        <w:spacing w:line="560" w:lineRule="exact"/>
        <w:rPr>
          <w:rFonts w:ascii="仿宋_GB2312" w:eastAsia="仿宋_GB2312" w:hAnsi="宋体"/>
          <w:b/>
          <w:bCs/>
          <w:kern w:val="0"/>
          <w:sz w:val="32"/>
          <w:szCs w:val="32"/>
          <w:lang w:val="zh-CN"/>
        </w:rPr>
      </w:pPr>
      <w:r>
        <w:rPr>
          <w:rFonts w:ascii="仿宋_GB2312" w:eastAsia="仿宋_GB2312" w:hAnsi="宋体" w:hint="eastAsia"/>
          <w:b/>
          <w:bCs/>
          <w:kern w:val="0"/>
          <w:sz w:val="32"/>
          <w:szCs w:val="32"/>
        </w:rPr>
        <w:t xml:space="preserve">    2</w:t>
      </w:r>
      <w:r>
        <w:rPr>
          <w:rFonts w:ascii="仿宋_GB2312" w:eastAsia="仿宋_GB2312" w:hAnsi="宋体" w:hint="eastAsia"/>
          <w:b/>
          <w:bCs/>
          <w:kern w:val="0"/>
          <w:sz w:val="32"/>
          <w:szCs w:val="32"/>
          <w:lang w:val="zh-CN"/>
        </w:rPr>
        <w:t>.3</w:t>
      </w:r>
      <w:r>
        <w:rPr>
          <w:rFonts w:ascii="仿宋_GB2312" w:eastAsia="仿宋_GB2312" w:hAnsi="宋体" w:hint="eastAsia"/>
          <w:b/>
          <w:bCs/>
          <w:kern w:val="0"/>
          <w:sz w:val="32"/>
          <w:szCs w:val="32"/>
          <w:lang w:val="zh-CN"/>
        </w:rPr>
        <w:t>提前终止与产品终止</w:t>
      </w:r>
    </w:p>
    <w:p w:rsidR="00301A7D" w:rsidRDefault="006F09C1">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rPr>
        <w:t>2</w:t>
      </w:r>
      <w:r>
        <w:rPr>
          <w:rFonts w:ascii="仿宋_GB2312" w:eastAsia="仿宋_GB2312" w:hAnsi="宋体" w:hint="eastAsia"/>
          <w:bCs/>
          <w:kern w:val="0"/>
          <w:sz w:val="32"/>
          <w:szCs w:val="32"/>
          <w:lang w:val="zh-CN"/>
        </w:rPr>
        <w:t>.3.</w:t>
      </w:r>
      <w:r>
        <w:rPr>
          <w:rFonts w:ascii="仿宋_GB2312" w:eastAsia="仿宋_GB2312" w:hAnsi="宋体" w:hint="eastAsia"/>
          <w:bCs/>
          <w:kern w:val="0"/>
          <w:sz w:val="32"/>
          <w:szCs w:val="32"/>
        </w:rPr>
        <w:t>1</w:t>
      </w:r>
      <w:r>
        <w:rPr>
          <w:rFonts w:ascii="仿宋_GB2312" w:eastAsia="仿宋_GB2312" w:hAnsi="宋体" w:hint="eastAsia"/>
          <w:bCs/>
          <w:kern w:val="0"/>
          <w:sz w:val="32"/>
          <w:szCs w:val="32"/>
          <w:lang w:val="zh-CN"/>
        </w:rPr>
        <w:t>在存续期限内，客户无提前终止权，紫金农商银行可提前终止本产品。若本产品提前终止，产品收益计算以本产品实际存续天数为准。</w:t>
      </w:r>
    </w:p>
    <w:p w:rsidR="00301A7D" w:rsidRDefault="006F09C1">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紫金农商银行实施提前终止本产品的情形包括：</w:t>
      </w:r>
      <w:r>
        <w:rPr>
          <w:rFonts w:ascii="仿宋_GB2312" w:eastAsia="仿宋_GB2312" w:hAnsi="宋体" w:hint="eastAsia"/>
          <w:bCs/>
          <w:kern w:val="0"/>
          <w:sz w:val="32"/>
          <w:szCs w:val="32"/>
          <w:lang w:val="zh-CN"/>
        </w:rPr>
        <w:t>1</w:t>
      </w:r>
      <w:r>
        <w:rPr>
          <w:rFonts w:ascii="仿宋_GB2312" w:eastAsia="仿宋_GB2312" w:hAnsi="宋体" w:hint="eastAsia"/>
          <w:bCs/>
          <w:kern w:val="0"/>
          <w:sz w:val="32"/>
          <w:szCs w:val="32"/>
          <w:lang w:val="zh-CN"/>
        </w:rPr>
        <w:t>、遇国家法律、法规、监管规定及相关金融政策出现重大调整并影响到本结构性存款产品的正常运作；</w:t>
      </w:r>
      <w:r>
        <w:rPr>
          <w:rFonts w:ascii="仿宋_GB2312" w:eastAsia="仿宋_GB2312" w:hAnsi="宋体" w:hint="eastAsia"/>
          <w:bCs/>
          <w:kern w:val="0"/>
          <w:sz w:val="32"/>
          <w:szCs w:val="32"/>
          <w:lang w:val="zh-CN"/>
        </w:rPr>
        <w:t>2</w:t>
      </w:r>
      <w:r>
        <w:rPr>
          <w:rFonts w:ascii="仿宋_GB2312" w:eastAsia="仿宋_GB2312" w:hAnsi="宋体" w:hint="eastAsia"/>
          <w:bCs/>
          <w:kern w:val="0"/>
          <w:sz w:val="32"/>
          <w:szCs w:val="32"/>
          <w:lang w:val="zh-CN"/>
        </w:rPr>
        <w:t>、其它原因导致紫金农商银行认为该结构性存款产品已经不适合继续帮助客户实现投资目标的。</w:t>
      </w:r>
    </w:p>
    <w:p w:rsidR="00301A7D" w:rsidRDefault="006F09C1">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lastRenderedPageBreak/>
        <w:t>紫金农商银行行使提前终止权的，应在提前终止日（即产品提前到期日）前</w:t>
      </w:r>
      <w:r>
        <w:rPr>
          <w:rFonts w:ascii="仿宋_GB2312" w:eastAsia="仿宋_GB2312" w:hAnsi="宋体" w:hint="eastAsia"/>
          <w:sz w:val="32"/>
          <w:szCs w:val="32"/>
          <w:u w:val="single"/>
          <w:lang w:val="zh-CN"/>
        </w:rPr>
        <w:t>2</w:t>
      </w:r>
      <w:r>
        <w:rPr>
          <w:rFonts w:ascii="仿宋_GB2312" w:eastAsia="仿宋_GB2312" w:hAnsi="宋体" w:hint="eastAsia"/>
          <w:sz w:val="32"/>
          <w:szCs w:val="32"/>
          <w:u w:val="single"/>
          <w:lang w:val="zh-CN"/>
        </w:rPr>
        <w:t>个工作日</w:t>
      </w:r>
      <w:r>
        <w:rPr>
          <w:rFonts w:ascii="仿宋_GB2312" w:eastAsia="仿宋_GB2312" w:hAnsi="宋体" w:hint="eastAsia"/>
          <w:bCs/>
          <w:kern w:val="0"/>
          <w:sz w:val="32"/>
          <w:szCs w:val="32"/>
          <w:lang w:val="zh-CN"/>
        </w:rPr>
        <w:t>通过营业网点、网站或其他方式发布相关信息公告，自公告发布之日起即视为已通知客户。</w:t>
      </w:r>
    </w:p>
    <w:p w:rsidR="00301A7D" w:rsidRDefault="006F09C1">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rPr>
        <w:t>2.3.2</w:t>
      </w:r>
      <w:r>
        <w:rPr>
          <w:rFonts w:ascii="仿宋_GB2312" w:eastAsia="仿宋_GB2312" w:hAnsi="宋体" w:hint="eastAsia"/>
          <w:bCs/>
          <w:kern w:val="0"/>
          <w:sz w:val="32"/>
          <w:szCs w:val="32"/>
          <w:lang w:val="zh-CN"/>
        </w:rPr>
        <w:t>紫金农商银行于产品到期日（包括提前到期日与存续期满到期日）后</w:t>
      </w:r>
      <w:r>
        <w:rPr>
          <w:rFonts w:ascii="仿宋_GB2312" w:eastAsia="仿宋_GB2312" w:hAnsi="宋体" w:hint="eastAsia"/>
          <w:sz w:val="32"/>
          <w:szCs w:val="32"/>
          <w:u w:val="single"/>
          <w:lang w:val="zh-CN"/>
        </w:rPr>
        <w:t xml:space="preserve">2 </w:t>
      </w:r>
      <w:r>
        <w:rPr>
          <w:rFonts w:ascii="仿宋_GB2312" w:eastAsia="仿宋_GB2312" w:hAnsi="宋体" w:hint="eastAsia"/>
          <w:sz w:val="32"/>
          <w:szCs w:val="32"/>
          <w:u w:val="single"/>
          <w:lang w:val="zh-CN"/>
        </w:rPr>
        <w:t>个工作日内</w:t>
      </w:r>
      <w:r>
        <w:rPr>
          <w:rFonts w:ascii="仿宋_GB2312" w:eastAsia="仿宋_GB2312" w:hAnsi="宋体" w:hint="eastAsia"/>
          <w:bCs/>
          <w:kern w:val="0"/>
          <w:sz w:val="32"/>
          <w:szCs w:val="32"/>
          <w:lang w:val="zh-CN"/>
        </w:rPr>
        <w:t>将存款资金划入客户认购结构性存款时资金转出的结算</w:t>
      </w:r>
      <w:r>
        <w:rPr>
          <w:rFonts w:ascii="仿宋_GB2312" w:eastAsia="仿宋_GB2312" w:hAnsi="宋体" w:hint="eastAsia"/>
          <w:bCs/>
          <w:kern w:val="0"/>
          <w:sz w:val="32"/>
          <w:szCs w:val="32"/>
          <w:lang w:val="zh-CN"/>
        </w:rPr>
        <w:t>账户，本投资周期终止日至资金到帐日间不另付利息。</w:t>
      </w:r>
    </w:p>
    <w:p w:rsidR="00301A7D" w:rsidRDefault="006F09C1">
      <w:pPr>
        <w:spacing w:line="560" w:lineRule="exact"/>
        <w:ind w:firstLineChars="147" w:firstLine="472"/>
        <w:rPr>
          <w:rFonts w:ascii="仿宋_GB2312" w:eastAsia="仿宋_GB2312" w:hAnsi="宋体"/>
          <w:sz w:val="32"/>
          <w:szCs w:val="32"/>
        </w:rPr>
      </w:pPr>
      <w:r>
        <w:rPr>
          <w:rFonts w:ascii="仿宋_GB2312" w:eastAsia="仿宋_GB2312" w:hAnsi="宋体" w:hint="eastAsia"/>
          <w:b/>
          <w:bCs/>
          <w:kern w:val="0"/>
          <w:sz w:val="32"/>
          <w:szCs w:val="32"/>
        </w:rPr>
        <w:t xml:space="preserve"> 2</w:t>
      </w:r>
      <w:r>
        <w:rPr>
          <w:rFonts w:ascii="仿宋_GB2312" w:eastAsia="仿宋_GB2312" w:hAnsi="宋体" w:hint="eastAsia"/>
          <w:b/>
          <w:bCs/>
          <w:kern w:val="0"/>
          <w:sz w:val="32"/>
          <w:szCs w:val="32"/>
          <w:lang w:val="zh-CN"/>
        </w:rPr>
        <w:t>.</w:t>
      </w:r>
      <w:r>
        <w:rPr>
          <w:rFonts w:ascii="仿宋_GB2312" w:eastAsia="仿宋_GB2312" w:hAnsi="宋体" w:hint="eastAsia"/>
          <w:b/>
          <w:bCs/>
          <w:kern w:val="0"/>
          <w:sz w:val="32"/>
          <w:szCs w:val="32"/>
        </w:rPr>
        <w:t>4</w:t>
      </w:r>
      <w:r>
        <w:rPr>
          <w:rFonts w:ascii="仿宋_GB2312" w:eastAsia="仿宋_GB2312" w:hAnsi="宋体" w:hint="eastAsia"/>
          <w:b/>
          <w:bCs/>
          <w:kern w:val="0"/>
          <w:sz w:val="32"/>
          <w:szCs w:val="32"/>
        </w:rPr>
        <w:t>存款本金及收益</w:t>
      </w:r>
    </w:p>
    <w:p w:rsidR="00301A7D" w:rsidRDefault="006F09C1">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紫金农商银行向客户提供本金完全保障，并根据本说明书的相关约定，按照挂钩标的价格的表现，向客户支付浮动收益。</w:t>
      </w:r>
    </w:p>
    <w:p w:rsidR="00301A7D" w:rsidRDefault="006F09C1">
      <w:pPr>
        <w:spacing w:line="560" w:lineRule="exact"/>
        <w:ind w:firstLineChars="200" w:firstLine="643"/>
        <w:rPr>
          <w:rFonts w:ascii="仿宋_GB2312" w:eastAsia="仿宋_GB2312" w:hAnsi="宋体"/>
          <w:b/>
          <w:bCs/>
          <w:color w:val="FF0000"/>
          <w:kern w:val="0"/>
          <w:sz w:val="32"/>
          <w:szCs w:val="32"/>
          <w:lang w:val="zh-CN"/>
        </w:rPr>
      </w:pPr>
      <w:r>
        <w:rPr>
          <w:rFonts w:ascii="仿宋_GB2312" w:eastAsia="仿宋_GB2312" w:hAnsi="宋体" w:hint="eastAsia"/>
          <w:b/>
          <w:bCs/>
          <w:color w:val="FF0000"/>
          <w:kern w:val="0"/>
          <w:sz w:val="32"/>
          <w:szCs w:val="32"/>
          <w:lang w:val="zh-CN"/>
        </w:rPr>
        <w:t>情景分析：本存款中示例均采用假设数据，并不代表客户实际可获得的收益。</w:t>
      </w:r>
    </w:p>
    <w:p w:rsidR="00301A7D" w:rsidRDefault="006F09C1">
      <w:pPr>
        <w:spacing w:line="360" w:lineRule="auto"/>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假如客户从我行购买一款挂钩中债</w:t>
      </w:r>
      <w:r>
        <w:rPr>
          <w:rFonts w:ascii="仿宋_GB2312" w:eastAsia="仿宋_GB2312" w:hAnsi="宋体" w:hint="eastAsia"/>
          <w:color w:val="FF0000"/>
          <w:sz w:val="32"/>
          <w:szCs w:val="32"/>
        </w:rPr>
        <w:t>10</w:t>
      </w:r>
      <w:r>
        <w:rPr>
          <w:rFonts w:ascii="仿宋_GB2312" w:eastAsia="仿宋_GB2312" w:hAnsi="宋体" w:hint="eastAsia"/>
          <w:color w:val="FF0000"/>
          <w:sz w:val="32"/>
          <w:szCs w:val="32"/>
        </w:rPr>
        <w:t>年国债到期收益率的</w:t>
      </w:r>
      <w:r>
        <w:rPr>
          <w:rFonts w:ascii="仿宋_GB2312" w:eastAsia="仿宋_GB2312" w:hAnsi="宋体" w:hint="eastAsia"/>
          <w:color w:val="FF0000"/>
          <w:sz w:val="32"/>
          <w:szCs w:val="32"/>
        </w:rPr>
        <w:t>1</w:t>
      </w:r>
      <w:r>
        <w:rPr>
          <w:rFonts w:ascii="仿宋_GB2312" w:eastAsia="仿宋_GB2312" w:hAnsi="宋体" w:hint="eastAsia"/>
          <w:color w:val="FF0000"/>
          <w:sz w:val="32"/>
          <w:szCs w:val="32"/>
        </w:rPr>
        <w:t>个月期结构性存款产品，起息日挂钩标的价格为</w:t>
      </w:r>
      <w:r>
        <w:rPr>
          <w:rFonts w:ascii="仿宋_GB2312" w:eastAsia="仿宋_GB2312" w:hAnsi="宋体" w:hint="eastAsia"/>
          <w:color w:val="FF0000"/>
          <w:sz w:val="32"/>
          <w:szCs w:val="32"/>
        </w:rPr>
        <w:t>2.70%</w:t>
      </w:r>
      <w:r>
        <w:rPr>
          <w:rFonts w:ascii="仿宋_GB2312" w:eastAsia="仿宋_GB2312" w:hAnsi="宋体" w:hint="eastAsia"/>
          <w:color w:val="FF0000"/>
          <w:sz w:val="32"/>
          <w:szCs w:val="32"/>
        </w:rPr>
        <w:t>。若期末观察日挂钩标的价格大于【</w:t>
      </w:r>
      <w:r>
        <w:rPr>
          <w:rFonts w:ascii="仿宋_GB2312" w:eastAsia="仿宋_GB2312" w:hAnsi="宋体" w:hint="eastAsia"/>
          <w:color w:val="FF0000"/>
          <w:sz w:val="32"/>
          <w:szCs w:val="32"/>
        </w:rPr>
        <w:t>3.5%</w:t>
      </w:r>
      <w:r>
        <w:rPr>
          <w:rFonts w:ascii="仿宋_GB2312" w:eastAsia="仿宋_GB2312" w:hAnsi="宋体" w:hint="eastAsia"/>
          <w:color w:val="FF0000"/>
          <w:sz w:val="32"/>
          <w:szCs w:val="32"/>
        </w:rPr>
        <w:t>】，则到期收益率为</w:t>
      </w:r>
      <w:r>
        <w:rPr>
          <w:rFonts w:ascii="仿宋_GB2312" w:eastAsia="仿宋_GB2312" w:hAnsi="宋体" w:hint="eastAsia"/>
          <w:color w:val="FF0000"/>
          <w:sz w:val="32"/>
          <w:szCs w:val="32"/>
        </w:rPr>
        <w:t>1.8%</w:t>
      </w:r>
      <w:r>
        <w:rPr>
          <w:rFonts w:ascii="仿宋_GB2312" w:eastAsia="仿宋_GB2312" w:hAnsi="宋体" w:hint="eastAsia"/>
          <w:color w:val="FF0000"/>
          <w:sz w:val="32"/>
          <w:szCs w:val="32"/>
        </w:rPr>
        <w:t>；若期末观察日挂钩标的价格大于【</w:t>
      </w:r>
      <w:r>
        <w:rPr>
          <w:rFonts w:ascii="仿宋_GB2312" w:eastAsia="仿宋_GB2312" w:hAnsi="宋体" w:hint="eastAsia"/>
          <w:color w:val="FF0000"/>
          <w:sz w:val="32"/>
          <w:szCs w:val="32"/>
        </w:rPr>
        <w:t>2.71%</w:t>
      </w:r>
      <w:r>
        <w:rPr>
          <w:rFonts w:ascii="仿宋_GB2312" w:eastAsia="仿宋_GB2312" w:hAnsi="宋体" w:hint="eastAsia"/>
          <w:color w:val="FF0000"/>
          <w:sz w:val="32"/>
          <w:szCs w:val="32"/>
        </w:rPr>
        <w:t>】且小于或等于【</w:t>
      </w:r>
      <w:r>
        <w:rPr>
          <w:rFonts w:ascii="仿宋_GB2312" w:eastAsia="仿宋_GB2312" w:hAnsi="宋体" w:hint="eastAsia"/>
          <w:color w:val="FF0000"/>
          <w:sz w:val="32"/>
          <w:szCs w:val="32"/>
        </w:rPr>
        <w:t>3.5</w:t>
      </w:r>
      <w:r>
        <w:rPr>
          <w:rFonts w:ascii="仿宋_GB2312" w:eastAsia="仿宋_GB2312" w:hAnsi="宋体" w:hint="eastAsia"/>
          <w:color w:val="FF0000"/>
          <w:sz w:val="32"/>
          <w:szCs w:val="32"/>
        </w:rPr>
        <w:t>】</w:t>
      </w:r>
      <w:r>
        <w:rPr>
          <w:rFonts w:ascii="仿宋_GB2312" w:eastAsia="仿宋_GB2312" w:hAnsi="宋体" w:hint="eastAsia"/>
          <w:color w:val="FF0000"/>
          <w:sz w:val="32"/>
          <w:szCs w:val="32"/>
        </w:rPr>
        <w:t>%,</w:t>
      </w:r>
      <w:r>
        <w:rPr>
          <w:rFonts w:ascii="仿宋_GB2312" w:eastAsia="仿宋_GB2312" w:hAnsi="宋体" w:hint="eastAsia"/>
          <w:color w:val="FF0000"/>
          <w:sz w:val="32"/>
          <w:szCs w:val="32"/>
        </w:rPr>
        <w:t>则到期收益率为</w:t>
      </w:r>
      <w:r>
        <w:rPr>
          <w:rFonts w:ascii="仿宋_GB2312" w:eastAsia="仿宋_GB2312" w:hAnsi="宋体" w:hint="eastAsia"/>
          <w:color w:val="FF0000"/>
          <w:sz w:val="32"/>
          <w:szCs w:val="32"/>
        </w:rPr>
        <w:t>2.</w:t>
      </w:r>
      <w:r>
        <w:rPr>
          <w:rFonts w:ascii="仿宋_GB2312" w:eastAsia="仿宋_GB2312" w:hAnsi="宋体" w:hint="eastAsia"/>
          <w:color w:val="FF0000"/>
          <w:sz w:val="32"/>
          <w:szCs w:val="32"/>
        </w:rPr>
        <w:t>85%;</w:t>
      </w:r>
      <w:r>
        <w:rPr>
          <w:rFonts w:ascii="仿宋_GB2312" w:eastAsia="仿宋_GB2312" w:hAnsi="宋体" w:hint="eastAsia"/>
          <w:color w:val="FF0000"/>
          <w:sz w:val="32"/>
          <w:szCs w:val="32"/>
        </w:rPr>
        <w:t>若期末观察日挂钩标的价格小于或等于【</w:t>
      </w:r>
      <w:r>
        <w:rPr>
          <w:rFonts w:ascii="仿宋_GB2312" w:eastAsia="仿宋_GB2312" w:hAnsi="宋体" w:hint="eastAsia"/>
          <w:color w:val="FF0000"/>
          <w:sz w:val="32"/>
          <w:szCs w:val="32"/>
        </w:rPr>
        <w:t>2.71</w:t>
      </w:r>
      <w:r>
        <w:rPr>
          <w:rFonts w:ascii="仿宋_GB2312" w:eastAsia="仿宋_GB2312" w:hAnsi="宋体" w:hint="eastAsia"/>
          <w:color w:val="FF0000"/>
          <w:sz w:val="32"/>
          <w:szCs w:val="32"/>
        </w:rPr>
        <w:t>】</w:t>
      </w:r>
      <w:r>
        <w:rPr>
          <w:rFonts w:ascii="仿宋_GB2312" w:eastAsia="仿宋_GB2312" w:hAnsi="宋体" w:hint="eastAsia"/>
          <w:color w:val="FF0000"/>
          <w:sz w:val="32"/>
          <w:szCs w:val="32"/>
        </w:rPr>
        <w:t>%,</w:t>
      </w:r>
      <w:r>
        <w:rPr>
          <w:rFonts w:ascii="仿宋_GB2312" w:eastAsia="仿宋_GB2312" w:hAnsi="宋体" w:hint="eastAsia"/>
          <w:color w:val="FF0000"/>
          <w:sz w:val="32"/>
          <w:szCs w:val="32"/>
        </w:rPr>
        <w:t>则到期收益率为</w:t>
      </w:r>
      <w:r>
        <w:rPr>
          <w:rFonts w:ascii="仿宋_GB2312" w:eastAsia="仿宋_GB2312" w:hAnsi="宋体" w:hint="eastAsia"/>
          <w:color w:val="FF0000"/>
          <w:sz w:val="32"/>
          <w:szCs w:val="32"/>
        </w:rPr>
        <w:t>2.95%;</w:t>
      </w:r>
      <w:r>
        <w:rPr>
          <w:rFonts w:ascii="仿宋_GB2312" w:eastAsia="仿宋_GB2312" w:hAnsi="宋体" w:hint="eastAsia"/>
          <w:color w:val="FF0000"/>
          <w:sz w:val="32"/>
          <w:szCs w:val="32"/>
        </w:rPr>
        <w:t>（本案例不考虑节假日顺延等因素）。利息收益取决于所挂钩标的的变化，具体情景分析如下：</w:t>
      </w:r>
    </w:p>
    <w:p w:rsidR="00301A7D" w:rsidRDefault="006F09C1">
      <w:pPr>
        <w:spacing w:line="360" w:lineRule="auto"/>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最有利情况：若期末观察日挂钩标的价格为</w:t>
      </w:r>
      <w:r>
        <w:rPr>
          <w:rFonts w:ascii="仿宋_GB2312" w:eastAsia="仿宋_GB2312" w:hAnsi="宋体" w:hint="eastAsia"/>
          <w:color w:val="FF0000"/>
          <w:sz w:val="32"/>
          <w:szCs w:val="32"/>
        </w:rPr>
        <w:t>2.65%</w:t>
      </w:r>
      <w:r>
        <w:rPr>
          <w:rFonts w:ascii="仿宋_GB2312" w:eastAsia="仿宋_GB2312" w:hAnsi="宋体" w:hint="eastAsia"/>
          <w:color w:val="FF0000"/>
          <w:sz w:val="32"/>
          <w:szCs w:val="32"/>
        </w:rPr>
        <w:t>，小</w:t>
      </w:r>
      <w:r>
        <w:rPr>
          <w:rFonts w:ascii="仿宋_GB2312" w:eastAsia="仿宋_GB2312" w:hAnsi="宋体" w:hint="eastAsia"/>
          <w:color w:val="FF0000"/>
          <w:sz w:val="32"/>
          <w:szCs w:val="32"/>
        </w:rPr>
        <w:lastRenderedPageBreak/>
        <w:t>于或等于【</w:t>
      </w:r>
      <w:r>
        <w:rPr>
          <w:rFonts w:ascii="仿宋_GB2312" w:eastAsia="仿宋_GB2312" w:hAnsi="宋体" w:hint="eastAsia"/>
          <w:color w:val="FF0000"/>
          <w:sz w:val="32"/>
          <w:szCs w:val="32"/>
        </w:rPr>
        <w:t>2.71%</w:t>
      </w:r>
      <w:r>
        <w:rPr>
          <w:rFonts w:ascii="仿宋_GB2312" w:eastAsia="仿宋_GB2312" w:hAnsi="宋体" w:hint="eastAsia"/>
          <w:color w:val="FF0000"/>
          <w:sz w:val="32"/>
          <w:szCs w:val="32"/>
        </w:rPr>
        <w:t>】，则产品到期时客户共获得年化利率为</w:t>
      </w:r>
      <w:r>
        <w:rPr>
          <w:rFonts w:ascii="仿宋_GB2312" w:eastAsia="仿宋_GB2312" w:hAnsi="宋体" w:hint="eastAsia"/>
          <w:color w:val="FF0000"/>
          <w:sz w:val="32"/>
          <w:szCs w:val="32"/>
        </w:rPr>
        <w:t>2.95%</w:t>
      </w:r>
      <w:r>
        <w:rPr>
          <w:rFonts w:ascii="仿宋_GB2312" w:eastAsia="仿宋_GB2312" w:hAnsi="宋体" w:hint="eastAsia"/>
          <w:color w:val="FF0000"/>
          <w:sz w:val="32"/>
          <w:szCs w:val="32"/>
        </w:rPr>
        <w:t>的收益；</w:t>
      </w:r>
    </w:p>
    <w:p w:rsidR="00301A7D" w:rsidRDefault="006F09C1">
      <w:pPr>
        <w:spacing w:line="360" w:lineRule="auto"/>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最不利情况：若期末观察日挂钩标的价格为</w:t>
      </w:r>
      <w:r>
        <w:rPr>
          <w:rFonts w:ascii="仿宋_GB2312" w:eastAsia="仿宋_GB2312" w:hAnsi="宋体" w:hint="eastAsia"/>
          <w:color w:val="FF0000"/>
          <w:sz w:val="32"/>
          <w:szCs w:val="32"/>
        </w:rPr>
        <w:t>3.6%</w:t>
      </w:r>
      <w:r>
        <w:rPr>
          <w:rFonts w:ascii="仿宋_GB2312" w:eastAsia="仿宋_GB2312" w:hAnsi="宋体" w:hint="eastAsia"/>
          <w:color w:val="FF0000"/>
          <w:sz w:val="32"/>
          <w:szCs w:val="32"/>
        </w:rPr>
        <w:t>，大于【</w:t>
      </w:r>
      <w:r>
        <w:rPr>
          <w:rFonts w:ascii="仿宋_GB2312" w:eastAsia="仿宋_GB2312" w:hAnsi="宋体" w:hint="eastAsia"/>
          <w:color w:val="FF0000"/>
          <w:sz w:val="32"/>
          <w:szCs w:val="32"/>
        </w:rPr>
        <w:t>3.5%</w:t>
      </w:r>
      <w:r>
        <w:rPr>
          <w:rFonts w:ascii="仿宋_GB2312" w:eastAsia="仿宋_GB2312" w:hAnsi="宋体" w:hint="eastAsia"/>
          <w:color w:val="FF0000"/>
          <w:sz w:val="32"/>
          <w:szCs w:val="32"/>
        </w:rPr>
        <w:t>】，则产品到期时客户共获得年化利率为</w:t>
      </w:r>
      <w:r>
        <w:rPr>
          <w:rFonts w:ascii="仿宋_GB2312" w:eastAsia="仿宋_GB2312" w:hAnsi="宋体" w:hint="eastAsia"/>
          <w:color w:val="FF0000"/>
          <w:sz w:val="32"/>
          <w:szCs w:val="32"/>
        </w:rPr>
        <w:t>1.8%</w:t>
      </w:r>
      <w:r>
        <w:rPr>
          <w:rFonts w:ascii="仿宋_GB2312" w:eastAsia="仿宋_GB2312" w:hAnsi="宋体" w:hint="eastAsia"/>
          <w:color w:val="FF0000"/>
          <w:sz w:val="32"/>
          <w:szCs w:val="32"/>
        </w:rPr>
        <w:t>的收益。</w:t>
      </w:r>
    </w:p>
    <w:p w:rsidR="00301A7D" w:rsidRDefault="006F09C1">
      <w:pPr>
        <w:spacing w:line="560" w:lineRule="exact"/>
        <w:ind w:firstLineChars="200" w:firstLine="640"/>
        <w:rPr>
          <w:rFonts w:ascii="仿宋_GB2312" w:eastAsia="仿宋_GB2312" w:hAnsi="宋体"/>
          <w:bCs/>
          <w:color w:val="FF0000"/>
          <w:kern w:val="0"/>
          <w:sz w:val="32"/>
          <w:szCs w:val="32"/>
          <w:lang w:val="zh-CN"/>
        </w:rPr>
      </w:pPr>
      <w:r>
        <w:rPr>
          <w:rFonts w:ascii="仿宋_GB2312" w:eastAsia="仿宋_GB2312" w:hAnsi="宋体" w:hint="eastAsia"/>
          <w:color w:val="FF0000"/>
          <w:sz w:val="32"/>
          <w:szCs w:val="32"/>
        </w:rPr>
        <w:t>其他情况：若期末观察日挂钩标的价格为</w:t>
      </w:r>
      <w:r>
        <w:rPr>
          <w:rFonts w:ascii="仿宋_GB2312" w:eastAsia="仿宋_GB2312" w:hAnsi="宋体" w:hint="eastAsia"/>
          <w:color w:val="FF0000"/>
          <w:sz w:val="32"/>
          <w:szCs w:val="32"/>
        </w:rPr>
        <w:t>2.8%</w:t>
      </w:r>
      <w:r>
        <w:rPr>
          <w:rFonts w:ascii="仿宋_GB2312" w:eastAsia="仿宋_GB2312" w:hAnsi="宋体" w:hint="eastAsia"/>
          <w:color w:val="FF0000"/>
          <w:sz w:val="32"/>
          <w:szCs w:val="32"/>
        </w:rPr>
        <w:t>，大于【</w:t>
      </w:r>
      <w:r>
        <w:rPr>
          <w:rFonts w:ascii="仿宋_GB2312" w:eastAsia="仿宋_GB2312" w:hAnsi="宋体" w:hint="eastAsia"/>
          <w:color w:val="FF0000"/>
          <w:sz w:val="32"/>
          <w:szCs w:val="32"/>
        </w:rPr>
        <w:t>2.71%</w:t>
      </w:r>
      <w:r>
        <w:rPr>
          <w:rFonts w:ascii="仿宋_GB2312" w:eastAsia="仿宋_GB2312" w:hAnsi="宋体" w:hint="eastAsia"/>
          <w:color w:val="FF0000"/>
          <w:sz w:val="32"/>
          <w:szCs w:val="32"/>
        </w:rPr>
        <w:t>】且小于或等于【</w:t>
      </w:r>
      <w:r>
        <w:rPr>
          <w:rFonts w:ascii="仿宋_GB2312" w:eastAsia="仿宋_GB2312" w:hAnsi="宋体" w:hint="eastAsia"/>
          <w:color w:val="FF0000"/>
          <w:sz w:val="32"/>
          <w:szCs w:val="32"/>
        </w:rPr>
        <w:t>3.5%</w:t>
      </w:r>
      <w:r>
        <w:rPr>
          <w:rFonts w:ascii="仿宋_GB2312" w:eastAsia="仿宋_GB2312" w:hAnsi="宋体" w:hint="eastAsia"/>
          <w:color w:val="FF0000"/>
          <w:sz w:val="32"/>
          <w:szCs w:val="32"/>
        </w:rPr>
        <w:t>】，则产品到期时客户共获得年化利率为</w:t>
      </w:r>
      <w:r>
        <w:rPr>
          <w:rFonts w:ascii="仿宋_GB2312" w:eastAsia="仿宋_GB2312" w:hAnsi="宋体" w:hint="eastAsia"/>
          <w:color w:val="FF0000"/>
          <w:sz w:val="32"/>
          <w:szCs w:val="32"/>
        </w:rPr>
        <w:t>2.85%</w:t>
      </w:r>
      <w:r>
        <w:rPr>
          <w:rFonts w:ascii="仿宋_GB2312" w:eastAsia="仿宋_GB2312" w:hAnsi="宋体" w:hint="eastAsia"/>
          <w:color w:val="FF0000"/>
          <w:sz w:val="32"/>
          <w:szCs w:val="32"/>
        </w:rPr>
        <w:t>的收益。</w:t>
      </w:r>
    </w:p>
    <w:p w:rsidR="00301A7D" w:rsidRDefault="006F09C1">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2.5</w:t>
      </w:r>
      <w:r>
        <w:rPr>
          <w:rFonts w:ascii="仿宋_GB2312" w:eastAsia="仿宋_GB2312" w:hAnsi="宋体" w:hint="eastAsia"/>
          <w:bCs/>
          <w:kern w:val="0"/>
          <w:sz w:val="32"/>
          <w:szCs w:val="32"/>
          <w:lang w:val="zh-CN"/>
        </w:rPr>
        <w:t>如果客户的资金账户发生变更的，以紫金农商银行在支付投资本金与收益前收到的最后一份书面变更通知中的资金账户为准。</w:t>
      </w:r>
    </w:p>
    <w:p w:rsidR="00301A7D" w:rsidRDefault="006F09C1">
      <w:pPr>
        <w:spacing w:line="560" w:lineRule="exact"/>
        <w:rPr>
          <w:rFonts w:ascii="仿宋_GB2312" w:eastAsia="仿宋_GB2312" w:hAnsi="宋体"/>
          <w:bCs/>
          <w:kern w:val="0"/>
          <w:sz w:val="32"/>
          <w:szCs w:val="32"/>
          <w:lang w:val="zh-CN"/>
        </w:rPr>
      </w:pPr>
      <w:r>
        <w:rPr>
          <w:rFonts w:ascii="仿宋_GB2312" w:eastAsia="仿宋_GB2312" w:hAnsi="宋体" w:hint="eastAsia"/>
          <w:bCs/>
          <w:kern w:val="0"/>
          <w:sz w:val="32"/>
          <w:szCs w:val="32"/>
        </w:rPr>
        <w:t xml:space="preserve">    2.6</w:t>
      </w:r>
      <w:r>
        <w:rPr>
          <w:rFonts w:ascii="仿宋_GB2312" w:eastAsia="仿宋_GB2312" w:hAnsi="宋体" w:hint="eastAsia"/>
          <w:bCs/>
          <w:kern w:val="0"/>
          <w:sz w:val="32"/>
          <w:szCs w:val="32"/>
          <w:lang w:val="zh-CN"/>
        </w:rPr>
        <w:t>结构性存款收益的应纳税款由客户自行申报及缴纳。</w:t>
      </w:r>
    </w:p>
    <w:p w:rsidR="00301A7D" w:rsidRDefault="006F09C1" w:rsidP="00EE48D1">
      <w:pPr>
        <w:spacing w:beforeLines="50" w:line="560" w:lineRule="exact"/>
        <w:ind w:firstLineChars="196" w:firstLine="627"/>
        <w:rPr>
          <w:rFonts w:ascii="黑体" w:eastAsia="黑体" w:hAnsi="宋体" w:cs="宋体"/>
          <w:bCs/>
          <w:sz w:val="32"/>
          <w:szCs w:val="32"/>
        </w:rPr>
      </w:pPr>
      <w:r>
        <w:rPr>
          <w:rFonts w:ascii="黑体" w:eastAsia="黑体" w:hAnsi="宋体" w:cs="宋体" w:hint="eastAsia"/>
          <w:bCs/>
          <w:sz w:val="32"/>
          <w:szCs w:val="32"/>
        </w:rPr>
        <w:t>三、信息披露</w:t>
      </w:r>
    </w:p>
    <w:p w:rsidR="00301A7D" w:rsidRDefault="006F09C1">
      <w:pPr>
        <w:spacing w:line="560" w:lineRule="exact"/>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3.1</w:t>
      </w:r>
      <w:r>
        <w:rPr>
          <w:rFonts w:ascii="仿宋_GB2312" w:eastAsia="仿宋_GB2312" w:hAnsi="宋体" w:hint="eastAsia"/>
          <w:bCs/>
          <w:kern w:val="0"/>
          <w:sz w:val="32"/>
          <w:szCs w:val="32"/>
          <w:lang w:val="zh-CN"/>
        </w:rPr>
        <w:t>紫金农商银行将按照约定及时、准确地进行信息披露；产品到期或终止时的信息披露内容包括但不限于挂钩标的表现、客户实际到期收益率等。</w:t>
      </w:r>
    </w:p>
    <w:p w:rsidR="00301A7D" w:rsidRDefault="006F09C1">
      <w:pPr>
        <w:spacing w:line="560" w:lineRule="exact"/>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 xml:space="preserve">    3.2</w:t>
      </w:r>
      <w:r>
        <w:rPr>
          <w:rFonts w:ascii="仿宋_GB2312" w:eastAsia="仿宋_GB2312" w:hAnsi="宋体" w:hint="eastAsia"/>
          <w:bCs/>
          <w:kern w:val="0"/>
          <w:sz w:val="32"/>
          <w:szCs w:val="32"/>
          <w:lang w:val="zh-CN"/>
        </w:rPr>
        <w:t>若发生产品提前终止的情形，紫金农商银行将按照本说明书的约定，发布产品提前终止的相关信息。</w:t>
      </w:r>
    </w:p>
    <w:p w:rsidR="00301A7D" w:rsidRDefault="006F09C1">
      <w:pPr>
        <w:spacing w:line="560" w:lineRule="exact"/>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 xml:space="preserve">    3.3</w:t>
      </w:r>
      <w:r>
        <w:rPr>
          <w:rFonts w:ascii="仿宋_GB2312" w:eastAsia="仿宋_GB2312" w:hAnsi="宋体" w:hint="eastAsia"/>
          <w:bCs/>
          <w:kern w:val="0"/>
          <w:sz w:val="32"/>
          <w:szCs w:val="32"/>
          <w:lang w:val="zh-CN"/>
        </w:rPr>
        <w:t>若发生结构性存款产品不成立的情形，紫金农商银行发布产品不成立的相关信息。</w:t>
      </w:r>
    </w:p>
    <w:p w:rsidR="00301A7D" w:rsidRDefault="006F09C1">
      <w:pPr>
        <w:spacing w:line="560" w:lineRule="exact"/>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 xml:space="preserve">    3.4</w:t>
      </w:r>
      <w:r>
        <w:rPr>
          <w:rFonts w:ascii="仿宋_GB2312" w:eastAsia="仿宋_GB2312" w:hAnsi="宋体" w:hint="eastAsia"/>
          <w:bCs/>
          <w:kern w:val="0"/>
          <w:sz w:val="32"/>
          <w:szCs w:val="32"/>
          <w:lang w:val="zh-CN"/>
        </w:rPr>
        <w:t>其他紫金农商银行认为对客户有重大影响而需要发布的重要信息。</w:t>
      </w:r>
    </w:p>
    <w:p w:rsidR="00301A7D" w:rsidRDefault="006F09C1">
      <w:pPr>
        <w:spacing w:line="560" w:lineRule="exact"/>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 xml:space="preserve">    3.5</w:t>
      </w:r>
      <w:r>
        <w:rPr>
          <w:rFonts w:ascii="仿宋_GB2312" w:eastAsia="仿宋_GB2312" w:hAnsi="宋体" w:hint="eastAsia"/>
          <w:bCs/>
          <w:kern w:val="0"/>
          <w:sz w:val="32"/>
          <w:szCs w:val="32"/>
          <w:lang w:val="zh-CN"/>
        </w:rPr>
        <w:t>客户确认并同意紫金农商银行通过以下任一方式披露信息：紫金农商银行官方网站（</w:t>
      </w:r>
      <w:r>
        <w:rPr>
          <w:rFonts w:ascii="仿宋_GB2312" w:eastAsia="仿宋_GB2312" w:hAnsi="宋体" w:hint="eastAsia"/>
          <w:bCs/>
          <w:kern w:val="0"/>
          <w:sz w:val="32"/>
          <w:szCs w:val="32"/>
          <w:lang w:val="zh-CN"/>
        </w:rPr>
        <w:t>www.zjrcbank.com</w:t>
      </w:r>
      <w:r>
        <w:rPr>
          <w:rFonts w:ascii="仿宋_GB2312" w:eastAsia="仿宋_GB2312" w:hAnsi="宋体" w:hint="eastAsia"/>
          <w:bCs/>
          <w:kern w:val="0"/>
          <w:sz w:val="32"/>
          <w:szCs w:val="32"/>
          <w:lang w:val="zh-CN"/>
        </w:rPr>
        <w:t>）、紫金农商银行营业网点、电子邮件、电话、以信函形式邮寄、</w:t>
      </w:r>
      <w:r>
        <w:rPr>
          <w:rFonts w:ascii="仿宋_GB2312" w:eastAsia="仿宋_GB2312" w:hAnsi="宋体" w:hint="eastAsia"/>
          <w:bCs/>
          <w:kern w:val="0"/>
          <w:sz w:val="32"/>
          <w:szCs w:val="32"/>
          <w:lang w:val="zh-CN"/>
        </w:rPr>
        <w:lastRenderedPageBreak/>
        <w:t>手机短信等；客户应及时登录紫金农商银行官方网站浏览和阅读上述信息，或</w:t>
      </w:r>
      <w:r>
        <w:rPr>
          <w:rFonts w:ascii="仿宋_GB2312" w:eastAsia="仿宋_GB2312" w:hAnsi="宋体" w:hint="eastAsia"/>
          <w:bCs/>
          <w:kern w:val="0"/>
          <w:sz w:val="32"/>
          <w:szCs w:val="32"/>
          <w:lang w:val="zh-CN"/>
        </w:rPr>
        <w:t>前往紫金农商银行营业网点查询上述信息。如因客户未及时查询或由于不可抗力、通讯故障、系统故障以及其他非紫金农商银行过错原因导致客户无法及时了解本结构性存款产品信息，因此产生的全部损失和风险由客户自行承担。</w:t>
      </w:r>
    </w:p>
    <w:p w:rsidR="00301A7D" w:rsidRDefault="006F09C1" w:rsidP="00EE48D1">
      <w:pPr>
        <w:spacing w:beforeLines="50" w:line="560" w:lineRule="exact"/>
        <w:ind w:firstLineChars="196" w:firstLine="627"/>
        <w:rPr>
          <w:rFonts w:ascii="黑体" w:eastAsia="黑体" w:hAnsi="宋体" w:cs="宋体"/>
          <w:bCs/>
          <w:sz w:val="32"/>
          <w:szCs w:val="32"/>
        </w:rPr>
      </w:pPr>
      <w:r>
        <w:rPr>
          <w:rFonts w:ascii="黑体" w:eastAsia="黑体" w:hAnsi="宋体" w:cs="宋体" w:hint="eastAsia"/>
          <w:bCs/>
          <w:sz w:val="32"/>
          <w:szCs w:val="32"/>
        </w:rPr>
        <w:t>四、特别提示</w:t>
      </w:r>
    </w:p>
    <w:p w:rsidR="00301A7D" w:rsidRDefault="006F09C1">
      <w:pPr>
        <w:spacing w:line="560" w:lineRule="exact"/>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4.1</w:t>
      </w:r>
      <w:r>
        <w:rPr>
          <w:rFonts w:ascii="仿宋_GB2312" w:eastAsia="仿宋_GB2312" w:hAnsi="宋体" w:hint="eastAsia"/>
          <w:bCs/>
          <w:kern w:val="0"/>
          <w:sz w:val="32"/>
          <w:szCs w:val="32"/>
          <w:lang w:val="zh-CN"/>
        </w:rPr>
        <w:t>在本产品存续期间，紫金农商银行有权至少提前</w:t>
      </w:r>
      <w:r>
        <w:rPr>
          <w:rFonts w:ascii="仿宋_GB2312" w:eastAsia="仿宋_GB2312" w:hAnsi="宋体" w:hint="eastAsia"/>
          <w:bCs/>
          <w:kern w:val="0"/>
          <w:sz w:val="32"/>
          <w:szCs w:val="32"/>
          <w:lang w:val="zh-CN"/>
        </w:rPr>
        <w:t>2</w:t>
      </w:r>
      <w:r>
        <w:rPr>
          <w:rFonts w:ascii="仿宋_GB2312" w:eastAsia="仿宋_GB2312" w:hAnsi="宋体" w:hint="eastAsia"/>
          <w:bCs/>
          <w:kern w:val="0"/>
          <w:sz w:val="32"/>
          <w:szCs w:val="32"/>
          <w:lang w:val="zh-CN"/>
        </w:rPr>
        <w:t>个工作日通过信息公告发布渠道发布公告，对产品说明书条款进行补充、说明和修改。该等产品说明书的修订，自公告载明的日期生效。</w:t>
      </w:r>
    </w:p>
    <w:p w:rsidR="00301A7D" w:rsidRDefault="006F09C1">
      <w:pPr>
        <w:spacing w:line="560" w:lineRule="exact"/>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 xml:space="preserve">    4.2</w:t>
      </w:r>
      <w:r>
        <w:rPr>
          <w:rFonts w:ascii="仿宋_GB2312" w:eastAsia="仿宋_GB2312" w:hAnsi="宋体" w:hint="eastAsia"/>
          <w:bCs/>
          <w:kern w:val="0"/>
          <w:sz w:val="32"/>
          <w:szCs w:val="32"/>
          <w:lang w:val="zh-CN"/>
        </w:rPr>
        <w:t>客户签署《结构性存款协议》后，紫金农商银行有权在产品起息日从约定的账户扣收客户的存款本金。</w:t>
      </w:r>
    </w:p>
    <w:p w:rsidR="00301A7D" w:rsidRDefault="006F09C1" w:rsidP="00EE48D1">
      <w:pPr>
        <w:spacing w:beforeLines="50" w:line="560" w:lineRule="exact"/>
        <w:ind w:firstLineChars="196" w:firstLine="627"/>
        <w:rPr>
          <w:rFonts w:ascii="黑体" w:eastAsia="黑体" w:hAnsi="宋体" w:cs="宋体"/>
          <w:bCs/>
          <w:sz w:val="32"/>
          <w:szCs w:val="32"/>
        </w:rPr>
      </w:pPr>
      <w:r>
        <w:rPr>
          <w:rFonts w:ascii="黑体" w:eastAsia="黑体" w:hAnsi="宋体" w:cs="宋体" w:hint="eastAsia"/>
          <w:bCs/>
          <w:sz w:val="32"/>
          <w:szCs w:val="32"/>
        </w:rPr>
        <w:t>五、其他</w:t>
      </w:r>
    </w:p>
    <w:p w:rsidR="00301A7D" w:rsidRDefault="006F09C1">
      <w:pPr>
        <w:spacing w:line="560" w:lineRule="exact"/>
        <w:ind w:firstLineChars="200" w:firstLine="640"/>
        <w:rPr>
          <w:rFonts w:ascii="仿宋_GB2312" w:eastAsia="仿宋_GB2312" w:hAnsi="宋体" w:cs="宋体"/>
          <w:bCs/>
          <w:kern w:val="0"/>
          <w:sz w:val="32"/>
          <w:szCs w:val="32"/>
          <w:lang w:val="zh-CN"/>
        </w:rPr>
      </w:pPr>
      <w:r>
        <w:rPr>
          <w:rFonts w:ascii="仿宋_GB2312" w:eastAsia="仿宋_GB2312" w:hAnsi="宋体" w:cs="宋体" w:hint="eastAsia"/>
          <w:bCs/>
          <w:kern w:val="0"/>
          <w:sz w:val="32"/>
          <w:szCs w:val="32"/>
          <w:lang w:val="zh-CN"/>
        </w:rPr>
        <w:t>本结构性存款产品说明书与《结构性存款风险揭示书》、《结构性存款协议》、《客户权益须知》共同构成客户认购本结构性存款产品的法律文件。如产品说明书与协议不一致的，以产品说明书为准。</w:t>
      </w:r>
    </w:p>
    <w:p w:rsidR="00301A7D" w:rsidRDefault="006F09C1">
      <w:pPr>
        <w:spacing w:line="560" w:lineRule="exact"/>
        <w:ind w:firstLineChars="200" w:firstLine="640"/>
        <w:rPr>
          <w:rFonts w:ascii="仿宋_GB2312" w:eastAsia="仿宋_GB2312" w:hAnsi="宋体" w:cs="宋体"/>
          <w:bCs/>
          <w:kern w:val="0"/>
          <w:sz w:val="32"/>
          <w:szCs w:val="32"/>
          <w:lang w:val="zh-CN"/>
        </w:rPr>
      </w:pPr>
      <w:r>
        <w:rPr>
          <w:rFonts w:ascii="仿宋_GB2312" w:eastAsia="仿宋_GB2312" w:hAnsi="宋体" w:cs="宋体" w:hint="eastAsia"/>
          <w:bCs/>
          <w:kern w:val="0"/>
          <w:sz w:val="32"/>
          <w:szCs w:val="32"/>
          <w:lang w:val="zh-CN"/>
        </w:rPr>
        <w:t>客户对本结构性存款产品有任何意见或异议，请联系或反馈至紫金农商银行各营业网点，也可致电紫金农商银行客户服务热线（</w:t>
      </w:r>
      <w:r>
        <w:rPr>
          <w:rFonts w:ascii="仿宋_GB2312" w:eastAsia="仿宋_GB2312" w:hAnsi="宋体" w:cs="宋体" w:hint="eastAsia"/>
          <w:bCs/>
          <w:kern w:val="0"/>
          <w:sz w:val="32"/>
          <w:szCs w:val="32"/>
          <w:lang w:val="zh-CN"/>
        </w:rPr>
        <w:t>9</w:t>
      </w:r>
      <w:r>
        <w:rPr>
          <w:rFonts w:ascii="仿宋_GB2312" w:eastAsia="仿宋_GB2312" w:hAnsi="宋体" w:cs="宋体" w:hint="eastAsia"/>
          <w:bCs/>
          <w:kern w:val="0"/>
          <w:sz w:val="32"/>
          <w:szCs w:val="32"/>
        </w:rPr>
        <w:t>6008</w:t>
      </w:r>
      <w:r>
        <w:rPr>
          <w:rFonts w:ascii="仿宋_GB2312" w:eastAsia="仿宋_GB2312" w:hAnsi="宋体" w:cs="宋体" w:hint="eastAsia"/>
          <w:bCs/>
          <w:kern w:val="0"/>
          <w:sz w:val="32"/>
          <w:szCs w:val="32"/>
          <w:lang w:val="zh-CN"/>
        </w:rPr>
        <w:t>）。</w:t>
      </w:r>
    </w:p>
    <w:p w:rsidR="00301A7D" w:rsidRDefault="00301A7D">
      <w:pPr>
        <w:spacing w:line="560" w:lineRule="exact"/>
        <w:rPr>
          <w:rFonts w:ascii="仿宋_GB2312" w:eastAsia="仿宋_GB2312"/>
          <w:sz w:val="32"/>
          <w:szCs w:val="32"/>
        </w:rPr>
      </w:pPr>
    </w:p>
    <w:sectPr w:rsidR="00301A7D" w:rsidSect="00301A7D">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09C1" w:rsidRDefault="006F09C1" w:rsidP="00301A7D">
      <w:r>
        <w:separator/>
      </w:r>
    </w:p>
  </w:endnote>
  <w:endnote w:type="continuationSeparator" w:id="1">
    <w:p w:rsidR="006F09C1" w:rsidRDefault="006F09C1" w:rsidP="00301A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
    <w:altName w:val="宋体"/>
    <w:charset w:val="86"/>
    <w:family w:val="swiss"/>
    <w:pitch w:val="default"/>
    <w:sig w:usb0="00000000" w:usb1="0000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8621704"/>
    </w:sdtPr>
    <w:sdtContent>
      <w:p w:rsidR="00301A7D" w:rsidRDefault="00301A7D">
        <w:pPr>
          <w:pStyle w:val="a3"/>
          <w:jc w:val="center"/>
        </w:pPr>
        <w:r w:rsidRPr="00301A7D">
          <w:fldChar w:fldCharType="begin"/>
        </w:r>
        <w:r w:rsidR="006F09C1">
          <w:instrText xml:space="preserve"> PAGE   \* MERGEFORMAT </w:instrText>
        </w:r>
        <w:r w:rsidRPr="00301A7D">
          <w:fldChar w:fldCharType="separate"/>
        </w:r>
        <w:r w:rsidR="00EE48D1" w:rsidRPr="00EE48D1">
          <w:rPr>
            <w:noProof/>
            <w:lang w:val="zh-CN"/>
          </w:rPr>
          <w:t>1</w:t>
        </w:r>
        <w:r>
          <w:rPr>
            <w:lang w:val="zh-CN"/>
          </w:rPr>
          <w:fldChar w:fldCharType="end"/>
        </w:r>
      </w:p>
    </w:sdtContent>
  </w:sdt>
  <w:p w:rsidR="00301A7D" w:rsidRDefault="00301A7D">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09C1" w:rsidRDefault="006F09C1" w:rsidP="00301A7D">
      <w:r>
        <w:separator/>
      </w:r>
    </w:p>
  </w:footnote>
  <w:footnote w:type="continuationSeparator" w:id="1">
    <w:p w:rsidR="006F09C1" w:rsidRDefault="006F09C1" w:rsidP="00301A7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DE90CD"/>
    <w:multiLevelType w:val="singleLevel"/>
    <w:tmpl w:val="64DE90CD"/>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951D0"/>
    <w:rsid w:val="00001706"/>
    <w:rsid w:val="00001FB0"/>
    <w:rsid w:val="00002345"/>
    <w:rsid w:val="000109E5"/>
    <w:rsid w:val="0001481C"/>
    <w:rsid w:val="000148FF"/>
    <w:rsid w:val="00020D53"/>
    <w:rsid w:val="00022EBA"/>
    <w:rsid w:val="00022FC8"/>
    <w:rsid w:val="00023184"/>
    <w:rsid w:val="000250DB"/>
    <w:rsid w:val="0003659E"/>
    <w:rsid w:val="00050031"/>
    <w:rsid w:val="00050E9E"/>
    <w:rsid w:val="00053BBE"/>
    <w:rsid w:val="000547F8"/>
    <w:rsid w:val="00057244"/>
    <w:rsid w:val="00061B40"/>
    <w:rsid w:val="00061D48"/>
    <w:rsid w:val="00061F5D"/>
    <w:rsid w:val="000625BA"/>
    <w:rsid w:val="0007198C"/>
    <w:rsid w:val="00072058"/>
    <w:rsid w:val="00084281"/>
    <w:rsid w:val="00085E36"/>
    <w:rsid w:val="00087269"/>
    <w:rsid w:val="0009087C"/>
    <w:rsid w:val="0009472E"/>
    <w:rsid w:val="0009547B"/>
    <w:rsid w:val="00095982"/>
    <w:rsid w:val="00096310"/>
    <w:rsid w:val="0009646E"/>
    <w:rsid w:val="000A0B11"/>
    <w:rsid w:val="000A4F09"/>
    <w:rsid w:val="000B3A85"/>
    <w:rsid w:val="000B5990"/>
    <w:rsid w:val="000C235F"/>
    <w:rsid w:val="000C2828"/>
    <w:rsid w:val="000C2D56"/>
    <w:rsid w:val="000C3EF7"/>
    <w:rsid w:val="000C45A3"/>
    <w:rsid w:val="000C52EA"/>
    <w:rsid w:val="000D174C"/>
    <w:rsid w:val="000D3DEC"/>
    <w:rsid w:val="000D426A"/>
    <w:rsid w:val="000E60F2"/>
    <w:rsid w:val="000E64DF"/>
    <w:rsid w:val="000F1566"/>
    <w:rsid w:val="000F1573"/>
    <w:rsid w:val="000F17F7"/>
    <w:rsid w:val="00105E6A"/>
    <w:rsid w:val="001075C7"/>
    <w:rsid w:val="0011096F"/>
    <w:rsid w:val="00113282"/>
    <w:rsid w:val="00116BF8"/>
    <w:rsid w:val="00116DD8"/>
    <w:rsid w:val="00121891"/>
    <w:rsid w:val="00125F6B"/>
    <w:rsid w:val="00130975"/>
    <w:rsid w:val="0013654B"/>
    <w:rsid w:val="001374DE"/>
    <w:rsid w:val="00145A42"/>
    <w:rsid w:val="0014603C"/>
    <w:rsid w:val="00146869"/>
    <w:rsid w:val="00150CDF"/>
    <w:rsid w:val="00164C50"/>
    <w:rsid w:val="0016640E"/>
    <w:rsid w:val="00166615"/>
    <w:rsid w:val="00170997"/>
    <w:rsid w:val="001820DD"/>
    <w:rsid w:val="00182583"/>
    <w:rsid w:val="001849BF"/>
    <w:rsid w:val="00187409"/>
    <w:rsid w:val="00195BB4"/>
    <w:rsid w:val="00196B6D"/>
    <w:rsid w:val="00196D66"/>
    <w:rsid w:val="001A0135"/>
    <w:rsid w:val="001A29C8"/>
    <w:rsid w:val="001A4477"/>
    <w:rsid w:val="001A5228"/>
    <w:rsid w:val="001A7767"/>
    <w:rsid w:val="001B5142"/>
    <w:rsid w:val="001B691E"/>
    <w:rsid w:val="001B71B7"/>
    <w:rsid w:val="001C000E"/>
    <w:rsid w:val="001C3183"/>
    <w:rsid w:val="001D116B"/>
    <w:rsid w:val="001D188E"/>
    <w:rsid w:val="001D457D"/>
    <w:rsid w:val="001D74D1"/>
    <w:rsid w:val="001E33A2"/>
    <w:rsid w:val="001F0982"/>
    <w:rsid w:val="001F0A81"/>
    <w:rsid w:val="001F0D86"/>
    <w:rsid w:val="001F4061"/>
    <w:rsid w:val="00202233"/>
    <w:rsid w:val="002044E0"/>
    <w:rsid w:val="00206AAF"/>
    <w:rsid w:val="00214075"/>
    <w:rsid w:val="0021447E"/>
    <w:rsid w:val="00214638"/>
    <w:rsid w:val="00217CAF"/>
    <w:rsid w:val="002215BD"/>
    <w:rsid w:val="00222372"/>
    <w:rsid w:val="00223ECE"/>
    <w:rsid w:val="002277C6"/>
    <w:rsid w:val="00227F6D"/>
    <w:rsid w:val="00230E12"/>
    <w:rsid w:val="00232EB8"/>
    <w:rsid w:val="00233319"/>
    <w:rsid w:val="00234F98"/>
    <w:rsid w:val="002359F0"/>
    <w:rsid w:val="00237F12"/>
    <w:rsid w:val="00240008"/>
    <w:rsid w:val="00243650"/>
    <w:rsid w:val="00245525"/>
    <w:rsid w:val="0024719F"/>
    <w:rsid w:val="00247EA8"/>
    <w:rsid w:val="002510D7"/>
    <w:rsid w:val="00255B00"/>
    <w:rsid w:val="002749E0"/>
    <w:rsid w:val="002751EC"/>
    <w:rsid w:val="00277950"/>
    <w:rsid w:val="00282143"/>
    <w:rsid w:val="00283A80"/>
    <w:rsid w:val="00283BD5"/>
    <w:rsid w:val="00295677"/>
    <w:rsid w:val="00296E20"/>
    <w:rsid w:val="0029786C"/>
    <w:rsid w:val="002A0C90"/>
    <w:rsid w:val="002A256F"/>
    <w:rsid w:val="002A30F4"/>
    <w:rsid w:val="002A4F9A"/>
    <w:rsid w:val="002A5278"/>
    <w:rsid w:val="002A5E1D"/>
    <w:rsid w:val="002A70B9"/>
    <w:rsid w:val="002A773B"/>
    <w:rsid w:val="002A7E1E"/>
    <w:rsid w:val="002B0CAD"/>
    <w:rsid w:val="002C17E9"/>
    <w:rsid w:val="002C25BE"/>
    <w:rsid w:val="002C7F70"/>
    <w:rsid w:val="002D12F9"/>
    <w:rsid w:val="002D34B9"/>
    <w:rsid w:val="002E289E"/>
    <w:rsid w:val="002E37C6"/>
    <w:rsid w:val="002E4802"/>
    <w:rsid w:val="002E5932"/>
    <w:rsid w:val="002E71E1"/>
    <w:rsid w:val="002E7B79"/>
    <w:rsid w:val="002F198A"/>
    <w:rsid w:val="002F19E5"/>
    <w:rsid w:val="002F28E3"/>
    <w:rsid w:val="002F3945"/>
    <w:rsid w:val="002F3FCF"/>
    <w:rsid w:val="002F7097"/>
    <w:rsid w:val="0030042D"/>
    <w:rsid w:val="003012B5"/>
    <w:rsid w:val="0030160B"/>
    <w:rsid w:val="00301A7D"/>
    <w:rsid w:val="00301A93"/>
    <w:rsid w:val="00302AF0"/>
    <w:rsid w:val="003047F2"/>
    <w:rsid w:val="0032017F"/>
    <w:rsid w:val="00320295"/>
    <w:rsid w:val="00321184"/>
    <w:rsid w:val="00324DCB"/>
    <w:rsid w:val="00326E51"/>
    <w:rsid w:val="003329EA"/>
    <w:rsid w:val="00340964"/>
    <w:rsid w:val="003437AB"/>
    <w:rsid w:val="00344F2C"/>
    <w:rsid w:val="00345D9B"/>
    <w:rsid w:val="00351089"/>
    <w:rsid w:val="003510DC"/>
    <w:rsid w:val="00352301"/>
    <w:rsid w:val="00354F68"/>
    <w:rsid w:val="0036125E"/>
    <w:rsid w:val="003739EF"/>
    <w:rsid w:val="0037429A"/>
    <w:rsid w:val="003745B5"/>
    <w:rsid w:val="00381FE4"/>
    <w:rsid w:val="00387BCB"/>
    <w:rsid w:val="00392829"/>
    <w:rsid w:val="00393037"/>
    <w:rsid w:val="00393387"/>
    <w:rsid w:val="003975E3"/>
    <w:rsid w:val="003A06E4"/>
    <w:rsid w:val="003A1717"/>
    <w:rsid w:val="003A20FF"/>
    <w:rsid w:val="003A650F"/>
    <w:rsid w:val="003A7E46"/>
    <w:rsid w:val="003B1180"/>
    <w:rsid w:val="003B38C9"/>
    <w:rsid w:val="003B4872"/>
    <w:rsid w:val="003B4BBF"/>
    <w:rsid w:val="003B59AF"/>
    <w:rsid w:val="003B5F72"/>
    <w:rsid w:val="003B6AD5"/>
    <w:rsid w:val="003C1E09"/>
    <w:rsid w:val="003C4557"/>
    <w:rsid w:val="003C5B50"/>
    <w:rsid w:val="003D2754"/>
    <w:rsid w:val="003D41F5"/>
    <w:rsid w:val="003D4785"/>
    <w:rsid w:val="003D4D8F"/>
    <w:rsid w:val="003D7F9E"/>
    <w:rsid w:val="003E2262"/>
    <w:rsid w:val="003E323E"/>
    <w:rsid w:val="003E4170"/>
    <w:rsid w:val="003E75E2"/>
    <w:rsid w:val="00400902"/>
    <w:rsid w:val="00402498"/>
    <w:rsid w:val="0040370F"/>
    <w:rsid w:val="00412343"/>
    <w:rsid w:val="00415760"/>
    <w:rsid w:val="00416639"/>
    <w:rsid w:val="00417242"/>
    <w:rsid w:val="00422E40"/>
    <w:rsid w:val="00423B78"/>
    <w:rsid w:val="00433206"/>
    <w:rsid w:val="0043467F"/>
    <w:rsid w:val="00434D46"/>
    <w:rsid w:val="00435962"/>
    <w:rsid w:val="00443974"/>
    <w:rsid w:val="00451D40"/>
    <w:rsid w:val="0045382D"/>
    <w:rsid w:val="00453C51"/>
    <w:rsid w:val="00455686"/>
    <w:rsid w:val="0046139F"/>
    <w:rsid w:val="004620D5"/>
    <w:rsid w:val="004627A7"/>
    <w:rsid w:val="004632E2"/>
    <w:rsid w:val="00464A29"/>
    <w:rsid w:val="00465E42"/>
    <w:rsid w:val="0046625A"/>
    <w:rsid w:val="00467E92"/>
    <w:rsid w:val="004723C5"/>
    <w:rsid w:val="00473830"/>
    <w:rsid w:val="00473C94"/>
    <w:rsid w:val="00473F22"/>
    <w:rsid w:val="00474142"/>
    <w:rsid w:val="00474536"/>
    <w:rsid w:val="00483D63"/>
    <w:rsid w:val="00487026"/>
    <w:rsid w:val="004903D4"/>
    <w:rsid w:val="004A14DD"/>
    <w:rsid w:val="004A1DA1"/>
    <w:rsid w:val="004A1FD8"/>
    <w:rsid w:val="004A2308"/>
    <w:rsid w:val="004A60BF"/>
    <w:rsid w:val="004A7F4F"/>
    <w:rsid w:val="004B3376"/>
    <w:rsid w:val="004B5430"/>
    <w:rsid w:val="004B6C60"/>
    <w:rsid w:val="004C2A0D"/>
    <w:rsid w:val="004C4D8A"/>
    <w:rsid w:val="004C6000"/>
    <w:rsid w:val="004D3510"/>
    <w:rsid w:val="004D5B73"/>
    <w:rsid w:val="004D765D"/>
    <w:rsid w:val="004E0647"/>
    <w:rsid w:val="004E2319"/>
    <w:rsid w:val="004E45D6"/>
    <w:rsid w:val="004E53FA"/>
    <w:rsid w:val="004E7806"/>
    <w:rsid w:val="004F0641"/>
    <w:rsid w:val="004F06AD"/>
    <w:rsid w:val="004F1D95"/>
    <w:rsid w:val="004F2A39"/>
    <w:rsid w:val="004F4260"/>
    <w:rsid w:val="004F4C06"/>
    <w:rsid w:val="004F71D5"/>
    <w:rsid w:val="00501101"/>
    <w:rsid w:val="00501DA0"/>
    <w:rsid w:val="005037C8"/>
    <w:rsid w:val="0050537C"/>
    <w:rsid w:val="00505381"/>
    <w:rsid w:val="00505E80"/>
    <w:rsid w:val="00507668"/>
    <w:rsid w:val="005077AF"/>
    <w:rsid w:val="00510FB9"/>
    <w:rsid w:val="00511CBB"/>
    <w:rsid w:val="00512FF2"/>
    <w:rsid w:val="0051556D"/>
    <w:rsid w:val="00515E9C"/>
    <w:rsid w:val="00516371"/>
    <w:rsid w:val="005170AA"/>
    <w:rsid w:val="00521B4B"/>
    <w:rsid w:val="005228C9"/>
    <w:rsid w:val="00522A74"/>
    <w:rsid w:val="00532285"/>
    <w:rsid w:val="005363A0"/>
    <w:rsid w:val="00536F2B"/>
    <w:rsid w:val="00541BE4"/>
    <w:rsid w:val="00543586"/>
    <w:rsid w:val="00544046"/>
    <w:rsid w:val="0054408B"/>
    <w:rsid w:val="00544DAE"/>
    <w:rsid w:val="00545BCE"/>
    <w:rsid w:val="00546D50"/>
    <w:rsid w:val="00546FB5"/>
    <w:rsid w:val="00550DD2"/>
    <w:rsid w:val="005524B0"/>
    <w:rsid w:val="005574B1"/>
    <w:rsid w:val="0055761A"/>
    <w:rsid w:val="00563135"/>
    <w:rsid w:val="00570650"/>
    <w:rsid w:val="005747DF"/>
    <w:rsid w:val="00576594"/>
    <w:rsid w:val="0057793F"/>
    <w:rsid w:val="00582B21"/>
    <w:rsid w:val="00594778"/>
    <w:rsid w:val="00597090"/>
    <w:rsid w:val="00597EB8"/>
    <w:rsid w:val="005A0142"/>
    <w:rsid w:val="005A6A23"/>
    <w:rsid w:val="005B562C"/>
    <w:rsid w:val="005B57AF"/>
    <w:rsid w:val="005B5976"/>
    <w:rsid w:val="005C0AA0"/>
    <w:rsid w:val="005C4B42"/>
    <w:rsid w:val="005C5663"/>
    <w:rsid w:val="005D23BB"/>
    <w:rsid w:val="005D27FE"/>
    <w:rsid w:val="005F17F4"/>
    <w:rsid w:val="005F3AD0"/>
    <w:rsid w:val="0060618C"/>
    <w:rsid w:val="00613849"/>
    <w:rsid w:val="00616987"/>
    <w:rsid w:val="006208B6"/>
    <w:rsid w:val="00621618"/>
    <w:rsid w:val="0062259B"/>
    <w:rsid w:val="00627128"/>
    <w:rsid w:val="00632FFF"/>
    <w:rsid w:val="0063562C"/>
    <w:rsid w:val="00640430"/>
    <w:rsid w:val="00651D52"/>
    <w:rsid w:val="00654803"/>
    <w:rsid w:val="00657035"/>
    <w:rsid w:val="00657972"/>
    <w:rsid w:val="00664748"/>
    <w:rsid w:val="00665619"/>
    <w:rsid w:val="00666364"/>
    <w:rsid w:val="006900DA"/>
    <w:rsid w:val="00696C45"/>
    <w:rsid w:val="006A007F"/>
    <w:rsid w:val="006A6F23"/>
    <w:rsid w:val="006A7F71"/>
    <w:rsid w:val="006B1108"/>
    <w:rsid w:val="006B5D5A"/>
    <w:rsid w:val="006C184C"/>
    <w:rsid w:val="006C1A75"/>
    <w:rsid w:val="006C62AA"/>
    <w:rsid w:val="006E0EA5"/>
    <w:rsid w:val="006E38AC"/>
    <w:rsid w:val="006E594F"/>
    <w:rsid w:val="006E65E5"/>
    <w:rsid w:val="006F03F2"/>
    <w:rsid w:val="006F09C1"/>
    <w:rsid w:val="006F3F23"/>
    <w:rsid w:val="00706194"/>
    <w:rsid w:val="00711F53"/>
    <w:rsid w:val="00712A65"/>
    <w:rsid w:val="007141F1"/>
    <w:rsid w:val="007158BD"/>
    <w:rsid w:val="007162A8"/>
    <w:rsid w:val="00723EEF"/>
    <w:rsid w:val="00726096"/>
    <w:rsid w:val="00726CAB"/>
    <w:rsid w:val="0073111C"/>
    <w:rsid w:val="0073244B"/>
    <w:rsid w:val="007367AE"/>
    <w:rsid w:val="00736E92"/>
    <w:rsid w:val="0074027F"/>
    <w:rsid w:val="00740D16"/>
    <w:rsid w:val="0074719F"/>
    <w:rsid w:val="00751F6A"/>
    <w:rsid w:val="00771248"/>
    <w:rsid w:val="007758F1"/>
    <w:rsid w:val="0077665B"/>
    <w:rsid w:val="00777916"/>
    <w:rsid w:val="00781C35"/>
    <w:rsid w:val="00784F31"/>
    <w:rsid w:val="0079338B"/>
    <w:rsid w:val="00794FD4"/>
    <w:rsid w:val="007A0698"/>
    <w:rsid w:val="007A36AC"/>
    <w:rsid w:val="007B1C77"/>
    <w:rsid w:val="007B1F50"/>
    <w:rsid w:val="007B21BF"/>
    <w:rsid w:val="007B2237"/>
    <w:rsid w:val="007B5454"/>
    <w:rsid w:val="007B640D"/>
    <w:rsid w:val="007C3019"/>
    <w:rsid w:val="007C4E80"/>
    <w:rsid w:val="007C5CEE"/>
    <w:rsid w:val="007C62F3"/>
    <w:rsid w:val="007D2E17"/>
    <w:rsid w:val="007E1EAC"/>
    <w:rsid w:val="007F023F"/>
    <w:rsid w:val="007F0C0B"/>
    <w:rsid w:val="007F2A13"/>
    <w:rsid w:val="007F3CEF"/>
    <w:rsid w:val="007F404B"/>
    <w:rsid w:val="00801127"/>
    <w:rsid w:val="00802E3A"/>
    <w:rsid w:val="008039EE"/>
    <w:rsid w:val="00803D17"/>
    <w:rsid w:val="0080520F"/>
    <w:rsid w:val="00806DE7"/>
    <w:rsid w:val="00815D3F"/>
    <w:rsid w:val="00816659"/>
    <w:rsid w:val="0082005F"/>
    <w:rsid w:val="008215CF"/>
    <w:rsid w:val="00822D5B"/>
    <w:rsid w:val="00823867"/>
    <w:rsid w:val="00824020"/>
    <w:rsid w:val="00825EEE"/>
    <w:rsid w:val="008264AA"/>
    <w:rsid w:val="008274FC"/>
    <w:rsid w:val="00827F95"/>
    <w:rsid w:val="00830AE1"/>
    <w:rsid w:val="008421B5"/>
    <w:rsid w:val="00850FBB"/>
    <w:rsid w:val="0085143E"/>
    <w:rsid w:val="00854D37"/>
    <w:rsid w:val="00864E93"/>
    <w:rsid w:val="0087237C"/>
    <w:rsid w:val="008723BE"/>
    <w:rsid w:val="00875895"/>
    <w:rsid w:val="0088224E"/>
    <w:rsid w:val="00882CFA"/>
    <w:rsid w:val="008849B9"/>
    <w:rsid w:val="00884BB8"/>
    <w:rsid w:val="00887506"/>
    <w:rsid w:val="00887EA2"/>
    <w:rsid w:val="00890C21"/>
    <w:rsid w:val="00894E81"/>
    <w:rsid w:val="00896E70"/>
    <w:rsid w:val="008A15D9"/>
    <w:rsid w:val="008A4502"/>
    <w:rsid w:val="008A48A5"/>
    <w:rsid w:val="008B0B9E"/>
    <w:rsid w:val="008B6A18"/>
    <w:rsid w:val="008C102D"/>
    <w:rsid w:val="008C5CC0"/>
    <w:rsid w:val="008D69F5"/>
    <w:rsid w:val="008D7758"/>
    <w:rsid w:val="008E14C7"/>
    <w:rsid w:val="008E485B"/>
    <w:rsid w:val="008E59C2"/>
    <w:rsid w:val="008E7CE9"/>
    <w:rsid w:val="008F4AE0"/>
    <w:rsid w:val="008F4B80"/>
    <w:rsid w:val="009002AF"/>
    <w:rsid w:val="00900998"/>
    <w:rsid w:val="0090142C"/>
    <w:rsid w:val="009020AE"/>
    <w:rsid w:val="00906644"/>
    <w:rsid w:val="00910877"/>
    <w:rsid w:val="00911109"/>
    <w:rsid w:val="009118F3"/>
    <w:rsid w:val="009149AB"/>
    <w:rsid w:val="009167C9"/>
    <w:rsid w:val="00925001"/>
    <w:rsid w:val="00926BCD"/>
    <w:rsid w:val="009279D1"/>
    <w:rsid w:val="00941587"/>
    <w:rsid w:val="00941712"/>
    <w:rsid w:val="00942E21"/>
    <w:rsid w:val="009468B1"/>
    <w:rsid w:val="00947018"/>
    <w:rsid w:val="00951648"/>
    <w:rsid w:val="00954049"/>
    <w:rsid w:val="00955725"/>
    <w:rsid w:val="00965731"/>
    <w:rsid w:val="009706F8"/>
    <w:rsid w:val="0097592E"/>
    <w:rsid w:val="00981B8B"/>
    <w:rsid w:val="0098370E"/>
    <w:rsid w:val="00984938"/>
    <w:rsid w:val="009858AD"/>
    <w:rsid w:val="00990B1F"/>
    <w:rsid w:val="00990FDA"/>
    <w:rsid w:val="00994AE2"/>
    <w:rsid w:val="009B2B27"/>
    <w:rsid w:val="009B6CBE"/>
    <w:rsid w:val="009C0241"/>
    <w:rsid w:val="009C2694"/>
    <w:rsid w:val="009C4979"/>
    <w:rsid w:val="009D2FD6"/>
    <w:rsid w:val="009D3FD7"/>
    <w:rsid w:val="009D4243"/>
    <w:rsid w:val="009D77E7"/>
    <w:rsid w:val="009D7C6E"/>
    <w:rsid w:val="009D7D9A"/>
    <w:rsid w:val="009E26A4"/>
    <w:rsid w:val="009E2C2F"/>
    <w:rsid w:val="009E2F17"/>
    <w:rsid w:val="009F3729"/>
    <w:rsid w:val="009F67ED"/>
    <w:rsid w:val="009F691B"/>
    <w:rsid w:val="00A00A3D"/>
    <w:rsid w:val="00A04795"/>
    <w:rsid w:val="00A0608E"/>
    <w:rsid w:val="00A06480"/>
    <w:rsid w:val="00A3487B"/>
    <w:rsid w:val="00A4222A"/>
    <w:rsid w:val="00A4401C"/>
    <w:rsid w:val="00A474E3"/>
    <w:rsid w:val="00A508D3"/>
    <w:rsid w:val="00A52944"/>
    <w:rsid w:val="00A52D1C"/>
    <w:rsid w:val="00A53A6F"/>
    <w:rsid w:val="00A546FC"/>
    <w:rsid w:val="00A54D36"/>
    <w:rsid w:val="00A554DC"/>
    <w:rsid w:val="00A63970"/>
    <w:rsid w:val="00A65B63"/>
    <w:rsid w:val="00A67622"/>
    <w:rsid w:val="00A702E9"/>
    <w:rsid w:val="00A72274"/>
    <w:rsid w:val="00A8032E"/>
    <w:rsid w:val="00A81C96"/>
    <w:rsid w:val="00A82AC3"/>
    <w:rsid w:val="00A8387C"/>
    <w:rsid w:val="00A871A6"/>
    <w:rsid w:val="00A87DD3"/>
    <w:rsid w:val="00A9147E"/>
    <w:rsid w:val="00A9226F"/>
    <w:rsid w:val="00A95DE6"/>
    <w:rsid w:val="00A96B7A"/>
    <w:rsid w:val="00AA0A1F"/>
    <w:rsid w:val="00AA1C1B"/>
    <w:rsid w:val="00AA230A"/>
    <w:rsid w:val="00AA4781"/>
    <w:rsid w:val="00AB2657"/>
    <w:rsid w:val="00AB4329"/>
    <w:rsid w:val="00AB5EF8"/>
    <w:rsid w:val="00AC065F"/>
    <w:rsid w:val="00AC35C8"/>
    <w:rsid w:val="00AD292E"/>
    <w:rsid w:val="00AD545A"/>
    <w:rsid w:val="00AD5FBE"/>
    <w:rsid w:val="00AE3620"/>
    <w:rsid w:val="00AE46D3"/>
    <w:rsid w:val="00AE7F5E"/>
    <w:rsid w:val="00AF28C4"/>
    <w:rsid w:val="00AF343F"/>
    <w:rsid w:val="00AF7565"/>
    <w:rsid w:val="00B011B1"/>
    <w:rsid w:val="00B02405"/>
    <w:rsid w:val="00B0444F"/>
    <w:rsid w:val="00B06778"/>
    <w:rsid w:val="00B06AE4"/>
    <w:rsid w:val="00B13C07"/>
    <w:rsid w:val="00B21E8F"/>
    <w:rsid w:val="00B23F88"/>
    <w:rsid w:val="00B2635C"/>
    <w:rsid w:val="00B319AF"/>
    <w:rsid w:val="00B34161"/>
    <w:rsid w:val="00B37D62"/>
    <w:rsid w:val="00B40A4D"/>
    <w:rsid w:val="00B46CA8"/>
    <w:rsid w:val="00B47F8D"/>
    <w:rsid w:val="00B51358"/>
    <w:rsid w:val="00B53A47"/>
    <w:rsid w:val="00B53A86"/>
    <w:rsid w:val="00B54BFB"/>
    <w:rsid w:val="00B618BE"/>
    <w:rsid w:val="00B61AA6"/>
    <w:rsid w:val="00B63587"/>
    <w:rsid w:val="00B66767"/>
    <w:rsid w:val="00B67E9E"/>
    <w:rsid w:val="00B720FC"/>
    <w:rsid w:val="00B7517D"/>
    <w:rsid w:val="00B75453"/>
    <w:rsid w:val="00B77704"/>
    <w:rsid w:val="00B806A5"/>
    <w:rsid w:val="00B851D8"/>
    <w:rsid w:val="00BA3B8F"/>
    <w:rsid w:val="00BA56F0"/>
    <w:rsid w:val="00BA69FF"/>
    <w:rsid w:val="00BA74C8"/>
    <w:rsid w:val="00BB0ED5"/>
    <w:rsid w:val="00BB42D1"/>
    <w:rsid w:val="00BB4C6B"/>
    <w:rsid w:val="00BB5822"/>
    <w:rsid w:val="00BB7120"/>
    <w:rsid w:val="00BC0B1D"/>
    <w:rsid w:val="00BC6909"/>
    <w:rsid w:val="00BD0442"/>
    <w:rsid w:val="00BD07A7"/>
    <w:rsid w:val="00BD17FB"/>
    <w:rsid w:val="00BD3C93"/>
    <w:rsid w:val="00BE0CC2"/>
    <w:rsid w:val="00BE1642"/>
    <w:rsid w:val="00BE1BD3"/>
    <w:rsid w:val="00BE221E"/>
    <w:rsid w:val="00BE2C90"/>
    <w:rsid w:val="00BE312A"/>
    <w:rsid w:val="00BE47DD"/>
    <w:rsid w:val="00BE666A"/>
    <w:rsid w:val="00BE66CA"/>
    <w:rsid w:val="00BE6A5A"/>
    <w:rsid w:val="00BF10C6"/>
    <w:rsid w:val="00BF10D7"/>
    <w:rsid w:val="00BF149A"/>
    <w:rsid w:val="00BF5748"/>
    <w:rsid w:val="00BF629D"/>
    <w:rsid w:val="00C028CB"/>
    <w:rsid w:val="00C07F6D"/>
    <w:rsid w:val="00C120D2"/>
    <w:rsid w:val="00C1662A"/>
    <w:rsid w:val="00C17EC6"/>
    <w:rsid w:val="00C233C7"/>
    <w:rsid w:val="00C35C15"/>
    <w:rsid w:val="00C37416"/>
    <w:rsid w:val="00C52279"/>
    <w:rsid w:val="00C52E9A"/>
    <w:rsid w:val="00C5691E"/>
    <w:rsid w:val="00C57464"/>
    <w:rsid w:val="00C625AC"/>
    <w:rsid w:val="00C65528"/>
    <w:rsid w:val="00C65BE6"/>
    <w:rsid w:val="00C6617B"/>
    <w:rsid w:val="00C66D8F"/>
    <w:rsid w:val="00C67ABF"/>
    <w:rsid w:val="00C705BC"/>
    <w:rsid w:val="00C738B3"/>
    <w:rsid w:val="00C75F05"/>
    <w:rsid w:val="00C7676A"/>
    <w:rsid w:val="00C76A77"/>
    <w:rsid w:val="00C8003E"/>
    <w:rsid w:val="00C862B5"/>
    <w:rsid w:val="00C86738"/>
    <w:rsid w:val="00C86E30"/>
    <w:rsid w:val="00C87F0C"/>
    <w:rsid w:val="00C90DA7"/>
    <w:rsid w:val="00C92506"/>
    <w:rsid w:val="00C925E9"/>
    <w:rsid w:val="00C951D0"/>
    <w:rsid w:val="00C9674A"/>
    <w:rsid w:val="00CA1D93"/>
    <w:rsid w:val="00CA2367"/>
    <w:rsid w:val="00CA275D"/>
    <w:rsid w:val="00CA2FBE"/>
    <w:rsid w:val="00CA39B4"/>
    <w:rsid w:val="00CA5603"/>
    <w:rsid w:val="00CB14E0"/>
    <w:rsid w:val="00CB4778"/>
    <w:rsid w:val="00CB53FC"/>
    <w:rsid w:val="00CC002B"/>
    <w:rsid w:val="00CC1528"/>
    <w:rsid w:val="00CC18D7"/>
    <w:rsid w:val="00CC3163"/>
    <w:rsid w:val="00CD23CD"/>
    <w:rsid w:val="00CD41E7"/>
    <w:rsid w:val="00CD491A"/>
    <w:rsid w:val="00CD4EB9"/>
    <w:rsid w:val="00CE01AC"/>
    <w:rsid w:val="00CE2810"/>
    <w:rsid w:val="00CE3255"/>
    <w:rsid w:val="00CE339B"/>
    <w:rsid w:val="00CE5436"/>
    <w:rsid w:val="00CE7D8D"/>
    <w:rsid w:val="00CF0E02"/>
    <w:rsid w:val="00CF3229"/>
    <w:rsid w:val="00CF43E8"/>
    <w:rsid w:val="00D00AE5"/>
    <w:rsid w:val="00D046C1"/>
    <w:rsid w:val="00D05A8A"/>
    <w:rsid w:val="00D05D0F"/>
    <w:rsid w:val="00D0631A"/>
    <w:rsid w:val="00D1574E"/>
    <w:rsid w:val="00D173E7"/>
    <w:rsid w:val="00D21B11"/>
    <w:rsid w:val="00D245E3"/>
    <w:rsid w:val="00D24E60"/>
    <w:rsid w:val="00D257BF"/>
    <w:rsid w:val="00D31175"/>
    <w:rsid w:val="00D31DEC"/>
    <w:rsid w:val="00D32378"/>
    <w:rsid w:val="00D34259"/>
    <w:rsid w:val="00D34634"/>
    <w:rsid w:val="00D433B0"/>
    <w:rsid w:val="00D437DA"/>
    <w:rsid w:val="00D44EA7"/>
    <w:rsid w:val="00D4596B"/>
    <w:rsid w:val="00D52D65"/>
    <w:rsid w:val="00D5361C"/>
    <w:rsid w:val="00D618FB"/>
    <w:rsid w:val="00D66F76"/>
    <w:rsid w:val="00D67D06"/>
    <w:rsid w:val="00D67FD8"/>
    <w:rsid w:val="00D706A7"/>
    <w:rsid w:val="00D71314"/>
    <w:rsid w:val="00D825E4"/>
    <w:rsid w:val="00D8279E"/>
    <w:rsid w:val="00D90611"/>
    <w:rsid w:val="00D92677"/>
    <w:rsid w:val="00D9414C"/>
    <w:rsid w:val="00D97DAF"/>
    <w:rsid w:val="00DA2D31"/>
    <w:rsid w:val="00DA503C"/>
    <w:rsid w:val="00DB6DE9"/>
    <w:rsid w:val="00DC020E"/>
    <w:rsid w:val="00DC13CC"/>
    <w:rsid w:val="00DC177B"/>
    <w:rsid w:val="00DC1D55"/>
    <w:rsid w:val="00DC40CE"/>
    <w:rsid w:val="00DD230C"/>
    <w:rsid w:val="00DD2B8E"/>
    <w:rsid w:val="00DD50D2"/>
    <w:rsid w:val="00DD5309"/>
    <w:rsid w:val="00DD5EAC"/>
    <w:rsid w:val="00DD7547"/>
    <w:rsid w:val="00DE6BA9"/>
    <w:rsid w:val="00DF022C"/>
    <w:rsid w:val="00DF1E77"/>
    <w:rsid w:val="00E012D6"/>
    <w:rsid w:val="00E01B17"/>
    <w:rsid w:val="00E05CE3"/>
    <w:rsid w:val="00E064A9"/>
    <w:rsid w:val="00E06A22"/>
    <w:rsid w:val="00E10103"/>
    <w:rsid w:val="00E1306E"/>
    <w:rsid w:val="00E1708C"/>
    <w:rsid w:val="00E17D0C"/>
    <w:rsid w:val="00E21667"/>
    <w:rsid w:val="00E22912"/>
    <w:rsid w:val="00E237B1"/>
    <w:rsid w:val="00E23ABD"/>
    <w:rsid w:val="00E24646"/>
    <w:rsid w:val="00E25FAE"/>
    <w:rsid w:val="00E27D75"/>
    <w:rsid w:val="00E306A4"/>
    <w:rsid w:val="00E478C8"/>
    <w:rsid w:val="00E51293"/>
    <w:rsid w:val="00E52AEC"/>
    <w:rsid w:val="00E53736"/>
    <w:rsid w:val="00E5397D"/>
    <w:rsid w:val="00E54F38"/>
    <w:rsid w:val="00E57F8C"/>
    <w:rsid w:val="00E70229"/>
    <w:rsid w:val="00E7784C"/>
    <w:rsid w:val="00E77D9B"/>
    <w:rsid w:val="00E82AFD"/>
    <w:rsid w:val="00E9006F"/>
    <w:rsid w:val="00E94CB2"/>
    <w:rsid w:val="00EA0B45"/>
    <w:rsid w:val="00EA1F51"/>
    <w:rsid w:val="00EA313E"/>
    <w:rsid w:val="00EA34C4"/>
    <w:rsid w:val="00EA4D1C"/>
    <w:rsid w:val="00EA64B9"/>
    <w:rsid w:val="00EB751C"/>
    <w:rsid w:val="00EC0F6C"/>
    <w:rsid w:val="00EC3BDA"/>
    <w:rsid w:val="00ED2965"/>
    <w:rsid w:val="00ED2F16"/>
    <w:rsid w:val="00ED6D9E"/>
    <w:rsid w:val="00ED7CB6"/>
    <w:rsid w:val="00EE48D1"/>
    <w:rsid w:val="00EE68C9"/>
    <w:rsid w:val="00EE7787"/>
    <w:rsid w:val="00F01258"/>
    <w:rsid w:val="00F035D0"/>
    <w:rsid w:val="00F03CC0"/>
    <w:rsid w:val="00F05856"/>
    <w:rsid w:val="00F06702"/>
    <w:rsid w:val="00F10D10"/>
    <w:rsid w:val="00F12DD9"/>
    <w:rsid w:val="00F13E75"/>
    <w:rsid w:val="00F16893"/>
    <w:rsid w:val="00F232E0"/>
    <w:rsid w:val="00F31226"/>
    <w:rsid w:val="00F35982"/>
    <w:rsid w:val="00F36B04"/>
    <w:rsid w:val="00F37F01"/>
    <w:rsid w:val="00F419E7"/>
    <w:rsid w:val="00F421AA"/>
    <w:rsid w:val="00F421C9"/>
    <w:rsid w:val="00F64864"/>
    <w:rsid w:val="00F64DDB"/>
    <w:rsid w:val="00F65D28"/>
    <w:rsid w:val="00F71459"/>
    <w:rsid w:val="00F71B46"/>
    <w:rsid w:val="00F81552"/>
    <w:rsid w:val="00F82333"/>
    <w:rsid w:val="00F86F92"/>
    <w:rsid w:val="00F9104B"/>
    <w:rsid w:val="00F95C59"/>
    <w:rsid w:val="00FA3D67"/>
    <w:rsid w:val="00FA6013"/>
    <w:rsid w:val="00FB7EEC"/>
    <w:rsid w:val="00FC0773"/>
    <w:rsid w:val="00FC0B08"/>
    <w:rsid w:val="00FC2F7B"/>
    <w:rsid w:val="00FC66CD"/>
    <w:rsid w:val="00FD0ACA"/>
    <w:rsid w:val="00FD180C"/>
    <w:rsid w:val="00FD21C1"/>
    <w:rsid w:val="00FD4B10"/>
    <w:rsid w:val="00FD62C4"/>
    <w:rsid w:val="00FD7BA2"/>
    <w:rsid w:val="00FE0952"/>
    <w:rsid w:val="00FE1885"/>
    <w:rsid w:val="00FE5ED5"/>
    <w:rsid w:val="00FF79E4"/>
    <w:rsid w:val="1AB0525F"/>
    <w:rsid w:val="3A5D077E"/>
    <w:rsid w:val="4C125F3E"/>
    <w:rsid w:val="5596520C"/>
    <w:rsid w:val="6A951EE5"/>
    <w:rsid w:val="723412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A7D"/>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301A7D"/>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301A7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qFormat/>
    <w:rsid w:val="00301A7D"/>
    <w:rPr>
      <w:sz w:val="18"/>
      <w:szCs w:val="18"/>
    </w:rPr>
  </w:style>
  <w:style w:type="character" w:customStyle="1" w:styleId="Char">
    <w:name w:val="页脚 Char"/>
    <w:basedOn w:val="a0"/>
    <w:link w:val="a3"/>
    <w:uiPriority w:val="99"/>
    <w:qFormat/>
    <w:rsid w:val="00301A7D"/>
    <w:rPr>
      <w:sz w:val="18"/>
      <w:szCs w:val="18"/>
    </w:rPr>
  </w:style>
  <w:style w:type="paragraph" w:customStyle="1" w:styleId="Default">
    <w:name w:val="Default"/>
    <w:qFormat/>
    <w:rsid w:val="00301A7D"/>
    <w:pPr>
      <w:widowControl w:val="0"/>
      <w:autoSpaceDE w:val="0"/>
      <w:autoSpaceDN w:val="0"/>
      <w:adjustRightInd w:val="0"/>
    </w:pPr>
    <w:rPr>
      <w:rFonts w:ascii="...." w:eastAsia="...." w:hAnsi="Calibri" w:cs="Times New Roman"/>
      <w:color w:val="000000"/>
      <w:sz w:val="24"/>
      <w:szCs w:val="24"/>
    </w:rPr>
  </w:style>
  <w:style w:type="paragraph" w:styleId="a5">
    <w:name w:val="Balloon Text"/>
    <w:basedOn w:val="a"/>
    <w:link w:val="Char1"/>
    <w:uiPriority w:val="99"/>
    <w:semiHidden/>
    <w:unhideWhenUsed/>
    <w:rsid w:val="00EE48D1"/>
    <w:rPr>
      <w:sz w:val="18"/>
      <w:szCs w:val="18"/>
    </w:rPr>
  </w:style>
  <w:style w:type="character" w:customStyle="1" w:styleId="Char1">
    <w:name w:val="批注框文本 Char"/>
    <w:basedOn w:val="a0"/>
    <w:link w:val="a5"/>
    <w:uiPriority w:val="99"/>
    <w:semiHidden/>
    <w:rsid w:val="00EE48D1"/>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F5BCD684-9671-49DA-BB4C-28544069F52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1805</Words>
  <Characters>1950</Characters>
  <Application>Microsoft Office Word</Application>
  <DocSecurity>0</DocSecurity>
  <Lines>102</Lines>
  <Paragraphs>93</Paragraphs>
  <ScaleCrop>false</ScaleCrop>
  <Company>微软中国</Company>
  <LinksUpToDate>false</LinksUpToDate>
  <CharactersWithSpaces>3662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Administrator</cp:lastModifiedBy>
  <cp:revision>322</cp:revision>
  <dcterms:created xsi:type="dcterms:W3CDTF">2019-01-14T02:08:00Z</dcterms:created>
  <dcterms:modified xsi:type="dcterms:W3CDTF">2025-03-13T03:21:00Z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