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27D4" w:rsidRDefault="00A62074">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851031">
        <w:rPr>
          <w:rFonts w:ascii="黑体" w:eastAsia="黑体" w:hAnsi="黑体" w:cs="黑体" w:hint="eastAsia"/>
          <w:b/>
          <w:bCs/>
          <w:color w:val="auto"/>
          <w:kern w:val="2"/>
          <w:sz w:val="32"/>
          <w:szCs w:val="32"/>
        </w:rPr>
        <w:t>2025032</w:t>
      </w:r>
      <w:r>
        <w:rPr>
          <w:rFonts w:ascii="黑体" w:eastAsia="黑体" w:hAnsi="黑体" w:cs="黑体" w:hint="eastAsia"/>
          <w:b/>
          <w:bCs/>
          <w:color w:val="auto"/>
          <w:kern w:val="2"/>
          <w:sz w:val="32"/>
          <w:szCs w:val="32"/>
        </w:rPr>
        <w:t>期产品说明书</w:t>
      </w:r>
    </w:p>
    <w:p w:rsidR="001B27D4" w:rsidRDefault="00A62074" w:rsidP="00851031">
      <w:pPr>
        <w:spacing w:beforeLines="50" w:line="320" w:lineRule="exact"/>
        <w:rPr>
          <w:rFonts w:ascii="黑体" w:eastAsia="黑体" w:hAnsi="宋体"/>
          <w:b/>
          <w:bCs/>
          <w:sz w:val="24"/>
        </w:rPr>
      </w:pPr>
      <w:r>
        <w:rPr>
          <w:rFonts w:ascii="黑体" w:eastAsia="黑体" w:hAnsi="宋体" w:hint="eastAsia"/>
          <w:b/>
          <w:bCs/>
          <w:sz w:val="24"/>
        </w:rPr>
        <w:t>重要须知：</w:t>
      </w:r>
    </w:p>
    <w:p w:rsidR="001B27D4" w:rsidRDefault="00A62074">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1B27D4" w:rsidRDefault="00A62074">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1B27D4" w:rsidRDefault="00A62074">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1B27D4" w:rsidRDefault="00A62074">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1B27D4" w:rsidRDefault="00A62074">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1B27D4" w:rsidRDefault="00A62074">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w:t>
      </w:r>
      <w:r>
        <w:rPr>
          <w:rFonts w:ascii="黑体" w:eastAsia="黑体" w:hAnsi="黑体" w:cs="黑体" w:hint="eastAsia"/>
          <w:b/>
          <w:bCs/>
          <w:szCs w:val="21"/>
        </w:rPr>
        <w:t>，在不损害客户利益的前提下，紫金农商银行有权单方对本说明书进行修订。</w:t>
      </w:r>
    </w:p>
    <w:p w:rsidR="001B27D4" w:rsidRDefault="00A62074">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1B27D4" w:rsidRDefault="00A62074">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1B27D4" w:rsidRDefault="00A62074" w:rsidP="00851031">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851031" w:rsidTr="00821625">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紫金农商银行个人结构性存款2025032期</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4"/>
              </w:rPr>
            </w:pPr>
            <w:r>
              <w:rPr>
                <w:rFonts w:ascii="仿宋_GB2312" w:eastAsia="仿宋_GB2312" w:hAnsi="宋体" w:cs="宋体" w:hint="eastAsia"/>
                <w:kern w:val="0"/>
                <w:sz w:val="24"/>
              </w:rPr>
              <w:t>0112500032</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30天</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b/>
                <w:kern w:val="0"/>
                <w:sz w:val="24"/>
              </w:rPr>
            </w:pPr>
            <w:r>
              <w:rPr>
                <w:rFonts w:ascii="仿宋_GB2312" w:eastAsia="仿宋_GB2312" w:hAnsi="宋体" w:cs="宋体" w:hint="eastAsia"/>
                <w:b/>
                <w:kern w:val="0"/>
                <w:sz w:val="24"/>
              </w:rPr>
              <w:t>2025年3月17日14:00—2025年3月24日14:00</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b/>
                <w:kern w:val="0"/>
                <w:sz w:val="24"/>
              </w:rPr>
            </w:pPr>
            <w:r>
              <w:rPr>
                <w:rFonts w:ascii="仿宋_GB2312" w:eastAsia="仿宋_GB2312" w:hAnsi="宋体" w:cs="宋体" w:hint="eastAsia"/>
                <w:b/>
                <w:kern w:val="0"/>
                <w:sz w:val="24"/>
              </w:rPr>
              <w:t>2025年3月26日</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rPr>
            </w:pPr>
            <w:r>
              <w:rPr>
                <w:rFonts w:ascii="仿宋_GB2312" w:eastAsia="仿宋_GB2312" w:hAnsi="宋体" w:cs="宋体" w:hint="eastAsia"/>
                <w:kern w:val="0"/>
                <w:sz w:val="22"/>
              </w:rPr>
              <w:t>2025年4月25日</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851031" w:rsidTr="00821625">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：1.30</w:t>
            </w:r>
            <w:r>
              <w:rPr>
                <w:rFonts w:ascii="仿宋_GB2312" w:eastAsia="仿宋_GB2312"/>
                <w:sz w:val="22"/>
                <w:szCs w:val="28"/>
              </w:rPr>
              <w:t>%或</w:t>
            </w:r>
            <w:r>
              <w:rPr>
                <w:rFonts w:ascii="仿宋_GB2312" w:eastAsia="仿宋_GB2312" w:hint="eastAsia"/>
                <w:sz w:val="22"/>
                <w:szCs w:val="28"/>
              </w:rPr>
              <w:t>1.90%或2.10</w:t>
            </w:r>
            <w:r>
              <w:rPr>
                <w:rFonts w:ascii="仿宋_GB2312" w:eastAsia="仿宋_GB2312"/>
                <w:sz w:val="22"/>
                <w:szCs w:val="28"/>
              </w:rPr>
              <w:t>%</w:t>
            </w:r>
            <w:r>
              <w:rPr>
                <w:rFonts w:ascii="仿宋_GB2312" w:eastAsia="仿宋_GB2312" w:hint="eastAsia"/>
                <w:sz w:val="22"/>
                <w:szCs w:val="28"/>
              </w:rPr>
              <w:t>。</w:t>
            </w:r>
          </w:p>
          <w:p w:rsidR="00851031" w:rsidRDefault="00851031" w:rsidP="00821625">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若期末观察日挂钩标的价格大于【起息日挂钩标的价格+30BP】，则到期收益率为1.30%；</w:t>
            </w:r>
          </w:p>
          <w:p w:rsidR="00851031" w:rsidRDefault="00851031" w:rsidP="00821625">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若期末观察日挂钩标的价格大于【起息日挂钩标的价格-10BP】且小于或等于【起息日挂钩标的价格+30BP】,则到期收益率为1.90%;</w:t>
            </w:r>
          </w:p>
          <w:p w:rsidR="00851031" w:rsidRDefault="00851031" w:rsidP="00821625">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若期末观察日挂钩标的价格小于或等于【起息日挂钩标的价格-10BP】,则到期收益率为2.10%。</w:t>
            </w:r>
          </w:p>
          <w:p w:rsidR="00851031" w:rsidRDefault="00851031" w:rsidP="00821625">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851031" w:rsidRDefault="00851031" w:rsidP="00821625">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85103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851031" w:rsidTr="00821625">
        <w:trPr>
          <w:trHeight w:val="87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851031" w:rsidRDefault="0085103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851031" w:rsidRDefault="00851031" w:rsidP="00821625">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1B27D4" w:rsidRDefault="00A62074" w:rsidP="00851031">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1B27D4" w:rsidRDefault="00A62074">
      <w:pPr>
        <w:spacing w:line="560" w:lineRule="exact"/>
        <w:rPr>
          <w:rFonts w:ascii="仿宋_GB2312" w:eastAsia="仿宋_GB2312" w:hAnsi="宋体"/>
          <w:b/>
          <w:bCs/>
          <w:kern w:val="0"/>
          <w:sz w:val="32"/>
          <w:szCs w:val="32"/>
          <w:lang w:val="zh-CN"/>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.1</w:t>
      </w:r>
      <w:r>
        <w:rPr>
          <w:rFonts w:ascii="仿宋_GB2312" w:eastAsia="仿宋_GB2312" w:hAnsi="宋体" w:hint="eastAsia"/>
          <w:b/>
          <w:bCs/>
          <w:kern w:val="0"/>
          <w:sz w:val="32"/>
          <w:szCs w:val="32"/>
          <w:lang w:val="zh-CN"/>
        </w:rPr>
        <w:t>产品认购</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w:t>
      </w:r>
      <w:r>
        <w:rPr>
          <w:rFonts w:ascii="仿宋_GB2312" w:eastAsia="仿宋_GB2312" w:hAnsi="宋体" w:hint="eastAsia"/>
          <w:sz w:val="32"/>
          <w:szCs w:val="32"/>
        </w:rPr>
        <w:t>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1B27D4" w:rsidRDefault="00A62074">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w:t>
      </w:r>
      <w:r>
        <w:rPr>
          <w:rFonts w:ascii="仿宋_GB2312" w:eastAsia="仿宋_GB2312" w:hAnsi="宋体" w:hint="eastAsia"/>
          <w:color w:val="FF0000"/>
          <w:sz w:val="32"/>
          <w:szCs w:val="32"/>
        </w:rPr>
        <w:t>自客户签订销售文件之时起有</w:t>
      </w:r>
      <w:r>
        <w:rPr>
          <w:rFonts w:ascii="仿宋_GB2312" w:eastAsia="仿宋_GB2312" w:hAnsi="宋体" w:hint="eastAsia"/>
          <w:color w:val="FF0000"/>
          <w:sz w:val="32"/>
          <w:szCs w:val="32"/>
        </w:rPr>
        <w:t>24</w:t>
      </w:r>
      <w:r>
        <w:rPr>
          <w:rFonts w:ascii="仿宋_GB2312" w:eastAsia="仿宋_GB2312" w:hAnsi="宋体" w:hint="eastAsia"/>
          <w:color w:val="FF0000"/>
          <w:sz w:val="32"/>
          <w:szCs w:val="32"/>
        </w:rPr>
        <w:t>小时投资冷静期，在投资冷静期内，如客户改变投资决定，我行将遵从客户的意愿，解除已签订的销售文件，并退还全部投资款项。</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w:t>
      </w:r>
      <w:r>
        <w:rPr>
          <w:rFonts w:ascii="仿宋_GB2312" w:eastAsia="仿宋_GB2312" w:hAnsi="宋体" w:hint="eastAsia"/>
          <w:sz w:val="32"/>
          <w:szCs w:val="32"/>
        </w:rPr>
        <w:t>认购期间</w:t>
      </w:r>
      <w:r>
        <w:rPr>
          <w:rFonts w:ascii="仿宋_GB2312" w:eastAsia="仿宋_GB2312" w:hAnsi="宋体" w:hint="eastAsia"/>
          <w:sz w:val="32"/>
          <w:szCs w:val="32"/>
        </w:rPr>
        <w:t>客户因挂失、司法冻结等原因导致不能正常扣划相应金额的，则视为认购无效，紫金农商银行不承担任何责任。</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w:t>
      </w:r>
      <w:r>
        <w:rPr>
          <w:rFonts w:ascii="仿宋_GB2312" w:eastAsia="仿宋_GB2312" w:hAnsi="宋体" w:hint="eastAsia"/>
          <w:sz w:val="32"/>
          <w:szCs w:val="32"/>
        </w:rPr>
        <w:t>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1B27D4" w:rsidRDefault="00A62074">
      <w:pPr>
        <w:spacing w:line="560" w:lineRule="exact"/>
        <w:rPr>
          <w:rFonts w:ascii="仿宋_GB2312" w:eastAsia="仿宋_GB2312" w:hAnsi="宋体"/>
          <w:b/>
          <w:bCs/>
          <w:kern w:val="0"/>
          <w:sz w:val="32"/>
          <w:szCs w:val="32"/>
          <w:lang w:val="zh-CN"/>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.2</w:t>
      </w:r>
      <w:r>
        <w:rPr>
          <w:rFonts w:ascii="仿宋_GB2312" w:eastAsia="仿宋_GB2312" w:hAnsi="宋体" w:hint="eastAsia"/>
          <w:b/>
          <w:bCs/>
          <w:kern w:val="0"/>
          <w:sz w:val="32"/>
          <w:szCs w:val="32"/>
          <w:lang w:val="zh-CN"/>
        </w:rPr>
        <w:t>产品成立</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2.2.1</w:t>
      </w:r>
      <w:r>
        <w:rPr>
          <w:rFonts w:ascii="仿宋_GB2312" w:eastAsia="仿宋_GB2312" w:hAnsi="宋体" w:hint="eastAsia"/>
          <w:sz w:val="32"/>
          <w:szCs w:val="32"/>
        </w:rPr>
        <w:t>紫金农商银行有权根据实际需要对本产品募集资金规模进行调整，本产品最终规模以紫金农商银行实际募集的资金数额为准。</w:t>
      </w:r>
    </w:p>
    <w:p w:rsidR="001B27D4" w:rsidRDefault="00A62074">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w:t>
      </w:r>
      <w:r>
        <w:rPr>
          <w:rFonts w:ascii="仿宋_GB2312" w:eastAsia="仿宋_GB2312" w:hAnsi="宋体" w:hint="eastAsia"/>
          <w:sz w:val="32"/>
          <w:szCs w:val="32"/>
        </w:rPr>
        <w:t>紫金农商银行有权根据认购情况调整认购期。如紫金农商银行调整认购期，则起息日由紫金农商银行另行确定。</w:t>
      </w:r>
    </w:p>
    <w:p w:rsidR="001B27D4" w:rsidRDefault="00A62074">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w:t>
      </w:r>
      <w:r>
        <w:rPr>
          <w:rFonts w:ascii="仿宋_GB2312" w:eastAsia="仿宋_GB2312" w:hAnsi="宋体" w:hint="eastAsia"/>
          <w:sz w:val="32"/>
          <w:szCs w:val="32"/>
        </w:rPr>
        <w:t>本产品开始认购至原定起息日之前，存款产品认购总金</w:t>
      </w:r>
      <w:r>
        <w:rPr>
          <w:rFonts w:ascii="仿宋_GB2312" w:eastAsia="仿宋_GB2312" w:hAnsi="宋体" w:hint="eastAsia"/>
          <w:sz w:val="32"/>
          <w:szCs w:val="32"/>
        </w:rPr>
        <w:t>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w:t>
      </w:r>
      <w:r>
        <w:rPr>
          <w:rFonts w:ascii="仿宋_GB2312" w:eastAsia="仿宋_GB2312" w:hAnsi="宋体" w:hint="eastAsia"/>
          <w:sz w:val="32"/>
          <w:szCs w:val="32"/>
          <w:u w:val="single"/>
        </w:rPr>
        <w:t>2</w:t>
      </w:r>
      <w:r>
        <w:rPr>
          <w:rFonts w:ascii="仿宋_GB2312" w:eastAsia="仿宋_GB2312" w:hAnsi="宋体" w:hint="eastAsia"/>
          <w:sz w:val="32"/>
          <w:szCs w:val="32"/>
          <w:u w:val="single"/>
        </w:rPr>
        <w:t>个工作日</w:t>
      </w:r>
      <w:r>
        <w:rPr>
          <w:rFonts w:ascii="仿宋_GB2312" w:eastAsia="仿宋_GB2312" w:hAnsi="宋体" w:hint="eastAsia"/>
          <w:sz w:val="32"/>
          <w:szCs w:val="32"/>
        </w:rPr>
        <w:t>发布该产品不成立的公告，并解冻客户结算账户内的认购资金。</w:t>
      </w:r>
    </w:p>
    <w:p w:rsidR="001B27D4" w:rsidRDefault="00A62074">
      <w:pPr>
        <w:spacing w:line="560" w:lineRule="exact"/>
        <w:rPr>
          <w:rFonts w:ascii="仿宋_GB2312" w:eastAsia="仿宋_GB2312" w:hAnsi="宋体"/>
          <w:b/>
          <w:bCs/>
          <w:kern w:val="0"/>
          <w:sz w:val="32"/>
          <w:szCs w:val="32"/>
          <w:lang w:val="zh-CN"/>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.3</w:t>
      </w:r>
      <w:r>
        <w:rPr>
          <w:rFonts w:ascii="仿宋_GB2312" w:eastAsia="仿宋_GB2312" w:hAnsi="宋体" w:hint="eastAsia"/>
          <w:b/>
          <w:bCs/>
          <w:kern w:val="0"/>
          <w:sz w:val="32"/>
          <w:szCs w:val="32"/>
          <w:lang w:val="zh-CN"/>
        </w:rPr>
        <w:t>提前终止与产品终止</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w:t>
      </w:r>
      <w:r>
        <w:rPr>
          <w:rFonts w:ascii="仿宋_GB2312" w:eastAsia="仿宋_GB2312" w:hAnsi="宋体" w:hint="eastAsia"/>
          <w:bCs/>
          <w:kern w:val="0"/>
          <w:sz w:val="32"/>
          <w:szCs w:val="32"/>
          <w:lang w:val="zh-CN"/>
        </w:rPr>
        <w:t>1</w:t>
      </w:r>
      <w:r>
        <w:rPr>
          <w:rFonts w:ascii="仿宋_GB2312" w:eastAsia="仿宋_GB2312" w:hAnsi="宋体" w:hint="eastAsia"/>
          <w:bCs/>
          <w:kern w:val="0"/>
          <w:sz w:val="32"/>
          <w:szCs w:val="32"/>
          <w:lang w:val="zh-CN"/>
        </w:rPr>
        <w:t>、遇国家法律、法规、监管规定及相关金融政策出现重大调整并影响到本结构性存款产品的正常运作；</w:t>
      </w:r>
      <w:r>
        <w:rPr>
          <w:rFonts w:ascii="仿宋_GB2312" w:eastAsia="仿宋_GB2312" w:hAnsi="宋体" w:hint="eastAsia"/>
          <w:bCs/>
          <w:kern w:val="0"/>
          <w:sz w:val="32"/>
          <w:szCs w:val="32"/>
          <w:lang w:val="zh-CN"/>
        </w:rPr>
        <w:t>2</w:t>
      </w:r>
      <w:r>
        <w:rPr>
          <w:rFonts w:ascii="仿宋_GB2312" w:eastAsia="仿宋_GB2312" w:hAnsi="宋体" w:hint="eastAsia"/>
          <w:bCs/>
          <w:kern w:val="0"/>
          <w:sz w:val="32"/>
          <w:szCs w:val="32"/>
          <w:lang w:val="zh-CN"/>
        </w:rPr>
        <w:t>、其它原因导致紫金农商银行认为该结构性存款产品已经不适合继续帮助客户实现投资目标的。</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w:t>
      </w:r>
      <w:r>
        <w:rPr>
          <w:rFonts w:ascii="仿宋_GB2312" w:eastAsia="仿宋_GB2312" w:hAnsi="宋体" w:hint="eastAsia"/>
          <w:sz w:val="32"/>
          <w:szCs w:val="32"/>
          <w:u w:val="single"/>
          <w:lang w:val="zh-CN"/>
        </w:rPr>
        <w:t>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 xml:space="preserve">2 </w:t>
      </w:r>
      <w:r>
        <w:rPr>
          <w:rFonts w:ascii="仿宋_GB2312" w:eastAsia="仿宋_GB2312" w:hAnsi="宋体" w:hint="eastAsia"/>
          <w:sz w:val="32"/>
          <w:szCs w:val="32"/>
          <w:u w:val="single"/>
          <w:lang w:val="zh-CN"/>
        </w:rPr>
        <w:t>个工作日内</w:t>
      </w:r>
      <w:r>
        <w:rPr>
          <w:rFonts w:ascii="仿宋_GB2312" w:eastAsia="仿宋_GB2312" w:hAnsi="宋体" w:hint="eastAsia"/>
          <w:bCs/>
          <w:kern w:val="0"/>
          <w:sz w:val="32"/>
          <w:szCs w:val="32"/>
          <w:lang w:val="zh-CN"/>
        </w:rPr>
        <w:t>将存款资金划入客户认购结构性存款时资金转出的结算</w:t>
      </w:r>
      <w:r>
        <w:rPr>
          <w:rFonts w:ascii="仿宋_GB2312" w:eastAsia="仿宋_GB2312" w:hAnsi="宋体" w:hint="eastAsia"/>
          <w:bCs/>
          <w:kern w:val="0"/>
          <w:sz w:val="32"/>
          <w:szCs w:val="32"/>
          <w:lang w:val="zh-CN"/>
        </w:rPr>
        <w:t>账户，本投资周期终止日至资金到帐日间不另付利息。</w:t>
      </w:r>
    </w:p>
    <w:p w:rsidR="001B27D4" w:rsidRDefault="00A62074">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w:t>
      </w:r>
      <w:r>
        <w:rPr>
          <w:rFonts w:ascii="仿宋_GB2312" w:eastAsia="仿宋_GB2312" w:hAnsi="宋体" w:hint="eastAsia"/>
          <w:b/>
          <w:bCs/>
          <w:kern w:val="0"/>
          <w:sz w:val="32"/>
          <w:szCs w:val="32"/>
        </w:rPr>
        <w:t>存款本金及收益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1B27D4" w:rsidRDefault="00A62074">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w:t>
      </w:r>
      <w:r>
        <w:rPr>
          <w:rFonts w:ascii="仿宋_GB2312" w:eastAsia="仿宋_GB2312" w:hAnsi="宋体" w:hint="eastAsia"/>
          <w:color w:val="FF0000"/>
          <w:sz w:val="32"/>
          <w:szCs w:val="32"/>
        </w:rPr>
        <w:t>10</w:t>
      </w:r>
      <w:r>
        <w:rPr>
          <w:rFonts w:ascii="仿宋_GB2312" w:eastAsia="仿宋_GB2312" w:hAnsi="宋体" w:hint="eastAsia"/>
          <w:color w:val="FF0000"/>
          <w:sz w:val="32"/>
          <w:szCs w:val="32"/>
        </w:rPr>
        <w:t>年国债到期收益率的</w:t>
      </w:r>
      <w:r>
        <w:rPr>
          <w:rFonts w:ascii="仿宋_GB2312" w:eastAsia="仿宋_GB2312" w:hAnsi="宋体" w:hint="eastAsia"/>
          <w:color w:val="FF0000"/>
          <w:sz w:val="32"/>
          <w:szCs w:val="32"/>
        </w:rPr>
        <w:t>1</w:t>
      </w:r>
      <w:r>
        <w:rPr>
          <w:rFonts w:ascii="仿宋_GB2312" w:eastAsia="仿宋_GB2312" w:hAnsi="宋体" w:hint="eastAsia"/>
          <w:color w:val="FF0000"/>
          <w:sz w:val="32"/>
          <w:szCs w:val="32"/>
        </w:rPr>
        <w:t>个月期结构性存款产品，起息日挂钩标的价格为</w:t>
      </w:r>
      <w:r>
        <w:rPr>
          <w:rFonts w:ascii="仿宋_GB2312" w:eastAsia="仿宋_GB2312" w:hAnsi="宋体" w:hint="eastAsia"/>
          <w:color w:val="FF0000"/>
          <w:sz w:val="32"/>
          <w:szCs w:val="32"/>
        </w:rPr>
        <w:t>2.70%</w:t>
      </w:r>
      <w:r>
        <w:rPr>
          <w:rFonts w:ascii="仿宋_GB2312" w:eastAsia="仿宋_GB2312" w:hAnsi="宋体" w:hint="eastAsia"/>
          <w:color w:val="FF0000"/>
          <w:sz w:val="32"/>
          <w:szCs w:val="32"/>
        </w:rPr>
        <w:t>。若期末观察日挂钩标的价格大于【</w:t>
      </w:r>
      <w:r>
        <w:rPr>
          <w:rFonts w:ascii="仿宋_GB2312" w:eastAsia="仿宋_GB2312" w:hAnsi="宋体" w:hint="eastAsia"/>
          <w:color w:val="FF0000"/>
          <w:sz w:val="32"/>
          <w:szCs w:val="32"/>
        </w:rPr>
        <w:t>3.5%</w:t>
      </w:r>
      <w:r>
        <w:rPr>
          <w:rFonts w:ascii="仿宋_GB2312" w:eastAsia="仿宋_GB2312" w:hAnsi="宋体" w:hint="eastAsia"/>
          <w:color w:val="FF0000"/>
          <w:sz w:val="32"/>
          <w:szCs w:val="32"/>
        </w:rPr>
        <w:t>】，则到期收益率为</w:t>
      </w:r>
      <w:r>
        <w:rPr>
          <w:rFonts w:ascii="仿宋_GB2312" w:eastAsia="仿宋_GB2312" w:hAnsi="宋体" w:hint="eastAsia"/>
          <w:color w:val="FF0000"/>
          <w:sz w:val="32"/>
          <w:szCs w:val="32"/>
        </w:rPr>
        <w:t>1.8%</w:t>
      </w:r>
      <w:r>
        <w:rPr>
          <w:rFonts w:ascii="仿宋_GB2312" w:eastAsia="仿宋_GB2312" w:hAnsi="宋体" w:hint="eastAsia"/>
          <w:color w:val="FF0000"/>
          <w:sz w:val="32"/>
          <w:szCs w:val="32"/>
        </w:rPr>
        <w:t>；若期末观察日挂钩标的价格大于【</w:t>
      </w:r>
      <w:r>
        <w:rPr>
          <w:rFonts w:ascii="仿宋_GB2312" w:eastAsia="仿宋_GB2312" w:hAnsi="宋体" w:hint="eastAsia"/>
          <w:color w:val="FF0000"/>
          <w:sz w:val="32"/>
          <w:szCs w:val="32"/>
        </w:rPr>
        <w:t>2.71%</w:t>
      </w:r>
      <w:r>
        <w:rPr>
          <w:rFonts w:ascii="仿宋_GB2312" w:eastAsia="仿宋_GB2312" w:hAnsi="宋体" w:hint="eastAsia"/>
          <w:color w:val="FF0000"/>
          <w:sz w:val="32"/>
          <w:szCs w:val="32"/>
        </w:rPr>
        <w:t>】且小于或等于【</w:t>
      </w:r>
      <w:r>
        <w:rPr>
          <w:rFonts w:ascii="仿宋_GB2312" w:eastAsia="仿宋_GB2312" w:hAnsi="宋体" w:hint="eastAsia"/>
          <w:color w:val="FF0000"/>
          <w:sz w:val="32"/>
          <w:szCs w:val="32"/>
        </w:rPr>
        <w:t>3.5</w:t>
      </w:r>
      <w:r>
        <w:rPr>
          <w:rFonts w:ascii="仿宋_GB2312" w:eastAsia="仿宋_GB2312" w:hAnsi="宋体" w:hint="eastAsia"/>
          <w:color w:val="FF0000"/>
          <w:sz w:val="32"/>
          <w:szCs w:val="32"/>
        </w:rPr>
        <w:t>】</w:t>
      </w:r>
      <w:r>
        <w:rPr>
          <w:rFonts w:ascii="仿宋_GB2312" w:eastAsia="仿宋_GB2312" w:hAnsi="宋体" w:hint="eastAsia"/>
          <w:color w:val="FF0000"/>
          <w:sz w:val="32"/>
          <w:szCs w:val="32"/>
        </w:rPr>
        <w:t>%,</w:t>
      </w:r>
      <w:r>
        <w:rPr>
          <w:rFonts w:ascii="仿宋_GB2312" w:eastAsia="仿宋_GB2312" w:hAnsi="宋体" w:hint="eastAsia"/>
          <w:color w:val="FF0000"/>
          <w:sz w:val="32"/>
          <w:szCs w:val="32"/>
        </w:rPr>
        <w:t>则到期收益率为</w:t>
      </w:r>
      <w:r>
        <w:rPr>
          <w:rFonts w:ascii="仿宋_GB2312" w:eastAsia="仿宋_GB2312" w:hAnsi="宋体" w:hint="eastAsia"/>
          <w:color w:val="FF0000"/>
          <w:sz w:val="32"/>
          <w:szCs w:val="32"/>
        </w:rPr>
        <w:t>2.</w:t>
      </w:r>
      <w:r>
        <w:rPr>
          <w:rFonts w:ascii="仿宋_GB2312" w:eastAsia="仿宋_GB2312" w:hAnsi="宋体" w:hint="eastAsia"/>
          <w:color w:val="FF0000"/>
          <w:sz w:val="32"/>
          <w:szCs w:val="32"/>
        </w:rPr>
        <w:t>85%;</w:t>
      </w:r>
      <w:r>
        <w:rPr>
          <w:rFonts w:ascii="仿宋_GB2312" w:eastAsia="仿宋_GB2312" w:hAnsi="宋体" w:hint="eastAsia"/>
          <w:color w:val="FF0000"/>
          <w:sz w:val="32"/>
          <w:szCs w:val="32"/>
        </w:rPr>
        <w:t>若期末观察日挂钩标的价格小于或等于【</w:t>
      </w:r>
      <w:r>
        <w:rPr>
          <w:rFonts w:ascii="仿宋_GB2312" w:eastAsia="仿宋_GB2312" w:hAnsi="宋体" w:hint="eastAsia"/>
          <w:color w:val="FF0000"/>
          <w:sz w:val="32"/>
          <w:szCs w:val="32"/>
        </w:rPr>
        <w:t>2.71</w:t>
      </w:r>
      <w:r>
        <w:rPr>
          <w:rFonts w:ascii="仿宋_GB2312" w:eastAsia="仿宋_GB2312" w:hAnsi="宋体" w:hint="eastAsia"/>
          <w:color w:val="FF0000"/>
          <w:sz w:val="32"/>
          <w:szCs w:val="32"/>
        </w:rPr>
        <w:t>】</w:t>
      </w:r>
      <w:r>
        <w:rPr>
          <w:rFonts w:ascii="仿宋_GB2312" w:eastAsia="仿宋_GB2312" w:hAnsi="宋体" w:hint="eastAsia"/>
          <w:color w:val="FF0000"/>
          <w:sz w:val="32"/>
          <w:szCs w:val="32"/>
        </w:rPr>
        <w:t>%,</w:t>
      </w:r>
      <w:r>
        <w:rPr>
          <w:rFonts w:ascii="仿宋_GB2312" w:eastAsia="仿宋_GB2312" w:hAnsi="宋体" w:hint="eastAsia"/>
          <w:color w:val="FF0000"/>
          <w:sz w:val="32"/>
          <w:szCs w:val="32"/>
        </w:rPr>
        <w:t>则到期收益率为</w:t>
      </w:r>
      <w:r>
        <w:rPr>
          <w:rFonts w:ascii="仿宋_GB2312" w:eastAsia="仿宋_GB2312" w:hAnsi="宋体" w:hint="eastAsia"/>
          <w:color w:val="FF0000"/>
          <w:sz w:val="32"/>
          <w:szCs w:val="32"/>
        </w:rPr>
        <w:t>2.95%;</w:t>
      </w:r>
      <w:r>
        <w:rPr>
          <w:rFonts w:ascii="仿宋_GB2312" w:eastAsia="仿宋_GB2312" w:hAnsi="宋体" w:hint="eastAsia"/>
          <w:color w:val="FF0000"/>
          <w:sz w:val="32"/>
          <w:szCs w:val="32"/>
        </w:rPr>
        <w:t>（本案例不考虑节假日顺延等因素）。利息收益取决于所挂钩标的的变化，具体情景分析如下：</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w:t>
      </w:r>
      <w:r>
        <w:rPr>
          <w:rFonts w:ascii="仿宋_GB2312" w:eastAsia="仿宋_GB2312" w:hAnsi="宋体" w:hint="eastAsia"/>
          <w:color w:val="FF0000"/>
          <w:sz w:val="32"/>
          <w:szCs w:val="32"/>
        </w:rPr>
        <w:t>2.65%</w:t>
      </w:r>
      <w:r>
        <w:rPr>
          <w:rFonts w:ascii="仿宋_GB2312" w:eastAsia="仿宋_GB2312" w:hAnsi="宋体" w:hint="eastAsia"/>
          <w:color w:val="FF0000"/>
          <w:sz w:val="32"/>
          <w:szCs w:val="32"/>
        </w:rPr>
        <w:t>，小</w:t>
      </w:r>
      <w:r>
        <w:rPr>
          <w:rFonts w:ascii="仿宋_GB2312" w:eastAsia="仿宋_GB2312" w:hAnsi="宋体" w:hint="eastAsia"/>
          <w:color w:val="FF0000"/>
          <w:sz w:val="32"/>
          <w:szCs w:val="32"/>
        </w:rPr>
        <w:lastRenderedPageBreak/>
        <w:t>于或等于【</w:t>
      </w:r>
      <w:r>
        <w:rPr>
          <w:rFonts w:ascii="仿宋_GB2312" w:eastAsia="仿宋_GB2312" w:hAnsi="宋体" w:hint="eastAsia"/>
          <w:color w:val="FF0000"/>
          <w:sz w:val="32"/>
          <w:szCs w:val="32"/>
        </w:rPr>
        <w:t>2.71%</w:t>
      </w:r>
      <w:r>
        <w:rPr>
          <w:rFonts w:ascii="仿宋_GB2312" w:eastAsia="仿宋_GB2312" w:hAnsi="宋体" w:hint="eastAsia"/>
          <w:color w:val="FF0000"/>
          <w:sz w:val="32"/>
          <w:szCs w:val="32"/>
        </w:rPr>
        <w:t>】，则产品到期时客户共获得年化利率为</w:t>
      </w:r>
      <w:r>
        <w:rPr>
          <w:rFonts w:ascii="仿宋_GB2312" w:eastAsia="仿宋_GB2312" w:hAnsi="宋体" w:hint="eastAsia"/>
          <w:color w:val="FF0000"/>
          <w:sz w:val="32"/>
          <w:szCs w:val="32"/>
        </w:rPr>
        <w:t>2.95%</w:t>
      </w:r>
      <w:r>
        <w:rPr>
          <w:rFonts w:ascii="仿宋_GB2312" w:eastAsia="仿宋_GB2312" w:hAnsi="宋体" w:hint="eastAsia"/>
          <w:color w:val="FF0000"/>
          <w:sz w:val="32"/>
          <w:szCs w:val="32"/>
        </w:rPr>
        <w:t>的收益；</w:t>
      </w:r>
    </w:p>
    <w:p w:rsidR="001B27D4" w:rsidRDefault="00A62074">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w:t>
      </w:r>
      <w:r>
        <w:rPr>
          <w:rFonts w:ascii="仿宋_GB2312" w:eastAsia="仿宋_GB2312" w:hAnsi="宋体" w:hint="eastAsia"/>
          <w:color w:val="FF0000"/>
          <w:sz w:val="32"/>
          <w:szCs w:val="32"/>
        </w:rPr>
        <w:t>3.6%</w:t>
      </w:r>
      <w:r>
        <w:rPr>
          <w:rFonts w:ascii="仿宋_GB2312" w:eastAsia="仿宋_GB2312" w:hAnsi="宋体" w:hint="eastAsia"/>
          <w:color w:val="FF0000"/>
          <w:sz w:val="32"/>
          <w:szCs w:val="32"/>
        </w:rPr>
        <w:t>，大于【</w:t>
      </w:r>
      <w:r>
        <w:rPr>
          <w:rFonts w:ascii="仿宋_GB2312" w:eastAsia="仿宋_GB2312" w:hAnsi="宋体" w:hint="eastAsia"/>
          <w:color w:val="FF0000"/>
          <w:sz w:val="32"/>
          <w:szCs w:val="32"/>
        </w:rPr>
        <w:t>3.5%</w:t>
      </w:r>
      <w:r>
        <w:rPr>
          <w:rFonts w:ascii="仿宋_GB2312" w:eastAsia="仿宋_GB2312" w:hAnsi="宋体" w:hint="eastAsia"/>
          <w:color w:val="FF0000"/>
          <w:sz w:val="32"/>
          <w:szCs w:val="32"/>
        </w:rPr>
        <w:t>】，则产品到期时客户共获得年化利率为</w:t>
      </w:r>
      <w:r>
        <w:rPr>
          <w:rFonts w:ascii="仿宋_GB2312" w:eastAsia="仿宋_GB2312" w:hAnsi="宋体" w:hint="eastAsia"/>
          <w:color w:val="FF0000"/>
          <w:sz w:val="32"/>
          <w:szCs w:val="32"/>
        </w:rPr>
        <w:t>1.8%</w:t>
      </w:r>
      <w:r>
        <w:rPr>
          <w:rFonts w:ascii="仿宋_GB2312" w:eastAsia="仿宋_GB2312" w:hAnsi="宋体" w:hint="eastAsia"/>
          <w:color w:val="FF0000"/>
          <w:sz w:val="32"/>
          <w:szCs w:val="32"/>
        </w:rPr>
        <w:t>的收益。</w:t>
      </w:r>
    </w:p>
    <w:p w:rsidR="001B27D4" w:rsidRDefault="00A62074">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w:t>
      </w:r>
      <w:r>
        <w:rPr>
          <w:rFonts w:ascii="仿宋_GB2312" w:eastAsia="仿宋_GB2312" w:hAnsi="宋体" w:hint="eastAsia"/>
          <w:color w:val="FF0000"/>
          <w:sz w:val="32"/>
          <w:szCs w:val="32"/>
        </w:rPr>
        <w:t>2.8%</w:t>
      </w:r>
      <w:r>
        <w:rPr>
          <w:rFonts w:ascii="仿宋_GB2312" w:eastAsia="仿宋_GB2312" w:hAnsi="宋体" w:hint="eastAsia"/>
          <w:color w:val="FF0000"/>
          <w:sz w:val="32"/>
          <w:szCs w:val="32"/>
        </w:rPr>
        <w:t>，大于【</w:t>
      </w:r>
      <w:r>
        <w:rPr>
          <w:rFonts w:ascii="仿宋_GB2312" w:eastAsia="仿宋_GB2312" w:hAnsi="宋体" w:hint="eastAsia"/>
          <w:color w:val="FF0000"/>
          <w:sz w:val="32"/>
          <w:szCs w:val="32"/>
        </w:rPr>
        <w:t>2.71%</w:t>
      </w:r>
      <w:r>
        <w:rPr>
          <w:rFonts w:ascii="仿宋_GB2312" w:eastAsia="仿宋_GB2312" w:hAnsi="宋体" w:hint="eastAsia"/>
          <w:color w:val="FF0000"/>
          <w:sz w:val="32"/>
          <w:szCs w:val="32"/>
        </w:rPr>
        <w:t>】且小于或等于【</w:t>
      </w:r>
      <w:r>
        <w:rPr>
          <w:rFonts w:ascii="仿宋_GB2312" w:eastAsia="仿宋_GB2312" w:hAnsi="宋体" w:hint="eastAsia"/>
          <w:color w:val="FF0000"/>
          <w:sz w:val="32"/>
          <w:szCs w:val="32"/>
        </w:rPr>
        <w:t>3.5%</w:t>
      </w:r>
      <w:r>
        <w:rPr>
          <w:rFonts w:ascii="仿宋_GB2312" w:eastAsia="仿宋_GB2312" w:hAnsi="宋体" w:hint="eastAsia"/>
          <w:color w:val="FF0000"/>
          <w:sz w:val="32"/>
          <w:szCs w:val="32"/>
        </w:rPr>
        <w:t>】，则产品到期时客户共获得年化利率为</w:t>
      </w:r>
      <w:r>
        <w:rPr>
          <w:rFonts w:ascii="仿宋_GB2312" w:eastAsia="仿宋_GB2312" w:hAnsi="宋体" w:hint="eastAsia"/>
          <w:color w:val="FF0000"/>
          <w:sz w:val="32"/>
          <w:szCs w:val="32"/>
        </w:rPr>
        <w:t>2.85%</w:t>
      </w:r>
      <w:r>
        <w:rPr>
          <w:rFonts w:ascii="仿宋_GB2312" w:eastAsia="仿宋_GB2312" w:hAnsi="宋体" w:hint="eastAsia"/>
          <w:color w:val="FF0000"/>
          <w:sz w:val="32"/>
          <w:szCs w:val="32"/>
        </w:rPr>
        <w:t>的收益。</w:t>
      </w:r>
    </w:p>
    <w:p w:rsidR="001B27D4" w:rsidRDefault="00A62074">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w:t>
      </w:r>
      <w:r>
        <w:rPr>
          <w:rFonts w:ascii="仿宋_GB2312" w:eastAsia="仿宋_GB2312" w:hAnsi="宋体" w:hint="eastAsia"/>
          <w:bCs/>
          <w:kern w:val="0"/>
          <w:sz w:val="32"/>
          <w:szCs w:val="32"/>
          <w:lang w:val="zh-CN"/>
        </w:rPr>
        <w:t>如果客户的资金账户发生变更的，以紫金农商银行在支付投资本金与收益前收到的最后一份书面变更通知中的资金账户为准。</w:t>
      </w:r>
    </w:p>
    <w:p w:rsidR="001B27D4" w:rsidRDefault="00A62074">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rPr>
        <w:t xml:space="preserve">    2.6</w:t>
      </w:r>
      <w:r>
        <w:rPr>
          <w:rFonts w:ascii="仿宋_GB2312" w:eastAsia="仿宋_GB2312" w:hAnsi="宋体" w:hint="eastAsia"/>
          <w:bCs/>
          <w:kern w:val="0"/>
          <w:sz w:val="32"/>
          <w:szCs w:val="32"/>
          <w:lang w:val="zh-CN"/>
        </w:rPr>
        <w:t>结构性存款收益的应纳税款由客户自行申报及缴纳。</w:t>
      </w:r>
    </w:p>
    <w:p w:rsidR="001B27D4" w:rsidRDefault="00A62074" w:rsidP="00851031">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1B27D4" w:rsidRDefault="00A62074">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w:t>
      </w:r>
      <w:r>
        <w:rPr>
          <w:rFonts w:ascii="仿宋_GB2312" w:eastAsia="仿宋_GB2312" w:hAnsi="宋体" w:hint="eastAsia"/>
          <w:bCs/>
          <w:kern w:val="0"/>
          <w:sz w:val="32"/>
          <w:szCs w:val="32"/>
          <w:lang w:val="zh-CN"/>
        </w:rPr>
        <w:t>紫金农商银行将按照约定及时、准确地进行信息披露；产品到期或终止时的信息披露内容包括但不限于挂钩标的表现、客户实际到期收益率等。</w:t>
      </w:r>
    </w:p>
    <w:p w:rsidR="001B27D4" w:rsidRDefault="00A62074">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3.2</w:t>
      </w:r>
      <w:r>
        <w:rPr>
          <w:rFonts w:ascii="仿宋_GB2312" w:eastAsia="仿宋_GB2312" w:hAnsi="宋体" w:hint="eastAsia"/>
          <w:bCs/>
          <w:kern w:val="0"/>
          <w:sz w:val="32"/>
          <w:szCs w:val="32"/>
          <w:lang w:val="zh-CN"/>
        </w:rPr>
        <w:t>若发生产品提前终止的情形，紫金农商银行将按照本说明书的约定，发布产品提前终止的相关信息。</w:t>
      </w:r>
    </w:p>
    <w:p w:rsidR="001B27D4" w:rsidRDefault="00A62074">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3.3</w:t>
      </w:r>
      <w:r>
        <w:rPr>
          <w:rFonts w:ascii="仿宋_GB2312" w:eastAsia="仿宋_GB2312" w:hAnsi="宋体" w:hint="eastAsia"/>
          <w:bCs/>
          <w:kern w:val="0"/>
          <w:sz w:val="32"/>
          <w:szCs w:val="32"/>
          <w:lang w:val="zh-CN"/>
        </w:rPr>
        <w:t>若发生结构性存款产品不成立的情形，紫金农商银行发布产品不成立的相关信息。</w:t>
      </w:r>
    </w:p>
    <w:p w:rsidR="001B27D4" w:rsidRDefault="00A62074">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3.4</w:t>
      </w:r>
      <w:r>
        <w:rPr>
          <w:rFonts w:ascii="仿宋_GB2312" w:eastAsia="仿宋_GB2312" w:hAnsi="宋体" w:hint="eastAsia"/>
          <w:bCs/>
          <w:kern w:val="0"/>
          <w:sz w:val="32"/>
          <w:szCs w:val="32"/>
          <w:lang w:val="zh-CN"/>
        </w:rPr>
        <w:t>其他紫金农商银行认为对客户有重大影响而需要发布的重要信息。</w:t>
      </w:r>
    </w:p>
    <w:p w:rsidR="001B27D4" w:rsidRDefault="00A62074">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3.5</w:t>
      </w:r>
      <w:r>
        <w:rPr>
          <w:rFonts w:ascii="仿宋_GB2312" w:eastAsia="仿宋_GB2312" w:hAnsi="宋体" w:hint="eastAsia"/>
          <w:bCs/>
          <w:kern w:val="0"/>
          <w:sz w:val="32"/>
          <w:szCs w:val="32"/>
          <w:lang w:val="zh-CN"/>
        </w:rPr>
        <w:t>客户确认并同意紫金农商银行通过以下任一方式披露信息：紫金农商银行官方网站（</w:t>
      </w:r>
      <w:r>
        <w:rPr>
          <w:rFonts w:ascii="仿宋_GB2312" w:eastAsia="仿宋_GB2312" w:hAnsi="宋体" w:hint="eastAsia"/>
          <w:bCs/>
          <w:kern w:val="0"/>
          <w:sz w:val="32"/>
          <w:szCs w:val="32"/>
          <w:lang w:val="zh-CN"/>
        </w:rPr>
        <w:t>www.zjrcbank.com</w:t>
      </w:r>
      <w:r>
        <w:rPr>
          <w:rFonts w:ascii="仿宋_GB2312" w:eastAsia="仿宋_GB2312" w:hAnsi="宋体" w:hint="eastAsia"/>
          <w:bCs/>
          <w:kern w:val="0"/>
          <w:sz w:val="32"/>
          <w:szCs w:val="32"/>
          <w:lang w:val="zh-CN"/>
        </w:rPr>
        <w:t>）、紫金农商银行营业网点、电子邮件、电话、以信函形式邮寄、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w:t>
      </w:r>
      <w:r>
        <w:rPr>
          <w:rFonts w:ascii="仿宋_GB2312" w:eastAsia="仿宋_GB2312" w:hAnsi="宋体" w:hint="eastAsia"/>
          <w:bCs/>
          <w:kern w:val="0"/>
          <w:sz w:val="32"/>
          <w:szCs w:val="32"/>
          <w:lang w:val="zh-CN"/>
        </w:rPr>
        <w:t>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1B27D4" w:rsidRDefault="00A62074" w:rsidP="00851031">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1B27D4" w:rsidRDefault="00A62074">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w:t>
      </w:r>
      <w:r>
        <w:rPr>
          <w:rFonts w:ascii="仿宋_GB2312" w:eastAsia="仿宋_GB2312" w:hAnsi="宋体" w:hint="eastAsia"/>
          <w:bCs/>
          <w:kern w:val="0"/>
          <w:sz w:val="32"/>
          <w:szCs w:val="32"/>
          <w:lang w:val="zh-CN"/>
        </w:rPr>
        <w:t>在本产品存续期间，紫金农商银行有权至少提前</w:t>
      </w:r>
      <w:r>
        <w:rPr>
          <w:rFonts w:ascii="仿宋_GB2312" w:eastAsia="仿宋_GB2312" w:hAnsi="宋体" w:hint="eastAsia"/>
          <w:bCs/>
          <w:kern w:val="0"/>
          <w:sz w:val="32"/>
          <w:szCs w:val="32"/>
          <w:lang w:val="zh-CN"/>
        </w:rPr>
        <w:t>2</w:t>
      </w:r>
      <w:r>
        <w:rPr>
          <w:rFonts w:ascii="仿宋_GB2312" w:eastAsia="仿宋_GB2312" w:hAnsi="宋体" w:hint="eastAsia"/>
          <w:bCs/>
          <w:kern w:val="0"/>
          <w:sz w:val="32"/>
          <w:szCs w:val="32"/>
          <w:lang w:val="zh-CN"/>
        </w:rPr>
        <w:t>个工作日通过信息公告发布渠道发布公告，对产品说明书条款进行补充、说明和修改。该等产品说明书的修订，自公告载明的日期生效。</w:t>
      </w:r>
    </w:p>
    <w:p w:rsidR="001B27D4" w:rsidRDefault="00A62074">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4.2</w:t>
      </w:r>
      <w:r>
        <w:rPr>
          <w:rFonts w:ascii="仿宋_GB2312" w:eastAsia="仿宋_GB2312" w:hAnsi="宋体" w:hint="eastAsia"/>
          <w:bCs/>
          <w:kern w:val="0"/>
          <w:sz w:val="32"/>
          <w:szCs w:val="32"/>
          <w:lang w:val="zh-CN"/>
        </w:rPr>
        <w:t>客户签署《结构性存款协议》后，紫金农商银行有权在产品起息日从约定的账户扣收客户的存款本金。</w:t>
      </w:r>
    </w:p>
    <w:p w:rsidR="001B27D4" w:rsidRDefault="00A62074" w:rsidP="00851031">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1B27D4" w:rsidRDefault="00A62074">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w:t>
      </w:r>
      <w:r>
        <w:rPr>
          <w:rFonts w:ascii="仿宋_GB2312" w:eastAsia="仿宋_GB2312" w:hAnsi="宋体" w:cs="宋体" w:hint="eastAsia"/>
          <w:bCs/>
          <w:kern w:val="0"/>
          <w:sz w:val="32"/>
          <w:szCs w:val="32"/>
          <w:lang w:val="zh-CN"/>
        </w:rPr>
        <w:t>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1B27D4" w:rsidRDefault="001B27D4">
      <w:pPr>
        <w:spacing w:line="560" w:lineRule="exact"/>
        <w:rPr>
          <w:rFonts w:ascii="仿宋_GB2312" w:eastAsia="仿宋_GB2312"/>
          <w:sz w:val="32"/>
          <w:szCs w:val="32"/>
        </w:rPr>
      </w:pPr>
    </w:p>
    <w:sectPr w:rsidR="001B27D4" w:rsidSect="001B27D4">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2074" w:rsidRDefault="00A62074" w:rsidP="001B27D4">
      <w:r>
        <w:separator/>
      </w:r>
    </w:p>
  </w:endnote>
  <w:endnote w:type="continuationSeparator" w:id="1">
    <w:p w:rsidR="00A62074" w:rsidRDefault="00A62074" w:rsidP="001B27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1B27D4" w:rsidRDefault="001B27D4">
        <w:pPr>
          <w:pStyle w:val="a3"/>
          <w:jc w:val="center"/>
        </w:pPr>
        <w:r w:rsidRPr="001B27D4">
          <w:fldChar w:fldCharType="begin"/>
        </w:r>
        <w:r w:rsidR="00A62074">
          <w:instrText xml:space="preserve"> PAGE   \* MERGEFORMAT </w:instrText>
        </w:r>
        <w:r w:rsidRPr="001B27D4">
          <w:fldChar w:fldCharType="separate"/>
        </w:r>
        <w:r w:rsidR="00851031" w:rsidRPr="00851031">
          <w:rPr>
            <w:noProof/>
            <w:lang w:val="zh-CN"/>
          </w:rPr>
          <w:t>1</w:t>
        </w:r>
        <w:r>
          <w:rPr>
            <w:lang w:val="zh-CN"/>
          </w:rPr>
          <w:fldChar w:fldCharType="end"/>
        </w:r>
      </w:p>
    </w:sdtContent>
  </w:sdt>
  <w:p w:rsidR="001B27D4" w:rsidRDefault="001B27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2074" w:rsidRDefault="00A62074" w:rsidP="001B27D4">
      <w:r>
        <w:separator/>
      </w:r>
    </w:p>
  </w:footnote>
  <w:footnote w:type="continuationSeparator" w:id="1">
    <w:p w:rsidR="00A62074" w:rsidRDefault="00A62074" w:rsidP="001B27D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27D4"/>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719F"/>
    <w:rsid w:val="00751F6A"/>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031"/>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2074"/>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1AB0525F"/>
    <w:rsid w:val="3A5D077E"/>
    <w:rsid w:val="4C125F3E"/>
    <w:rsid w:val="5596520C"/>
    <w:rsid w:val="5E723A49"/>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D4"/>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1B27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1B27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1B27D4"/>
    <w:rPr>
      <w:sz w:val="18"/>
      <w:szCs w:val="18"/>
    </w:rPr>
  </w:style>
  <w:style w:type="character" w:customStyle="1" w:styleId="Char">
    <w:name w:val="页脚 Char"/>
    <w:basedOn w:val="a0"/>
    <w:link w:val="a3"/>
    <w:uiPriority w:val="99"/>
    <w:qFormat/>
    <w:rsid w:val="001B27D4"/>
    <w:rPr>
      <w:sz w:val="18"/>
      <w:szCs w:val="18"/>
    </w:rPr>
  </w:style>
  <w:style w:type="paragraph" w:customStyle="1" w:styleId="Default">
    <w:name w:val="Default"/>
    <w:rsid w:val="001B27D4"/>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851031"/>
    <w:rPr>
      <w:sz w:val="18"/>
      <w:szCs w:val="18"/>
    </w:rPr>
  </w:style>
  <w:style w:type="character" w:customStyle="1" w:styleId="Char1">
    <w:name w:val="批注框文本 Char"/>
    <w:basedOn w:val="a0"/>
    <w:link w:val="a5"/>
    <w:uiPriority w:val="99"/>
    <w:semiHidden/>
    <w:rsid w:val="0085103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5BCD684-9671-49DA-BB4C-28544069F52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559</Words>
  <Characters>3191</Characters>
  <Application>Microsoft Office Word</Application>
  <DocSecurity>0</DocSecurity>
  <Lines>26</Lines>
  <Paragraphs>7</Paragraphs>
  <ScaleCrop>false</ScaleCrop>
  <Company>微软中国</Company>
  <LinksUpToDate>false</LinksUpToDate>
  <CharactersWithSpaces>3743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322</cp:revision>
  <dcterms:created xsi:type="dcterms:W3CDTF">2019-01-14T02:08:00Z</dcterms:created>
  <dcterms:modified xsi:type="dcterms:W3CDTF">2025-03-13T03:20:00Z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